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F750E" w:rsidRDefault="00780135">
      <w:pPr>
        <w:spacing w:after="0" w:line="259" w:lineRule="auto"/>
        <w:ind w:left="-1440" w:right="10123" w:firstLine="0"/>
        <w:jc w:val="left"/>
      </w:pPr>
      <w:bookmarkStart w:id="0" w:name="_GoBack"/>
      <w:bookmarkEnd w:id="0"/>
      <w:r>
        <w:rPr>
          <w:noProof/>
        </w:rPr>
        <w:drawing>
          <wp:anchor distT="0" distB="0" distL="114300" distR="114300" simplePos="0" relativeHeight="251658240" behindDoc="0" locked="0" layoutInCell="1" allowOverlap="0">
            <wp:simplePos x="0" y="0"/>
            <wp:positionH relativeFrom="page">
              <wp:posOffset>0</wp:posOffset>
            </wp:positionH>
            <wp:positionV relativeFrom="page">
              <wp:posOffset>0</wp:posOffset>
            </wp:positionV>
            <wp:extent cx="7342632" cy="10469880"/>
            <wp:effectExtent l="0" t="0" r="0" b="0"/>
            <wp:wrapTopAndBottom/>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7"/>
                    <a:stretch>
                      <a:fillRect/>
                    </a:stretch>
                  </pic:blipFill>
                  <pic:spPr>
                    <a:xfrm>
                      <a:off x="0" y="0"/>
                      <a:ext cx="7342632" cy="10469880"/>
                    </a:xfrm>
                    <a:prstGeom prst="rect">
                      <a:avLst/>
                    </a:prstGeom>
                  </pic:spPr>
                </pic:pic>
              </a:graphicData>
            </a:graphic>
          </wp:anchor>
        </w:drawing>
      </w:r>
      <w:r>
        <w:br w:type="page"/>
      </w:r>
    </w:p>
    <w:p w:rsidR="007F750E" w:rsidRDefault="00780135">
      <w:pPr>
        <w:spacing w:after="0" w:line="259" w:lineRule="auto"/>
        <w:ind w:left="-1440" w:right="10123" w:firstLine="0"/>
        <w:jc w:val="left"/>
      </w:pPr>
      <w:r>
        <w:rPr>
          <w:noProof/>
        </w:rPr>
        <w:lastRenderedPageBreak/>
        <w:drawing>
          <wp:anchor distT="0" distB="0" distL="114300" distR="114300" simplePos="0" relativeHeight="251659264" behindDoc="0" locked="0" layoutInCell="1" allowOverlap="0">
            <wp:simplePos x="0" y="0"/>
            <wp:positionH relativeFrom="page">
              <wp:posOffset>0</wp:posOffset>
            </wp:positionH>
            <wp:positionV relativeFrom="page">
              <wp:posOffset>0</wp:posOffset>
            </wp:positionV>
            <wp:extent cx="7342632" cy="10469880"/>
            <wp:effectExtent l="0" t="0" r="0" b="0"/>
            <wp:wrapTopAndBottom/>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8"/>
                    <a:stretch>
                      <a:fillRect/>
                    </a:stretch>
                  </pic:blipFill>
                  <pic:spPr>
                    <a:xfrm>
                      <a:off x="0" y="0"/>
                      <a:ext cx="7342632" cy="10469880"/>
                    </a:xfrm>
                    <a:prstGeom prst="rect">
                      <a:avLst/>
                    </a:prstGeom>
                  </pic:spPr>
                </pic:pic>
              </a:graphicData>
            </a:graphic>
          </wp:anchor>
        </w:drawing>
      </w:r>
    </w:p>
    <w:p w:rsidR="007F750E" w:rsidRDefault="007F750E">
      <w:pPr>
        <w:sectPr w:rsidR="007F750E">
          <w:footerReference w:type="even" r:id="rId9"/>
          <w:footerReference w:type="default" r:id="rId10"/>
          <w:footerReference w:type="first" r:id="rId11"/>
          <w:pgSz w:w="11563" w:h="16488"/>
          <w:pgMar w:top="1440" w:right="1440" w:bottom="1440" w:left="1440" w:header="720" w:footer="720" w:gutter="0"/>
          <w:cols w:space="720"/>
        </w:sectPr>
      </w:pPr>
    </w:p>
    <w:p w:rsidR="007F750E" w:rsidRDefault="00780135">
      <w:pPr>
        <w:spacing w:after="318" w:line="259" w:lineRule="auto"/>
        <w:ind w:left="16" w:firstLine="0"/>
        <w:jc w:val="center"/>
      </w:pPr>
      <w:r>
        <w:rPr>
          <w:b/>
          <w:sz w:val="28"/>
        </w:rPr>
        <w:t xml:space="preserve"> </w:t>
      </w:r>
    </w:p>
    <w:p w:rsidR="007F750E" w:rsidRDefault="00780135">
      <w:pPr>
        <w:pStyle w:val="Heading1"/>
        <w:spacing w:after="0"/>
      </w:pPr>
      <w:r>
        <w:t xml:space="preserve">Оглавление </w:t>
      </w:r>
    </w:p>
    <w:p w:rsidR="007F750E" w:rsidRDefault="00780135">
      <w:pPr>
        <w:spacing w:after="224" w:line="259" w:lineRule="auto"/>
        <w:ind w:left="-5" w:right="49"/>
      </w:pPr>
      <w:r>
        <w:t>Оглавление ..................................................................................................................................... 2</w:t>
      </w:r>
      <w:r>
        <w:rPr>
          <w:sz w:val="22"/>
        </w:rPr>
        <w:t xml:space="preserve"> </w:t>
      </w:r>
    </w:p>
    <w:p w:rsidR="007F750E" w:rsidRDefault="00780135">
      <w:pPr>
        <w:spacing w:after="226" w:line="259" w:lineRule="auto"/>
        <w:ind w:left="-5" w:right="49"/>
      </w:pPr>
      <w:r>
        <w:t>Список сокращений ....................................................................................................................... 4</w:t>
      </w:r>
      <w:r>
        <w:rPr>
          <w:sz w:val="22"/>
        </w:rPr>
        <w:t xml:space="preserve"> </w:t>
      </w:r>
    </w:p>
    <w:p w:rsidR="007F750E" w:rsidRDefault="00780135">
      <w:pPr>
        <w:spacing w:after="216" w:line="259" w:lineRule="auto"/>
        <w:ind w:left="-5" w:right="49"/>
      </w:pPr>
      <w:r>
        <w:t>Термины и определения .............................................................................................</w:t>
      </w:r>
      <w:r>
        <w:t>................... 6</w:t>
      </w:r>
      <w:r>
        <w:rPr>
          <w:sz w:val="22"/>
        </w:rPr>
        <w:t xml:space="preserve"> </w:t>
      </w:r>
    </w:p>
    <w:p w:rsidR="007F750E" w:rsidRDefault="00780135">
      <w:pPr>
        <w:numPr>
          <w:ilvl w:val="0"/>
          <w:numId w:val="1"/>
        </w:numPr>
        <w:spacing w:after="107"/>
        <w:ind w:right="49"/>
      </w:pPr>
      <w:r>
        <w:t>Краткая информация по заболеванию или состоянию (группе заболеваний или состояний) ...................................................................................................................................... 7</w:t>
      </w:r>
      <w:r>
        <w:rPr>
          <w:sz w:val="22"/>
        </w:rPr>
        <w:t xml:space="preserve"> </w:t>
      </w:r>
    </w:p>
    <w:p w:rsidR="007F750E" w:rsidRDefault="00780135">
      <w:pPr>
        <w:numPr>
          <w:ilvl w:val="1"/>
          <w:numId w:val="1"/>
        </w:numPr>
        <w:spacing w:after="257" w:line="259" w:lineRule="auto"/>
        <w:ind w:right="38" w:firstLine="62"/>
      </w:pPr>
      <w:r>
        <w:rPr>
          <w:sz w:val="22"/>
        </w:rPr>
        <w:t xml:space="preserve">Определение </w:t>
      </w:r>
      <w:r>
        <w:rPr>
          <w:sz w:val="22"/>
        </w:rPr>
        <w:t xml:space="preserve">заболевания или состояния (группы заболеваний или состояний) ...................... 7 </w:t>
      </w:r>
    </w:p>
    <w:p w:rsidR="007F750E" w:rsidRDefault="00780135">
      <w:pPr>
        <w:numPr>
          <w:ilvl w:val="1"/>
          <w:numId w:val="1"/>
        </w:numPr>
        <w:spacing w:after="233" w:line="259" w:lineRule="auto"/>
        <w:ind w:right="38" w:firstLine="62"/>
      </w:pPr>
      <w:r>
        <w:rPr>
          <w:sz w:val="22"/>
        </w:rPr>
        <w:t xml:space="preserve">Этиология и патогенез заболевания или состояния (группы заболеваний или состояний) ..... 7 </w:t>
      </w:r>
    </w:p>
    <w:p w:rsidR="007F750E" w:rsidRDefault="00780135">
      <w:pPr>
        <w:numPr>
          <w:ilvl w:val="1"/>
          <w:numId w:val="1"/>
        </w:numPr>
        <w:spacing w:after="0" w:line="387" w:lineRule="auto"/>
        <w:ind w:right="38" w:firstLine="62"/>
      </w:pPr>
      <w:r>
        <w:rPr>
          <w:sz w:val="22"/>
        </w:rPr>
        <w:t>Эпидемиология заболевания или состояния (группы заболеваний или состояний) ..</w:t>
      </w:r>
      <w:r>
        <w:rPr>
          <w:sz w:val="22"/>
        </w:rPr>
        <w:t>............... 9 1.4 Особенности кодирования заболевания или состояния (группы заболеваний или состояний) по Международной статистической классификации болезней и проблем, связанных со здоровьем</w:t>
      </w:r>
    </w:p>
    <w:p w:rsidR="007F750E" w:rsidRDefault="00780135">
      <w:pPr>
        <w:spacing w:after="254" w:line="259" w:lineRule="auto"/>
        <w:ind w:left="0" w:right="64" w:firstLine="0"/>
        <w:jc w:val="right"/>
      </w:pPr>
      <w:r>
        <w:rPr>
          <w:sz w:val="22"/>
        </w:rPr>
        <w:t xml:space="preserve"> ...........................................................</w:t>
      </w:r>
      <w:r>
        <w:rPr>
          <w:sz w:val="22"/>
        </w:rPr>
        <w:t xml:space="preserve">........................................................................................................ 9 </w:t>
      </w:r>
    </w:p>
    <w:p w:rsidR="007F750E" w:rsidRDefault="00780135">
      <w:pPr>
        <w:numPr>
          <w:ilvl w:val="1"/>
          <w:numId w:val="3"/>
        </w:numPr>
        <w:spacing w:after="254" w:line="259" w:lineRule="auto"/>
        <w:ind w:right="44" w:firstLine="283"/>
      </w:pPr>
      <w:r>
        <w:rPr>
          <w:sz w:val="22"/>
        </w:rPr>
        <w:t xml:space="preserve">Классификация заболевания или состояния (группы заболеваний или состояний)................ 10 </w:t>
      </w:r>
    </w:p>
    <w:p w:rsidR="007F750E" w:rsidRDefault="00780135">
      <w:pPr>
        <w:numPr>
          <w:ilvl w:val="1"/>
          <w:numId w:val="3"/>
        </w:numPr>
        <w:spacing w:line="417" w:lineRule="auto"/>
        <w:ind w:right="44" w:firstLine="283"/>
      </w:pPr>
      <w:r>
        <w:rPr>
          <w:sz w:val="22"/>
        </w:rPr>
        <w:t>Клиническая картина заболевания или состояния (группы</w:t>
      </w:r>
      <w:r>
        <w:rPr>
          <w:sz w:val="22"/>
        </w:rPr>
        <w:t xml:space="preserve"> заболеваний или состояний) ...... 11 </w:t>
      </w:r>
      <w:r>
        <w:t>2. Диагностика заболевания или состояния (группы заболеваний или состояний), медицинские показания и противопоказания к применению методов диагностики ............ 14</w:t>
      </w:r>
      <w:r>
        <w:rPr>
          <w:sz w:val="22"/>
        </w:rPr>
        <w:t xml:space="preserve"> </w:t>
      </w:r>
    </w:p>
    <w:p w:rsidR="007F750E" w:rsidRDefault="00780135">
      <w:pPr>
        <w:numPr>
          <w:ilvl w:val="1"/>
          <w:numId w:val="2"/>
        </w:numPr>
        <w:spacing w:after="233" w:line="259" w:lineRule="auto"/>
        <w:ind w:right="38" w:hanging="331"/>
      </w:pPr>
      <w:r>
        <w:rPr>
          <w:sz w:val="22"/>
        </w:rPr>
        <w:t xml:space="preserve">Жалобы и анамнез </w:t>
      </w:r>
      <w:r>
        <w:rPr>
          <w:sz w:val="22"/>
        </w:rPr>
        <w:t xml:space="preserve">.......................................................................................................................... 18 </w:t>
      </w:r>
    </w:p>
    <w:p w:rsidR="007F750E" w:rsidRDefault="00780135">
      <w:pPr>
        <w:numPr>
          <w:ilvl w:val="1"/>
          <w:numId w:val="2"/>
        </w:numPr>
        <w:spacing w:after="233" w:line="259" w:lineRule="auto"/>
        <w:ind w:right="38" w:hanging="331"/>
      </w:pPr>
      <w:r>
        <w:rPr>
          <w:sz w:val="22"/>
        </w:rPr>
        <w:t>Физикальное обследование ........................................................................................................</w:t>
      </w:r>
      <w:r>
        <w:rPr>
          <w:sz w:val="22"/>
        </w:rPr>
        <w:t xml:space="preserve">... 18 </w:t>
      </w:r>
    </w:p>
    <w:p w:rsidR="007F750E" w:rsidRDefault="00780135">
      <w:pPr>
        <w:numPr>
          <w:ilvl w:val="1"/>
          <w:numId w:val="2"/>
        </w:numPr>
        <w:spacing w:after="233" w:line="259" w:lineRule="auto"/>
        <w:ind w:right="38" w:hanging="331"/>
      </w:pPr>
      <w:r>
        <w:rPr>
          <w:sz w:val="22"/>
        </w:rPr>
        <w:t xml:space="preserve">Лабораторные диагностические исследования ........................................................................... 19 </w:t>
      </w:r>
    </w:p>
    <w:p w:rsidR="007F750E" w:rsidRDefault="00780135">
      <w:pPr>
        <w:numPr>
          <w:ilvl w:val="1"/>
          <w:numId w:val="2"/>
        </w:numPr>
        <w:spacing w:after="233" w:line="259" w:lineRule="auto"/>
        <w:ind w:right="38" w:hanging="331"/>
      </w:pPr>
      <w:r>
        <w:rPr>
          <w:sz w:val="22"/>
        </w:rPr>
        <w:t xml:space="preserve">Инструментальные диагностические исследования ................................................................... 21 </w:t>
      </w:r>
    </w:p>
    <w:p w:rsidR="007F750E" w:rsidRDefault="00780135">
      <w:pPr>
        <w:numPr>
          <w:ilvl w:val="1"/>
          <w:numId w:val="2"/>
        </w:numPr>
        <w:spacing w:after="233" w:line="259" w:lineRule="auto"/>
        <w:ind w:right="38" w:hanging="331"/>
      </w:pPr>
      <w:r>
        <w:rPr>
          <w:sz w:val="22"/>
        </w:rPr>
        <w:t>Иные диа</w:t>
      </w:r>
      <w:r>
        <w:rPr>
          <w:sz w:val="22"/>
        </w:rPr>
        <w:t xml:space="preserve">гностические исследования .......................................................................................... 22 </w:t>
      </w:r>
    </w:p>
    <w:p w:rsidR="007F750E" w:rsidRDefault="00780135">
      <w:pPr>
        <w:numPr>
          <w:ilvl w:val="0"/>
          <w:numId w:val="4"/>
        </w:numPr>
        <w:spacing w:after="83"/>
        <w:ind w:right="49" w:hanging="240"/>
      </w:pPr>
      <w:r>
        <w:t>Лечение, включая медикаментозную и немедикаментозную терапии, диетотерапию, обезболивание, медицинские показания и противопоказания к п</w:t>
      </w:r>
      <w:r>
        <w:t>рименению методов лечения ......................................................................................................................................... 22</w:t>
      </w:r>
      <w:r>
        <w:rPr>
          <w:sz w:val="22"/>
        </w:rPr>
        <w:t xml:space="preserve"> </w:t>
      </w:r>
    </w:p>
    <w:p w:rsidR="007F750E" w:rsidRDefault="00780135">
      <w:pPr>
        <w:numPr>
          <w:ilvl w:val="1"/>
          <w:numId w:val="4"/>
        </w:numPr>
        <w:spacing w:after="233" w:line="259" w:lineRule="auto"/>
        <w:ind w:right="38" w:hanging="331"/>
      </w:pPr>
      <w:r>
        <w:rPr>
          <w:sz w:val="22"/>
        </w:rPr>
        <w:t>Консервативное лечение .................................................................</w:t>
      </w:r>
      <w:r>
        <w:rPr>
          <w:sz w:val="22"/>
        </w:rPr>
        <w:t xml:space="preserve">.............................................. 22 </w:t>
      </w:r>
    </w:p>
    <w:p w:rsidR="007F750E" w:rsidRDefault="00780135">
      <w:pPr>
        <w:numPr>
          <w:ilvl w:val="1"/>
          <w:numId w:val="4"/>
        </w:numPr>
        <w:spacing w:after="233" w:line="259" w:lineRule="auto"/>
        <w:ind w:right="38" w:hanging="331"/>
      </w:pPr>
      <w:r>
        <w:rPr>
          <w:sz w:val="22"/>
        </w:rPr>
        <w:t xml:space="preserve">Хирургическое лечение ................................................................................................................. 24 </w:t>
      </w:r>
    </w:p>
    <w:p w:rsidR="007F750E" w:rsidRDefault="00780135">
      <w:pPr>
        <w:numPr>
          <w:ilvl w:val="1"/>
          <w:numId w:val="4"/>
        </w:numPr>
        <w:spacing w:after="276" w:line="259" w:lineRule="auto"/>
        <w:ind w:right="38" w:hanging="331"/>
      </w:pPr>
      <w:r>
        <w:rPr>
          <w:sz w:val="22"/>
        </w:rPr>
        <w:t>Иное лечение ....................................................</w:t>
      </w:r>
      <w:r>
        <w:rPr>
          <w:sz w:val="22"/>
        </w:rPr>
        <w:t>.............................................................................. 24</w:t>
      </w:r>
      <w:r>
        <w:rPr>
          <w:rFonts w:ascii="Calibri" w:eastAsia="Calibri" w:hAnsi="Calibri" w:cs="Calibri"/>
          <w:sz w:val="22"/>
        </w:rPr>
        <w:t xml:space="preserve"> </w:t>
      </w:r>
    </w:p>
    <w:p w:rsidR="007F750E" w:rsidRDefault="00780135">
      <w:pPr>
        <w:numPr>
          <w:ilvl w:val="0"/>
          <w:numId w:val="4"/>
        </w:numPr>
        <w:spacing w:after="32"/>
        <w:ind w:right="49" w:hanging="240"/>
      </w:pPr>
      <w:r>
        <w:t xml:space="preserve">Медицинская реабилитация и санаторно-курортное лечение, медицинские показания и противопоказания к применению методов медицинской реабилитации, в том числе </w:t>
      </w:r>
    </w:p>
    <w:p w:rsidR="007F750E" w:rsidRDefault="00780135">
      <w:pPr>
        <w:spacing w:line="259" w:lineRule="auto"/>
        <w:ind w:left="-5" w:right="49"/>
      </w:pPr>
      <w:r>
        <w:t>основанных на ис</w:t>
      </w:r>
      <w:r>
        <w:t>пользовании природных лечебных факторов ............................................. 25</w:t>
      </w:r>
      <w:r>
        <w:rPr>
          <w:rFonts w:ascii="Calibri" w:eastAsia="Calibri" w:hAnsi="Calibri" w:cs="Calibri"/>
          <w:sz w:val="22"/>
        </w:rPr>
        <w:t xml:space="preserve"> </w:t>
      </w:r>
    </w:p>
    <w:p w:rsidR="007F750E" w:rsidRDefault="00780135">
      <w:pPr>
        <w:numPr>
          <w:ilvl w:val="0"/>
          <w:numId w:val="4"/>
        </w:numPr>
        <w:spacing w:after="135" w:line="259" w:lineRule="auto"/>
        <w:ind w:right="49" w:hanging="240"/>
      </w:pPr>
      <w:r>
        <w:t xml:space="preserve">Профилактика и диспансерное наблюдение, медицинские показания и противопоказания </w:t>
      </w:r>
    </w:p>
    <w:p w:rsidR="007F750E" w:rsidRDefault="00780135">
      <w:pPr>
        <w:spacing w:after="246" w:line="259" w:lineRule="auto"/>
        <w:ind w:left="-5" w:right="49"/>
      </w:pPr>
      <w:r>
        <w:t>к применению методов профилактики ..................................................</w:t>
      </w:r>
      <w:r>
        <w:t>.................................... 25</w:t>
      </w:r>
      <w:r>
        <w:rPr>
          <w:rFonts w:ascii="Calibri" w:eastAsia="Calibri" w:hAnsi="Calibri" w:cs="Calibri"/>
          <w:sz w:val="22"/>
        </w:rPr>
        <w:t xml:space="preserve"> </w:t>
      </w:r>
    </w:p>
    <w:p w:rsidR="007F750E" w:rsidRDefault="00780135">
      <w:pPr>
        <w:numPr>
          <w:ilvl w:val="0"/>
          <w:numId w:val="4"/>
        </w:numPr>
        <w:spacing w:after="221" w:line="259" w:lineRule="auto"/>
        <w:ind w:right="49" w:hanging="240"/>
      </w:pPr>
      <w:r>
        <w:t>Организация оказания медицинской помощи ...................................................................... 26</w:t>
      </w:r>
      <w:r>
        <w:rPr>
          <w:rFonts w:ascii="Calibri" w:eastAsia="Calibri" w:hAnsi="Calibri" w:cs="Calibri"/>
          <w:sz w:val="22"/>
        </w:rPr>
        <w:t xml:space="preserve"> </w:t>
      </w:r>
    </w:p>
    <w:p w:rsidR="007F750E" w:rsidRDefault="00780135">
      <w:pPr>
        <w:numPr>
          <w:ilvl w:val="0"/>
          <w:numId w:val="4"/>
        </w:numPr>
        <w:spacing w:after="121" w:line="259" w:lineRule="auto"/>
        <w:ind w:right="49" w:hanging="240"/>
      </w:pPr>
      <w:r>
        <w:t xml:space="preserve">Дополнительная информация (в том числе факторы, влияющие на исход заболевания или </w:t>
      </w:r>
    </w:p>
    <w:p w:rsidR="007F750E" w:rsidRDefault="00780135">
      <w:pPr>
        <w:spacing w:after="246" w:line="259" w:lineRule="auto"/>
        <w:ind w:left="-5" w:right="49"/>
      </w:pPr>
      <w:r>
        <w:t xml:space="preserve">состояния) </w:t>
      </w:r>
      <w:r>
        <w:t>..................................................................................................................................... 26</w:t>
      </w:r>
      <w:r>
        <w:rPr>
          <w:rFonts w:ascii="Calibri" w:eastAsia="Calibri" w:hAnsi="Calibri" w:cs="Calibri"/>
          <w:sz w:val="22"/>
        </w:rPr>
        <w:t xml:space="preserve"> </w:t>
      </w:r>
    </w:p>
    <w:p w:rsidR="007F750E" w:rsidRDefault="00780135">
      <w:pPr>
        <w:spacing w:after="231" w:line="259" w:lineRule="auto"/>
        <w:ind w:left="-5" w:right="49"/>
      </w:pPr>
      <w:r>
        <w:t>Критерии оценки качества медицинской помощи ................................................................... 27</w:t>
      </w:r>
      <w:r>
        <w:rPr>
          <w:rFonts w:ascii="Calibri" w:eastAsia="Calibri" w:hAnsi="Calibri" w:cs="Calibri"/>
          <w:sz w:val="22"/>
        </w:rPr>
        <w:t xml:space="preserve"> </w:t>
      </w:r>
    </w:p>
    <w:p w:rsidR="007F750E" w:rsidRDefault="00780135">
      <w:pPr>
        <w:spacing w:after="221" w:line="259" w:lineRule="auto"/>
        <w:ind w:left="-5" w:right="49"/>
      </w:pPr>
      <w:r>
        <w:t>Сп</w:t>
      </w:r>
      <w:r>
        <w:t>исок литературы ...................................................................................................................... 27</w:t>
      </w:r>
      <w:r>
        <w:rPr>
          <w:rFonts w:ascii="Calibri" w:eastAsia="Calibri" w:hAnsi="Calibri" w:cs="Calibri"/>
          <w:sz w:val="22"/>
        </w:rPr>
        <w:t xml:space="preserve"> </w:t>
      </w:r>
    </w:p>
    <w:p w:rsidR="007F750E" w:rsidRDefault="00780135">
      <w:pPr>
        <w:spacing w:after="122" w:line="259" w:lineRule="auto"/>
        <w:ind w:left="-5" w:right="49"/>
      </w:pPr>
      <w:r>
        <w:t xml:space="preserve">Приложение А1. Состав рабочей группы по разработке и пересмотру клинических </w:t>
      </w:r>
    </w:p>
    <w:p w:rsidR="007F750E" w:rsidRDefault="00780135">
      <w:pPr>
        <w:spacing w:after="258" w:line="259" w:lineRule="auto"/>
        <w:ind w:left="-5" w:right="49"/>
      </w:pPr>
      <w:r>
        <w:t xml:space="preserve">рекомендаций </w:t>
      </w:r>
      <w:r>
        <w:t>............................................................................................................................... 39</w:t>
      </w:r>
      <w:r>
        <w:rPr>
          <w:rFonts w:ascii="Calibri" w:eastAsia="Calibri" w:hAnsi="Calibri" w:cs="Calibri"/>
          <w:sz w:val="22"/>
        </w:rPr>
        <w:t xml:space="preserve"> </w:t>
      </w:r>
    </w:p>
    <w:p w:rsidR="007F750E" w:rsidRDefault="00780135">
      <w:pPr>
        <w:spacing w:after="221" w:line="259" w:lineRule="auto"/>
        <w:ind w:left="-5" w:right="49"/>
      </w:pPr>
      <w:r>
        <w:t>Приложение А2. Методология разработки клинических рекомендаций .............................. 41</w:t>
      </w:r>
      <w:r>
        <w:rPr>
          <w:rFonts w:ascii="Calibri" w:eastAsia="Calibri" w:hAnsi="Calibri" w:cs="Calibri"/>
          <w:sz w:val="22"/>
        </w:rPr>
        <w:t xml:space="preserve"> </w:t>
      </w:r>
    </w:p>
    <w:p w:rsidR="007F750E" w:rsidRDefault="00780135">
      <w:pPr>
        <w:ind w:left="-5" w:right="49"/>
      </w:pPr>
      <w:r>
        <w:t xml:space="preserve">Приложение А3. Справочные </w:t>
      </w:r>
      <w:r>
        <w:t xml:space="preserve">материалы, включая соответствие показаний к применению и противопоказаний, способов применения и доз лекарственных препаратов, инструкции </w:t>
      </w:r>
    </w:p>
    <w:p w:rsidR="007F750E" w:rsidRDefault="00780135">
      <w:pPr>
        <w:spacing w:line="469" w:lineRule="auto"/>
        <w:ind w:left="-5" w:right="49"/>
      </w:pPr>
      <w:r>
        <w:t>по применению лекарственного препарата...............................................................................</w:t>
      </w:r>
      <w:r>
        <w:t xml:space="preserve"> 45</w:t>
      </w:r>
      <w:r>
        <w:rPr>
          <w:rFonts w:ascii="Calibri" w:eastAsia="Calibri" w:hAnsi="Calibri" w:cs="Calibri"/>
          <w:sz w:val="22"/>
        </w:rPr>
        <w:t xml:space="preserve"> </w:t>
      </w:r>
      <w:r>
        <w:t>Приложение Б. Алгоритмы действий врача ............................................................................. 49</w:t>
      </w:r>
      <w:r>
        <w:rPr>
          <w:rFonts w:ascii="Calibri" w:eastAsia="Calibri" w:hAnsi="Calibri" w:cs="Calibri"/>
          <w:sz w:val="22"/>
        </w:rPr>
        <w:t xml:space="preserve"> </w:t>
      </w:r>
      <w:r>
        <w:t>Приложение В. Информация для пациента .............................................................................. 50</w:t>
      </w:r>
      <w:r>
        <w:rPr>
          <w:rFonts w:ascii="Calibri" w:eastAsia="Calibri" w:hAnsi="Calibri" w:cs="Calibri"/>
          <w:sz w:val="22"/>
        </w:rPr>
        <w:t xml:space="preserve"> </w:t>
      </w:r>
    </w:p>
    <w:p w:rsidR="007F750E" w:rsidRDefault="00780135">
      <w:pPr>
        <w:spacing w:after="149" w:line="259" w:lineRule="auto"/>
        <w:ind w:left="-5" w:right="49"/>
      </w:pPr>
      <w:r>
        <w:t xml:space="preserve">Приложение </w:t>
      </w:r>
      <w:r>
        <w:t xml:space="preserve">Г1-ГN. Шкалы оценки, вопросники и другие оценочные инструменты </w:t>
      </w:r>
    </w:p>
    <w:p w:rsidR="007F750E" w:rsidRDefault="00780135">
      <w:pPr>
        <w:spacing w:after="221" w:line="259" w:lineRule="auto"/>
        <w:ind w:left="-5" w:right="49"/>
      </w:pPr>
      <w:r>
        <w:t>состояния пациента, приведенные в клинических рекомендациях ........................................ 52</w:t>
      </w:r>
      <w:r>
        <w:rPr>
          <w:rFonts w:ascii="Calibri" w:eastAsia="Calibri" w:hAnsi="Calibri" w:cs="Calibri"/>
          <w:sz w:val="22"/>
        </w:rPr>
        <w:t xml:space="preserve"> </w:t>
      </w:r>
    </w:p>
    <w:p w:rsidR="007F750E" w:rsidRDefault="00780135">
      <w:pPr>
        <w:spacing w:after="115" w:line="259" w:lineRule="auto"/>
        <w:ind w:left="0" w:firstLine="0"/>
        <w:jc w:val="left"/>
      </w:pPr>
      <w:r>
        <w:t xml:space="preserve"> </w:t>
      </w:r>
    </w:p>
    <w:p w:rsidR="007F750E" w:rsidRDefault="00780135">
      <w:pPr>
        <w:spacing w:after="0" w:line="259" w:lineRule="auto"/>
        <w:ind w:left="708" w:firstLine="0"/>
        <w:jc w:val="left"/>
      </w:pPr>
      <w:r>
        <w:t xml:space="preserve"> </w:t>
      </w:r>
    </w:p>
    <w:p w:rsidR="007F750E" w:rsidRDefault="00780135">
      <w:pPr>
        <w:pStyle w:val="Heading1"/>
      </w:pPr>
      <w:r>
        <w:t xml:space="preserve">Список сокращений </w:t>
      </w:r>
    </w:p>
    <w:p w:rsidR="007F750E" w:rsidRDefault="00780135">
      <w:pPr>
        <w:spacing w:after="159" w:line="259" w:lineRule="auto"/>
        <w:ind w:left="718" w:right="49"/>
      </w:pPr>
      <w:r>
        <w:t xml:space="preserve">АЧТВ – активированное частичное тромбопластиновое время </w:t>
      </w:r>
    </w:p>
    <w:p w:rsidR="007F750E" w:rsidRDefault="00780135">
      <w:pPr>
        <w:spacing w:after="161" w:line="259" w:lineRule="auto"/>
        <w:ind w:left="718" w:right="49"/>
      </w:pPr>
      <w:r>
        <w:t xml:space="preserve">ВВИГ – </w:t>
      </w:r>
      <w:r>
        <w:t xml:space="preserve">внутривенный иммуноглобулин </w:t>
      </w:r>
    </w:p>
    <w:p w:rsidR="007F750E" w:rsidRDefault="00780135">
      <w:pPr>
        <w:spacing w:after="158" w:line="259" w:lineRule="auto"/>
        <w:ind w:left="718" w:right="49"/>
      </w:pPr>
      <w:r>
        <w:t xml:space="preserve">ВЖК – внутрижелудочковое кровоизлияние </w:t>
      </w:r>
    </w:p>
    <w:p w:rsidR="007F750E" w:rsidRDefault="00780135">
      <w:pPr>
        <w:spacing w:after="161" w:line="259" w:lineRule="auto"/>
        <w:ind w:left="718" w:right="49"/>
      </w:pPr>
      <w:r>
        <w:t xml:space="preserve">ВТЭ – венозная тромбоэмболия </w:t>
      </w:r>
    </w:p>
    <w:p w:rsidR="007F750E" w:rsidRDefault="00780135">
      <w:pPr>
        <w:spacing w:after="159" w:line="259" w:lineRule="auto"/>
        <w:ind w:left="718" w:right="49"/>
      </w:pPr>
      <w:r>
        <w:t xml:space="preserve">ВЧК – внутричерепное кровоизлияние </w:t>
      </w:r>
    </w:p>
    <w:p w:rsidR="007F750E" w:rsidRDefault="00780135">
      <w:pPr>
        <w:spacing w:after="161" w:line="259" w:lineRule="auto"/>
        <w:ind w:left="718" w:right="49"/>
      </w:pPr>
      <w:r>
        <w:t xml:space="preserve">ВВИГ– внутривенные иммуноглобулины </w:t>
      </w:r>
    </w:p>
    <w:p w:rsidR="007F750E" w:rsidRDefault="00780135">
      <w:pPr>
        <w:spacing w:after="158" w:line="259" w:lineRule="auto"/>
        <w:ind w:left="718" w:right="49"/>
      </w:pPr>
      <w:r>
        <w:t xml:space="preserve">ГБН – гемолитическая болезнь новорожденных </w:t>
      </w:r>
    </w:p>
    <w:p w:rsidR="007F750E" w:rsidRDefault="00780135">
      <w:pPr>
        <w:spacing w:after="160" w:line="259" w:lineRule="auto"/>
        <w:ind w:left="718" w:right="49"/>
      </w:pPr>
      <w:r>
        <w:t xml:space="preserve">ГВ – гестационный возраст </w:t>
      </w:r>
    </w:p>
    <w:p w:rsidR="007F750E" w:rsidRDefault="00780135">
      <w:pPr>
        <w:spacing w:after="159" w:line="259" w:lineRule="auto"/>
        <w:ind w:left="718" w:right="49"/>
      </w:pPr>
      <w:r>
        <w:t>ГКС – глюкокор</w:t>
      </w:r>
      <w:r>
        <w:t xml:space="preserve">тикоиды </w:t>
      </w:r>
    </w:p>
    <w:p w:rsidR="007F750E" w:rsidRDefault="00780135">
      <w:pPr>
        <w:spacing w:after="161" w:line="259" w:lineRule="auto"/>
        <w:ind w:left="718" w:right="49"/>
      </w:pPr>
      <w:r>
        <w:t xml:space="preserve">ДВС – диссеминированное внутрисосудистое свертывание </w:t>
      </w:r>
    </w:p>
    <w:p w:rsidR="007F750E" w:rsidRDefault="00780135">
      <w:pPr>
        <w:spacing w:after="158" w:line="259" w:lineRule="auto"/>
        <w:ind w:left="718" w:right="49"/>
      </w:pPr>
      <w:r>
        <w:t xml:space="preserve">ЗВУР- задержка внутриутробного развития </w:t>
      </w:r>
    </w:p>
    <w:p w:rsidR="007F750E" w:rsidRDefault="00780135">
      <w:pPr>
        <w:spacing w:after="161" w:line="259" w:lineRule="auto"/>
        <w:ind w:left="718" w:right="49"/>
      </w:pPr>
      <w:r>
        <w:t xml:space="preserve">ЗРП – задержка роста плода </w:t>
      </w:r>
    </w:p>
    <w:p w:rsidR="007F750E" w:rsidRDefault="00780135">
      <w:pPr>
        <w:spacing w:after="159" w:line="259" w:lineRule="auto"/>
        <w:ind w:left="718" w:right="49"/>
      </w:pPr>
      <w:r>
        <w:t xml:space="preserve">ИТП – идиопатическая тромбоцитопеническая пурпура </w:t>
      </w:r>
    </w:p>
    <w:p w:rsidR="007F750E" w:rsidRDefault="00780135">
      <w:pPr>
        <w:spacing w:after="161" w:line="259" w:lineRule="auto"/>
        <w:ind w:left="718" w:right="49"/>
      </w:pPr>
      <w:r>
        <w:t xml:space="preserve">КАК – общий (клинический) анализ крови </w:t>
      </w:r>
    </w:p>
    <w:p w:rsidR="007F750E" w:rsidRDefault="00780135">
      <w:pPr>
        <w:spacing w:after="154" w:line="259" w:lineRule="auto"/>
        <w:ind w:left="718" w:right="49"/>
      </w:pPr>
      <w:r>
        <w:t>ЛИТП – лекарственно-</w:t>
      </w:r>
      <w:r>
        <w:t xml:space="preserve">индуцированная тромбоцитопения </w:t>
      </w:r>
    </w:p>
    <w:p w:rsidR="007F750E" w:rsidRDefault="00780135">
      <w:pPr>
        <w:spacing w:after="159" w:line="259" w:lineRule="auto"/>
        <w:ind w:left="718" w:right="49"/>
      </w:pPr>
      <w:r>
        <w:t xml:space="preserve">MHO – международное нормализованное отношение </w:t>
      </w:r>
    </w:p>
    <w:p w:rsidR="007F750E" w:rsidRDefault="00780135">
      <w:pPr>
        <w:spacing w:after="161" w:line="259" w:lineRule="auto"/>
        <w:ind w:left="718" w:right="49"/>
      </w:pPr>
      <w:r>
        <w:t xml:space="preserve">НАИТ – неонатальная аллоиммунная тромбоцитопения  </w:t>
      </w:r>
    </w:p>
    <w:p w:rsidR="007F750E" w:rsidRDefault="00780135">
      <w:pPr>
        <w:spacing w:after="158" w:line="259" w:lineRule="auto"/>
        <w:ind w:left="718" w:right="49"/>
      </w:pPr>
      <w:r>
        <w:t xml:space="preserve">НТИТ – неонатальная трансиммунная тромбоцитопения </w:t>
      </w:r>
    </w:p>
    <w:p w:rsidR="007F750E" w:rsidRDefault="00780135">
      <w:pPr>
        <w:spacing w:after="161" w:line="259" w:lineRule="auto"/>
        <w:ind w:left="718" w:right="49"/>
      </w:pPr>
      <w:r>
        <w:t xml:space="preserve">НСГ – нейросонография </w:t>
      </w:r>
    </w:p>
    <w:p w:rsidR="007F750E" w:rsidRDefault="00780135">
      <w:pPr>
        <w:spacing w:after="159" w:line="259" w:lineRule="auto"/>
        <w:ind w:left="718" w:right="49"/>
      </w:pPr>
      <w:r>
        <w:t xml:space="preserve">НЭК – некротизирующий энтероколит  </w:t>
      </w:r>
    </w:p>
    <w:p w:rsidR="007F750E" w:rsidRDefault="00780135">
      <w:pPr>
        <w:spacing w:after="161" w:line="259" w:lineRule="auto"/>
        <w:ind w:left="718" w:right="49"/>
      </w:pPr>
      <w:r>
        <w:t>ОРИТН – отделени</w:t>
      </w:r>
      <w:r>
        <w:t xml:space="preserve">е реанимации и интенсивной терапии новорожденных </w:t>
      </w:r>
    </w:p>
    <w:p w:rsidR="007F750E" w:rsidRDefault="00780135">
      <w:pPr>
        <w:spacing w:after="2" w:line="397" w:lineRule="auto"/>
        <w:ind w:left="703" w:right="4963"/>
        <w:jc w:val="left"/>
      </w:pPr>
      <w:r>
        <w:t xml:space="preserve">ПТВ – протромбиновое время УЗИ – ультразвуковое исследование цАТ – циркулирующие  антитела </w:t>
      </w:r>
    </w:p>
    <w:p w:rsidR="007F750E" w:rsidRDefault="00780135">
      <w:pPr>
        <w:spacing w:after="160" w:line="259" w:lineRule="auto"/>
        <w:ind w:left="718" w:right="49"/>
      </w:pPr>
      <w:r>
        <w:t xml:space="preserve">ЦМВИ – цитомегаловирусная инфекция </w:t>
      </w:r>
    </w:p>
    <w:p w:rsidR="007F750E" w:rsidRDefault="00780135">
      <w:pPr>
        <w:spacing w:after="159" w:line="259" w:lineRule="auto"/>
        <w:ind w:left="718" w:right="49"/>
      </w:pPr>
      <w:r>
        <w:t xml:space="preserve">ЭДТА – этилендиаминтетрауксусная кислота   </w:t>
      </w:r>
    </w:p>
    <w:p w:rsidR="007F750E" w:rsidRDefault="00780135">
      <w:pPr>
        <w:spacing w:after="159" w:line="259" w:lineRule="auto"/>
        <w:ind w:left="718" w:right="49"/>
      </w:pPr>
      <w:r>
        <w:t>ЭНМТ – экстремально низкая масса т</w:t>
      </w:r>
      <w:r>
        <w:t xml:space="preserve">ела </w:t>
      </w:r>
    </w:p>
    <w:p w:rsidR="007F750E" w:rsidRDefault="00780135">
      <w:pPr>
        <w:spacing w:after="132" w:line="259" w:lineRule="auto"/>
        <w:ind w:left="718" w:right="49"/>
      </w:pPr>
      <w:r>
        <w:t xml:space="preserve">ЭХО-КГ – эхокардиография </w:t>
      </w:r>
    </w:p>
    <w:p w:rsidR="007F750E" w:rsidRDefault="00780135">
      <w:pPr>
        <w:ind w:left="-15" w:right="49" w:firstLine="708"/>
      </w:pPr>
      <w:r>
        <w:t xml:space="preserve">аHELLP – атипичный HELLP- синдром (H- Haemolysis – гемолиз, EL - Elevated Liver enzymes – повышение уровня ферментов печени, LP - Low Platelet – низкий уровень тромбоцитов) </w:t>
      </w:r>
    </w:p>
    <w:p w:rsidR="007F750E" w:rsidRDefault="00780135">
      <w:pPr>
        <w:spacing w:after="148" w:line="259" w:lineRule="auto"/>
        <w:ind w:left="718" w:right="49"/>
      </w:pPr>
      <w:r>
        <w:t xml:space="preserve">GP – гликопротеин </w:t>
      </w:r>
    </w:p>
    <w:p w:rsidR="007F750E" w:rsidRDefault="00780135">
      <w:pPr>
        <w:spacing w:after="157" w:line="259" w:lineRule="auto"/>
        <w:ind w:left="718" w:right="49"/>
      </w:pPr>
      <w:r>
        <w:t xml:space="preserve">IgG – иммуноглобулины G </w:t>
      </w:r>
    </w:p>
    <w:p w:rsidR="007F750E" w:rsidRDefault="00780135">
      <w:pPr>
        <w:spacing w:line="259" w:lineRule="auto"/>
        <w:ind w:left="718" w:right="49"/>
      </w:pPr>
      <w:r>
        <w:t xml:space="preserve">IMID – </w:t>
      </w:r>
      <w:r>
        <w:t xml:space="preserve">иммуноопосредованные воспалительные заболевания  </w:t>
      </w:r>
    </w:p>
    <w:p w:rsidR="007F750E" w:rsidRDefault="00780135">
      <w:pPr>
        <w:spacing w:after="153" w:line="259" w:lineRule="auto"/>
        <w:ind w:left="718" w:right="49"/>
      </w:pPr>
      <w:r>
        <w:t xml:space="preserve">IPF – фракция незрелых тромбоцитов </w:t>
      </w:r>
    </w:p>
    <w:p w:rsidR="007F750E" w:rsidRDefault="00780135">
      <w:pPr>
        <w:spacing w:after="154" w:line="259" w:lineRule="auto"/>
        <w:ind w:left="718" w:right="49"/>
      </w:pPr>
      <w:r>
        <w:t xml:space="preserve">MPV – средний объем тромбоцита </w:t>
      </w:r>
    </w:p>
    <w:p w:rsidR="007F750E" w:rsidRDefault="00780135">
      <w:pPr>
        <w:spacing w:line="259" w:lineRule="auto"/>
        <w:ind w:left="718" w:right="49"/>
      </w:pPr>
      <w:r>
        <w:t xml:space="preserve">RP – фракция сетчатых тромбоцитов </w:t>
      </w:r>
      <w:r>
        <w:br w:type="page"/>
      </w:r>
    </w:p>
    <w:p w:rsidR="007F750E" w:rsidRDefault="00780135">
      <w:pPr>
        <w:pStyle w:val="Heading1"/>
        <w:ind w:right="55"/>
      </w:pPr>
      <w:r>
        <w:t xml:space="preserve">Термины и определения </w:t>
      </w:r>
    </w:p>
    <w:p w:rsidR="007F750E" w:rsidRDefault="00780135">
      <w:pPr>
        <w:spacing w:after="36"/>
        <w:ind w:left="-15" w:right="49" w:firstLine="708"/>
      </w:pPr>
      <w:r>
        <w:rPr>
          <w:b/>
        </w:rPr>
        <w:t>Тромбоцитопения новорожденных</w:t>
      </w:r>
      <w:r>
        <w:t xml:space="preserve"> - </w:t>
      </w:r>
      <w:r>
        <w:t>снижение количества тромбоцитов в крови ниже референсных значений для гестационного, хронологического или постконцептуального возраста ребёнка. Уровень тромбоцитов у новорожденных отличается от норм взрослого и напрямую зависит от гестационного и хронологи</w:t>
      </w:r>
      <w:r>
        <w:t xml:space="preserve">ческого возраста ребёнка [1]. </w:t>
      </w:r>
    </w:p>
    <w:p w:rsidR="007F750E" w:rsidRDefault="00780135">
      <w:pPr>
        <w:spacing w:after="36"/>
        <w:ind w:left="-15" w:right="49" w:firstLine="708"/>
      </w:pPr>
      <w:r>
        <w:rPr>
          <w:b/>
        </w:rPr>
        <w:t xml:space="preserve">Преходящая неонатальная   тромбоцитопения - </w:t>
      </w:r>
      <w:r>
        <w:t xml:space="preserve">транзиторная тромбоцитопения, возникающая в пренатальном и неонатальном периодах в ответ на патологические воздействия при заболеваниях беременной, плаценты, плода и новорожденного </w:t>
      </w:r>
      <w:r>
        <w:t xml:space="preserve">и при медицинских манипуляциях у больного новорожденного. </w:t>
      </w:r>
    </w:p>
    <w:p w:rsidR="007F750E" w:rsidRDefault="00780135">
      <w:pPr>
        <w:spacing w:after="37"/>
        <w:ind w:left="-15" w:right="49" w:firstLine="482"/>
      </w:pPr>
      <w:r>
        <w:rPr>
          <w:b/>
        </w:rPr>
        <w:t>Неонатальная аллоиммунная тромбоцитопения</w:t>
      </w:r>
      <w:r>
        <w:t xml:space="preserve"> (НАИТ) - преходящая тромбоцитопения плода и новорожденного, обусловленная иммунным конфликтом на основе антигенной несовместимости тромбоцитов плода и мате</w:t>
      </w:r>
      <w:r>
        <w:t xml:space="preserve">ри. </w:t>
      </w:r>
    </w:p>
    <w:p w:rsidR="007F750E" w:rsidRDefault="00780135">
      <w:pPr>
        <w:ind w:left="-15" w:right="49" w:firstLine="482"/>
      </w:pPr>
      <w:r>
        <w:rPr>
          <w:b/>
        </w:rPr>
        <w:t>Неонатальная трансиммунная тромбоцитопения</w:t>
      </w:r>
      <w:r>
        <w:t xml:space="preserve"> (НТИТ) - преходящая тромбоцитопения новорожденных, обусловленная трансплацентарным переходом материнских аутоантител IgG к тромбоцитам при идиопатической тромбоцитопенической пурпуре (ИТП) или системных забол</w:t>
      </w:r>
      <w:r>
        <w:t xml:space="preserve">еваниях соединительной ткани с аутоиммунными механизмами их развития (иммуноопосредованных воспалительных заболеваний (IMID) соединительной ткани) у матери.  </w:t>
      </w:r>
    </w:p>
    <w:p w:rsidR="007F750E" w:rsidRDefault="00780135">
      <w:pPr>
        <w:spacing w:after="115" w:line="259" w:lineRule="auto"/>
        <w:ind w:left="708" w:firstLine="0"/>
        <w:jc w:val="left"/>
      </w:pPr>
      <w:r>
        <w:t xml:space="preserve"> </w:t>
      </w:r>
    </w:p>
    <w:p w:rsidR="007F750E" w:rsidRDefault="00780135">
      <w:pPr>
        <w:spacing w:after="112" w:line="259" w:lineRule="auto"/>
        <w:ind w:left="708" w:firstLine="0"/>
        <w:jc w:val="left"/>
      </w:pPr>
      <w:r>
        <w:t xml:space="preserve"> </w:t>
      </w:r>
    </w:p>
    <w:p w:rsidR="007F750E" w:rsidRDefault="00780135">
      <w:pPr>
        <w:spacing w:after="115" w:line="259" w:lineRule="auto"/>
        <w:ind w:left="708" w:firstLine="0"/>
        <w:jc w:val="left"/>
      </w:pPr>
      <w:r>
        <w:t xml:space="preserve"> </w:t>
      </w:r>
    </w:p>
    <w:p w:rsidR="007F750E" w:rsidRDefault="00780135">
      <w:pPr>
        <w:spacing w:after="112" w:line="259" w:lineRule="auto"/>
        <w:ind w:left="708" w:firstLine="0"/>
        <w:jc w:val="left"/>
      </w:pPr>
      <w:r>
        <w:t xml:space="preserve"> </w:t>
      </w:r>
    </w:p>
    <w:p w:rsidR="007F750E" w:rsidRDefault="00780135">
      <w:pPr>
        <w:spacing w:after="115" w:line="259" w:lineRule="auto"/>
        <w:ind w:left="708" w:firstLine="0"/>
        <w:jc w:val="left"/>
      </w:pPr>
      <w:r>
        <w:t xml:space="preserve"> </w:t>
      </w:r>
    </w:p>
    <w:p w:rsidR="007F750E" w:rsidRDefault="00780135">
      <w:pPr>
        <w:spacing w:after="112" w:line="259" w:lineRule="auto"/>
        <w:ind w:left="708" w:firstLine="0"/>
        <w:jc w:val="left"/>
      </w:pPr>
      <w:r>
        <w:t xml:space="preserve"> </w:t>
      </w:r>
    </w:p>
    <w:p w:rsidR="007F750E" w:rsidRDefault="00780135">
      <w:pPr>
        <w:spacing w:after="115" w:line="259" w:lineRule="auto"/>
        <w:ind w:left="708" w:firstLine="0"/>
        <w:jc w:val="left"/>
      </w:pPr>
      <w:r>
        <w:t xml:space="preserve"> </w:t>
      </w:r>
    </w:p>
    <w:p w:rsidR="007F750E" w:rsidRDefault="00780135">
      <w:pPr>
        <w:spacing w:after="112" w:line="259" w:lineRule="auto"/>
        <w:ind w:left="708" w:firstLine="0"/>
        <w:jc w:val="left"/>
      </w:pPr>
      <w:r>
        <w:t xml:space="preserve"> </w:t>
      </w:r>
    </w:p>
    <w:p w:rsidR="007F750E" w:rsidRDefault="00780135">
      <w:pPr>
        <w:spacing w:after="115" w:line="259" w:lineRule="auto"/>
        <w:ind w:left="708" w:firstLine="0"/>
        <w:jc w:val="left"/>
      </w:pPr>
      <w:r>
        <w:t xml:space="preserve"> </w:t>
      </w:r>
    </w:p>
    <w:p w:rsidR="007F750E" w:rsidRDefault="00780135">
      <w:pPr>
        <w:spacing w:after="0" w:line="259" w:lineRule="auto"/>
        <w:ind w:left="708" w:firstLine="0"/>
        <w:jc w:val="left"/>
      </w:pPr>
      <w:r>
        <w:t xml:space="preserve"> </w:t>
      </w:r>
    </w:p>
    <w:p w:rsidR="007F750E" w:rsidRDefault="00780135">
      <w:pPr>
        <w:pStyle w:val="Heading1"/>
        <w:spacing w:line="401" w:lineRule="auto"/>
        <w:ind w:right="0"/>
      </w:pPr>
      <w:r>
        <w:t xml:space="preserve">1. Краткая информация по заболеванию или состоянию (группе заболеваний или состояний) </w:t>
      </w:r>
    </w:p>
    <w:p w:rsidR="007F750E" w:rsidRDefault="00780135">
      <w:pPr>
        <w:spacing w:after="0" w:line="398" w:lineRule="auto"/>
        <w:ind w:left="0" w:right="47" w:firstLine="708"/>
      </w:pPr>
      <w:r>
        <w:rPr>
          <w:b/>
          <w:u w:val="single" w:color="000000"/>
        </w:rPr>
        <w:t>1.1 Определение заболевания или состояния (группы заболеваний или</w:t>
      </w:r>
      <w:r>
        <w:rPr>
          <w:b/>
        </w:rPr>
        <w:t xml:space="preserve"> </w:t>
      </w:r>
    </w:p>
    <w:p w:rsidR="007F750E" w:rsidRDefault="00780135">
      <w:pPr>
        <w:pStyle w:val="Heading2"/>
        <w:spacing w:line="398" w:lineRule="auto"/>
        <w:ind w:left="0" w:right="47" w:firstLine="708"/>
      </w:pPr>
      <w:r>
        <w:t>состояний)</w:t>
      </w:r>
      <w:r>
        <w:rPr>
          <w:u w:val="none"/>
        </w:rPr>
        <w:t xml:space="preserve"> </w:t>
      </w:r>
    </w:p>
    <w:p w:rsidR="007F750E" w:rsidRDefault="00780135">
      <w:pPr>
        <w:ind w:left="-15" w:right="49" w:firstLine="708"/>
      </w:pPr>
      <w:r>
        <w:rPr>
          <w:b/>
        </w:rPr>
        <w:t>Преходящая неонатальная тромбоцитопения</w:t>
      </w:r>
      <w:r>
        <w:t xml:space="preserve"> - транзиторная тромбоцитопения, возникающая в прен</w:t>
      </w:r>
      <w:r>
        <w:t>атальном и неонатальном периодах в ответ на патологические воздействия при заболеваниях плода и новорожденного и при медицинских манипуляциях у больного новорожденного. Транзиторные тромбоцитопении длятся на протяжении первых дней и недель жизни (в зависим</w:t>
      </w:r>
      <w:r>
        <w:t xml:space="preserve">ости от этиологии) [3]. </w:t>
      </w:r>
    </w:p>
    <w:p w:rsidR="007F750E" w:rsidRDefault="00780135">
      <w:pPr>
        <w:spacing w:after="32"/>
        <w:ind w:left="-15" w:right="49" w:firstLine="708"/>
      </w:pPr>
      <w:r>
        <w:t xml:space="preserve">Преходящие неонатальные тромбоцитопении подразделяются на первичные и вторичные тромбоцитопении. </w:t>
      </w:r>
    </w:p>
    <w:p w:rsidR="007F750E" w:rsidRDefault="00780135">
      <w:pPr>
        <w:numPr>
          <w:ilvl w:val="0"/>
          <w:numId w:val="5"/>
        </w:numPr>
        <w:spacing w:after="37"/>
        <w:ind w:right="49"/>
      </w:pPr>
      <w:r>
        <w:rPr>
          <w:b/>
        </w:rPr>
        <w:t>Первичные тромбоцитопении</w:t>
      </w:r>
      <w:r>
        <w:t xml:space="preserve"> - </w:t>
      </w:r>
      <w:r>
        <w:t xml:space="preserve">самостоятельные нозологические формы заболеваний, в основе которых лежат иммунопатологические процессы (аллоиммунная и трансиммунная (аутоиммунная) тромбоцитопении). </w:t>
      </w:r>
    </w:p>
    <w:p w:rsidR="007F750E" w:rsidRDefault="00780135">
      <w:pPr>
        <w:spacing w:after="36"/>
        <w:ind w:left="-15" w:right="49" w:firstLine="482"/>
      </w:pPr>
      <w:r>
        <w:rPr>
          <w:b/>
        </w:rPr>
        <w:t>Неонатальная аллоиммунная тромбоцитопения</w:t>
      </w:r>
      <w:r>
        <w:t xml:space="preserve"> (НАИТ) - преходящая тромбоцитопения плода и нов</w:t>
      </w:r>
      <w:r>
        <w:t xml:space="preserve">орожденного, обусловленная иммунным конфликтом на основе антигенной несовместимости тромбоцитов плода и матери. </w:t>
      </w:r>
    </w:p>
    <w:p w:rsidR="007F750E" w:rsidRDefault="00780135">
      <w:pPr>
        <w:spacing w:after="231"/>
        <w:ind w:left="-15" w:right="49" w:firstLine="482"/>
      </w:pPr>
      <w:r>
        <w:rPr>
          <w:b/>
        </w:rPr>
        <w:t>Неонатальная трансиммунная (аутоиммунная) тромбоцитопения</w:t>
      </w:r>
      <w:r>
        <w:t xml:space="preserve"> (НТИТ) - преходящая тромбоцитопения новорожденных, обусловленная трансплацентарным пе</w:t>
      </w:r>
      <w:r>
        <w:t>реходом материнских аутоантител IgG к тромбоцитам при идиопатической тромбоцитопенической пурпуре (ИТП) или системных заболеваниях соединительной ткани с аутоиммунными механизмами их развития (иммуноопосредованных воспалительных заболеваний (IMID) соединит</w:t>
      </w:r>
      <w:r>
        <w:t>ельной ткани) у матери (системная красная волчанка и др.).  2.</w:t>
      </w:r>
      <w:r>
        <w:rPr>
          <w:rFonts w:ascii="Arial" w:eastAsia="Arial" w:hAnsi="Arial" w:cs="Arial"/>
        </w:rPr>
        <w:t xml:space="preserve"> </w:t>
      </w:r>
      <w:r>
        <w:rPr>
          <w:b/>
        </w:rPr>
        <w:t>Вторичные (симптоматические) транзиторные тромбоцитопении</w:t>
      </w:r>
      <w:r>
        <w:t xml:space="preserve">, возникающие на фоне различных патологических состояний перинатального периода и их терапии. </w:t>
      </w:r>
    </w:p>
    <w:p w:rsidR="007F750E" w:rsidRDefault="00780135">
      <w:pPr>
        <w:spacing w:after="0" w:line="401" w:lineRule="auto"/>
        <w:ind w:left="0" w:right="47" w:firstLine="708"/>
      </w:pPr>
      <w:r>
        <w:rPr>
          <w:b/>
          <w:u w:val="single" w:color="000000"/>
        </w:rPr>
        <w:t>1.2 Этиология и патогенез заболевания или</w:t>
      </w:r>
      <w:r>
        <w:rPr>
          <w:b/>
          <w:u w:val="single" w:color="000000"/>
        </w:rPr>
        <w:t xml:space="preserve"> состояния (группы заболеваний или</w:t>
      </w:r>
      <w:r>
        <w:rPr>
          <w:b/>
        </w:rPr>
        <w:t xml:space="preserve"> </w:t>
      </w:r>
      <w:r>
        <w:rPr>
          <w:b/>
          <w:u w:val="single" w:color="000000"/>
        </w:rPr>
        <w:t>состояний)</w:t>
      </w:r>
      <w:r>
        <w:rPr>
          <w:b/>
        </w:rPr>
        <w:t xml:space="preserve"> </w:t>
      </w:r>
    </w:p>
    <w:p w:rsidR="007F750E" w:rsidRDefault="00780135">
      <w:pPr>
        <w:pStyle w:val="Heading2"/>
        <w:spacing w:after="115" w:line="259" w:lineRule="auto"/>
        <w:ind w:left="0" w:right="61" w:firstLine="0"/>
        <w:jc w:val="right"/>
      </w:pPr>
      <w:r>
        <w:rPr>
          <w:b w:val="0"/>
        </w:rPr>
        <w:t>Основные факторы риска транзиторных неонатальных тромбоцитопений [4, 5, 6, 7,</w:t>
      </w:r>
      <w:r>
        <w:rPr>
          <w:b w:val="0"/>
          <w:u w:val="none"/>
        </w:rPr>
        <w:t xml:space="preserve"> </w:t>
      </w:r>
    </w:p>
    <w:p w:rsidR="007F750E" w:rsidRDefault="00780135">
      <w:pPr>
        <w:spacing w:after="163" w:line="259" w:lineRule="auto"/>
        <w:ind w:left="-5"/>
        <w:jc w:val="left"/>
      </w:pPr>
      <w:r>
        <w:rPr>
          <w:u w:val="single" w:color="000000"/>
        </w:rPr>
        <w:t>8, 9]:</w:t>
      </w:r>
      <w:r>
        <w:t xml:space="preserve"> </w:t>
      </w:r>
    </w:p>
    <w:p w:rsidR="007F750E" w:rsidRDefault="00780135">
      <w:pPr>
        <w:numPr>
          <w:ilvl w:val="0"/>
          <w:numId w:val="6"/>
        </w:numPr>
        <w:ind w:right="49" w:hanging="660"/>
      </w:pPr>
      <w:r>
        <w:t>Пренатальные (материнские и плацентарные): материнские факторы: гипертоническая болезнь, эклампсия, сахарный диабет, лекар</w:t>
      </w:r>
      <w:r>
        <w:t>ственная терапия, инфекции, выработка аутоиммунных или аллоиммунных антитромбоцитарных антител, аHELLP синдром (HELLP: H- Haemolysis – гемолиз, EL -  Elevated Liver enzymes – повышение уровня ферментов печени, LP - Low Platelet – низкий уровень тромбоцитов</w:t>
      </w:r>
      <w:r>
        <w:t xml:space="preserve">); </w:t>
      </w:r>
    </w:p>
    <w:p w:rsidR="007F750E" w:rsidRDefault="00780135">
      <w:pPr>
        <w:spacing w:after="49"/>
        <w:ind w:left="1428" w:right="49" w:hanging="360"/>
      </w:pPr>
      <w:r>
        <w:rPr>
          <w:rFonts w:ascii="Courier New" w:eastAsia="Courier New" w:hAnsi="Courier New" w:cs="Courier New"/>
        </w:rPr>
        <w:t>­</w:t>
      </w:r>
      <w:r>
        <w:rPr>
          <w:rFonts w:ascii="Arial" w:eastAsia="Arial" w:hAnsi="Arial" w:cs="Arial"/>
        </w:rPr>
        <w:t xml:space="preserve"> </w:t>
      </w:r>
      <w:r>
        <w:t xml:space="preserve">плацентарные факторы: отслойка плаценты, хроническая плацентарная недостаточность, тромбоз сосудов плаценты. </w:t>
      </w:r>
    </w:p>
    <w:p w:rsidR="007F750E" w:rsidRDefault="00780135">
      <w:pPr>
        <w:numPr>
          <w:ilvl w:val="0"/>
          <w:numId w:val="6"/>
        </w:numPr>
        <w:spacing w:after="39"/>
        <w:ind w:right="49" w:hanging="660"/>
      </w:pPr>
      <w:r>
        <w:t>Неонатальные факторы: асфиксия, задержка внутриутробного развития (ЗВУР), сепсис, некротизирующий энтероколит (НЭК), полицитемия, холодовая травма, тяжелая гипербилирубинемия, тяжелая гемолитическая болезнь новорожденных, перинатальные инфекции, тромбоз по</w:t>
      </w:r>
      <w:r>
        <w:t xml:space="preserve">чечных сосудов и другие тромботические состояния. </w:t>
      </w:r>
    </w:p>
    <w:p w:rsidR="007F750E" w:rsidRDefault="00780135">
      <w:pPr>
        <w:numPr>
          <w:ilvl w:val="0"/>
          <w:numId w:val="6"/>
        </w:numPr>
        <w:spacing w:after="37"/>
        <w:ind w:right="49" w:hanging="660"/>
      </w:pPr>
      <w:r>
        <w:t>Медицинские вмешательства (процедуры и лекарственные препараты): заменное переливание крови, фототерапия кожи, экстракорпоральная мембранная оксигенация, катетеризация подключичной и других центральных вен</w:t>
      </w:r>
      <w:r>
        <w:t xml:space="preserve">, терапевтическая гипотермия, побочные эффекты лекарственной терапии (антибактериальной, противовирусной, гепаринотерапии).   </w:t>
      </w:r>
    </w:p>
    <w:p w:rsidR="007F750E" w:rsidRDefault="00780135">
      <w:pPr>
        <w:spacing w:after="33"/>
        <w:ind w:left="-15" w:right="49" w:firstLine="708"/>
      </w:pPr>
      <w:r>
        <w:t xml:space="preserve">Транзиторная неонатальная тромбоцитопения - </w:t>
      </w:r>
      <w:r>
        <w:t xml:space="preserve">мультифакторное состояние, поэтому у ребенка может регистрироваться 2 и более факторов риска, вызывающих тромбоцитопению. </w:t>
      </w:r>
    </w:p>
    <w:p w:rsidR="007F750E" w:rsidRDefault="00780135">
      <w:pPr>
        <w:spacing w:after="163" w:line="259" w:lineRule="auto"/>
        <w:ind w:left="718"/>
        <w:jc w:val="left"/>
      </w:pPr>
      <w:r>
        <w:rPr>
          <w:u w:val="single" w:color="000000"/>
        </w:rPr>
        <w:t>Основные механизмы развития неонатальной тромбоцитопении:</w:t>
      </w:r>
      <w:r>
        <w:t xml:space="preserve"> </w:t>
      </w:r>
    </w:p>
    <w:p w:rsidR="007F750E" w:rsidRDefault="00780135">
      <w:pPr>
        <w:numPr>
          <w:ilvl w:val="0"/>
          <w:numId w:val="7"/>
        </w:numPr>
        <w:spacing w:after="34"/>
        <w:ind w:right="49" w:hanging="672"/>
      </w:pPr>
      <w:r>
        <w:t>Разрушение тромбоцитов, как результат трансплацентарного переноса материнс</w:t>
      </w:r>
      <w:r>
        <w:t xml:space="preserve">ких тромбоцитарных аллоантител или аутоантител.   </w:t>
      </w:r>
    </w:p>
    <w:p w:rsidR="007F750E" w:rsidRDefault="00780135">
      <w:pPr>
        <w:numPr>
          <w:ilvl w:val="0"/>
          <w:numId w:val="7"/>
        </w:numPr>
        <w:spacing w:after="36"/>
        <w:ind w:right="49" w:hanging="672"/>
      </w:pPr>
      <w:r>
        <w:t>Потребление тромбоцитов у детей с тяжелой перинатальной асфиксией и инфекцией, при сосудистом тромбозе или активации тромбоцитов в местах воспаления (НЭК), при спленомегалии с селезеночной секвестрацией тр</w:t>
      </w:r>
      <w:r>
        <w:t xml:space="preserve">омбоцитов, при диссеминированном внутрисосудистом свертывании (ДВС) и др. </w:t>
      </w:r>
    </w:p>
    <w:p w:rsidR="007F750E" w:rsidRDefault="00780135">
      <w:pPr>
        <w:numPr>
          <w:ilvl w:val="0"/>
          <w:numId w:val="7"/>
        </w:numPr>
        <w:spacing w:after="34"/>
        <w:ind w:right="49" w:hanging="672"/>
      </w:pPr>
      <w:r>
        <w:t>Нарушение мегакариоцитопоэза и выработки тромбоцитов у плода при гипертонии у матери, при плацентарной недостаточности и/или гипоксии плода с ЗВУР, а также у преждевременно рожденны</w:t>
      </w:r>
      <w:r>
        <w:t xml:space="preserve">х младенцев. </w:t>
      </w:r>
    </w:p>
    <w:p w:rsidR="007F750E" w:rsidRDefault="00780135">
      <w:pPr>
        <w:numPr>
          <w:ilvl w:val="0"/>
          <w:numId w:val="7"/>
        </w:numPr>
        <w:spacing w:after="119" w:line="259" w:lineRule="auto"/>
        <w:ind w:right="49" w:hanging="672"/>
      </w:pPr>
      <w:r>
        <w:t xml:space="preserve">Комбинированные механизмы. </w:t>
      </w:r>
    </w:p>
    <w:p w:rsidR="007F750E" w:rsidRDefault="00780135">
      <w:pPr>
        <w:spacing w:after="18" w:line="383" w:lineRule="auto"/>
        <w:ind w:left="-15" w:firstLine="708"/>
        <w:jc w:val="left"/>
      </w:pPr>
      <w:r>
        <w:rPr>
          <w:u w:val="single" w:color="000000"/>
        </w:rPr>
        <w:t>Выделяют иммунные и неиммунные причины транзиторных неонатальных</w:t>
      </w:r>
      <w:r>
        <w:t xml:space="preserve"> </w:t>
      </w:r>
      <w:r>
        <w:rPr>
          <w:u w:val="single" w:color="000000"/>
        </w:rPr>
        <w:t>тромбоцитопений</w:t>
      </w:r>
      <w:r>
        <w:t xml:space="preserve"> [5, 10, 11]: </w:t>
      </w:r>
    </w:p>
    <w:p w:rsidR="007F750E" w:rsidRDefault="00780135">
      <w:pPr>
        <w:numPr>
          <w:ilvl w:val="1"/>
          <w:numId w:val="7"/>
        </w:numPr>
        <w:ind w:right="49" w:hanging="360"/>
      </w:pPr>
      <w:r>
        <w:t>Иммунные тромбоцитопении являются иммунопатологическими и представлены аллоиммунной (НАИТ) и трансиммунной (аутоиммунно</w:t>
      </w:r>
      <w:r>
        <w:t xml:space="preserve">й) (НТИТ) тромбоцитопенией: </w:t>
      </w:r>
    </w:p>
    <w:p w:rsidR="007F750E" w:rsidRDefault="00780135">
      <w:pPr>
        <w:spacing w:after="38"/>
        <w:ind w:left="1426" w:right="49"/>
      </w:pPr>
      <w:r>
        <w:t>При НАИТ у матери вырабатываются антитела против тромбоцитарного антигена, который присутствует у плода, но отсутствует у матери. Антиген передается по наследству от отца плоду. Антитело (IgG), вырабатываемое матерью, проникает</w:t>
      </w:r>
      <w:r>
        <w:t xml:space="preserve"> через плаценту и попадает к плоду, что приводит к разрушению тромбоцитов и подавлению развития мегакариоцитов.  Антитромбоцитарные антитела вступают в перекрестную реакцию с интегрином aVb3 на эндотелиальных клетках и нарушают ангиогенез, что может быть к</w:t>
      </w:r>
      <w:r>
        <w:t xml:space="preserve">лючевым механизмом, вызывающим внутричерепное кровоизлияние (ВЧК).  </w:t>
      </w:r>
    </w:p>
    <w:p w:rsidR="007F750E" w:rsidRDefault="00780135">
      <w:pPr>
        <w:spacing w:after="39"/>
        <w:ind w:left="1426" w:right="49"/>
      </w:pPr>
      <w:r>
        <w:t>При НТИТ антитело направлено против антигена, содержащегося в собственных тромбоцитах матери и в тромбоцитах ребенка. Материнские аутоантитела проникают через плаценту, что приводит к раз</w:t>
      </w:r>
      <w:r>
        <w:t xml:space="preserve">рушению тромбоцитов плода и тромбоцитопении. </w:t>
      </w:r>
    </w:p>
    <w:p w:rsidR="007F750E" w:rsidRDefault="00780135">
      <w:pPr>
        <w:numPr>
          <w:ilvl w:val="1"/>
          <w:numId w:val="7"/>
        </w:numPr>
        <w:spacing w:after="230"/>
        <w:ind w:right="49" w:hanging="360"/>
      </w:pPr>
      <w:r>
        <w:t xml:space="preserve">Неиммунные тромбоцитопении могут вызываться различными причинами, представленные в начале подраздела. </w:t>
      </w:r>
    </w:p>
    <w:p w:rsidR="007F750E" w:rsidRDefault="00780135">
      <w:pPr>
        <w:pStyle w:val="Heading3"/>
        <w:spacing w:line="398" w:lineRule="auto"/>
        <w:ind w:left="0" w:right="47" w:firstLine="708"/>
      </w:pPr>
      <w:r>
        <w:t>1.3 Эпидемиология заболевания или состояния (группы заболеваний или</w:t>
      </w:r>
      <w:r>
        <w:rPr>
          <w:u w:val="none"/>
        </w:rPr>
        <w:t xml:space="preserve"> </w:t>
      </w:r>
      <w:r>
        <w:t>состояний)</w:t>
      </w:r>
      <w:r>
        <w:rPr>
          <w:u w:val="none"/>
        </w:rPr>
        <w:t xml:space="preserve"> </w:t>
      </w:r>
    </w:p>
    <w:p w:rsidR="007F750E" w:rsidRDefault="00780135">
      <w:pPr>
        <w:ind w:left="-15" w:right="49" w:firstLine="708"/>
      </w:pPr>
      <w:r>
        <w:rPr>
          <w:noProof/>
        </w:rPr>
        <w:drawing>
          <wp:anchor distT="0" distB="0" distL="114300" distR="114300" simplePos="0" relativeHeight="251660288" behindDoc="0" locked="0" layoutInCell="1" allowOverlap="0">
            <wp:simplePos x="0" y="0"/>
            <wp:positionH relativeFrom="column">
              <wp:posOffset>3033979</wp:posOffset>
            </wp:positionH>
            <wp:positionV relativeFrom="paragraph">
              <wp:posOffset>721220</wp:posOffset>
            </wp:positionV>
            <wp:extent cx="51816" cy="67056"/>
            <wp:effectExtent l="0" t="0" r="0" b="0"/>
            <wp:wrapSquare wrapText="bothSides"/>
            <wp:docPr id="54101" name="Picture 54101"/>
            <wp:cNvGraphicFramePr/>
            <a:graphic xmlns:a="http://schemas.openxmlformats.org/drawingml/2006/main">
              <a:graphicData uri="http://schemas.openxmlformats.org/drawingml/2006/picture">
                <pic:pic xmlns:pic="http://schemas.openxmlformats.org/drawingml/2006/picture">
                  <pic:nvPicPr>
                    <pic:cNvPr id="54101" name="Picture 54101"/>
                    <pic:cNvPicPr/>
                  </pic:nvPicPr>
                  <pic:blipFill>
                    <a:blip r:embed="rId12"/>
                    <a:stretch>
                      <a:fillRect/>
                    </a:stretch>
                  </pic:blipFill>
                  <pic:spPr>
                    <a:xfrm>
                      <a:off x="0" y="0"/>
                      <a:ext cx="51816" cy="67056"/>
                    </a:xfrm>
                    <a:prstGeom prst="rect">
                      <a:avLst/>
                    </a:prstGeom>
                  </pic:spPr>
                </pic:pic>
              </a:graphicData>
            </a:graphic>
          </wp:anchor>
        </w:drawing>
      </w:r>
      <w:r>
        <w:t>Частота тромбоцитопений у новорожденных: 0,7 - 0,9%, из них в 10% случаев выявляется аллоиммунная тромбоцитопения. В ОРИТН у 20 - 30% новорожденных выявляется тромбоцитопения, у 20 - 25% детей с тромбоцитопенией регистрируется тяжелая степень тромбоцитопен</w:t>
      </w:r>
      <w:r>
        <w:t>ии (&lt;50 х 10/л). Среди младенцев с массой тела при рождении &lt;1000 г частота тромбоцитопений - 50 - 75%. Частота неонатальной аллоиммунной тромбоцитопении составляет 0,1 - 1,5 на 1000 живорожденных. Частота ВЧК при НАИТ составляет 10 – 30 % [7, 16, 17, 18].</w:t>
      </w:r>
      <w:r>
        <w:t xml:space="preserve"> </w:t>
      </w:r>
    </w:p>
    <w:p w:rsidR="007F750E" w:rsidRDefault="00780135">
      <w:pPr>
        <w:spacing w:after="279"/>
        <w:ind w:left="-15" w:right="49" w:firstLine="708"/>
      </w:pPr>
      <w:r>
        <w:rPr>
          <w:noProof/>
        </w:rPr>
        <w:drawing>
          <wp:anchor distT="0" distB="0" distL="114300" distR="114300" simplePos="0" relativeHeight="251661312" behindDoc="0" locked="0" layoutInCell="1" allowOverlap="0">
            <wp:simplePos x="0" y="0"/>
            <wp:positionH relativeFrom="column">
              <wp:posOffset>747979</wp:posOffset>
            </wp:positionH>
            <wp:positionV relativeFrom="paragraph">
              <wp:posOffset>455807</wp:posOffset>
            </wp:positionV>
            <wp:extent cx="54864" cy="67056"/>
            <wp:effectExtent l="0" t="0" r="0" b="0"/>
            <wp:wrapSquare wrapText="bothSides"/>
            <wp:docPr id="54102" name="Picture 54102"/>
            <wp:cNvGraphicFramePr/>
            <a:graphic xmlns:a="http://schemas.openxmlformats.org/drawingml/2006/main">
              <a:graphicData uri="http://schemas.openxmlformats.org/drawingml/2006/picture">
                <pic:pic xmlns:pic="http://schemas.openxmlformats.org/drawingml/2006/picture">
                  <pic:nvPicPr>
                    <pic:cNvPr id="54102" name="Picture 54102"/>
                    <pic:cNvPicPr/>
                  </pic:nvPicPr>
                  <pic:blipFill>
                    <a:blip r:embed="rId13"/>
                    <a:stretch>
                      <a:fillRect/>
                    </a:stretch>
                  </pic:blipFill>
                  <pic:spPr>
                    <a:xfrm>
                      <a:off x="0" y="0"/>
                      <a:ext cx="54864" cy="67056"/>
                    </a:xfrm>
                    <a:prstGeom prst="rect">
                      <a:avLst/>
                    </a:prstGeom>
                  </pic:spPr>
                </pic:pic>
              </a:graphicData>
            </a:graphic>
          </wp:anchor>
        </w:drawing>
      </w:r>
      <w:r>
        <w:rPr>
          <w:noProof/>
        </w:rPr>
        <w:drawing>
          <wp:anchor distT="0" distB="0" distL="114300" distR="114300" simplePos="0" relativeHeight="251662336" behindDoc="0" locked="0" layoutInCell="1" allowOverlap="0">
            <wp:simplePos x="0" y="0"/>
            <wp:positionH relativeFrom="column">
              <wp:posOffset>1687779</wp:posOffset>
            </wp:positionH>
            <wp:positionV relativeFrom="paragraph">
              <wp:posOffset>735207</wp:posOffset>
            </wp:positionV>
            <wp:extent cx="51816" cy="67056"/>
            <wp:effectExtent l="0" t="0" r="0" b="0"/>
            <wp:wrapSquare wrapText="bothSides"/>
            <wp:docPr id="54103" name="Picture 54103"/>
            <wp:cNvGraphicFramePr/>
            <a:graphic xmlns:a="http://schemas.openxmlformats.org/drawingml/2006/main">
              <a:graphicData uri="http://schemas.openxmlformats.org/drawingml/2006/picture">
                <pic:pic xmlns:pic="http://schemas.openxmlformats.org/drawingml/2006/picture">
                  <pic:nvPicPr>
                    <pic:cNvPr id="54103" name="Picture 54103"/>
                    <pic:cNvPicPr/>
                  </pic:nvPicPr>
                  <pic:blipFill>
                    <a:blip r:embed="rId14"/>
                    <a:stretch>
                      <a:fillRect/>
                    </a:stretch>
                  </pic:blipFill>
                  <pic:spPr>
                    <a:xfrm>
                      <a:off x="0" y="0"/>
                      <a:ext cx="51816" cy="67056"/>
                    </a:xfrm>
                    <a:prstGeom prst="rect">
                      <a:avLst/>
                    </a:prstGeom>
                  </pic:spPr>
                </pic:pic>
              </a:graphicData>
            </a:graphic>
          </wp:anchor>
        </w:drawing>
      </w:r>
      <w:r>
        <w:t>У беременных ИТП регистрируется с частотой 1 случай на 1000 беременностей. Частота развития НТИТ со снижением количества тромбоцитов у новорожденного ниже 100–150×10 /л составляет от 20 до 40 %, а в более тяжелой форме с количеством тромбоцитов ниже 50</w:t>
      </w:r>
      <w:r>
        <w:t xml:space="preserve">×10 /л — около 10 %. Внутричерепные кровоизлияния, как и в случае НАИТ, являются наиболее грозными осложнениями НТИТ, однако встречаются существенно реже — у 1–2 % новорожденных [19, 20, 21, 22]. </w:t>
      </w:r>
    </w:p>
    <w:p w:rsidR="007F750E" w:rsidRDefault="00780135">
      <w:pPr>
        <w:pStyle w:val="Heading3"/>
        <w:spacing w:line="379" w:lineRule="auto"/>
        <w:ind w:left="0" w:right="47" w:firstLine="708"/>
      </w:pPr>
      <w:r>
        <w:t>1.4 Особенности кодирования заболевания или состояния (груп</w:t>
      </w:r>
      <w:r>
        <w:t>пы заболеваний</w:t>
      </w:r>
      <w:r>
        <w:rPr>
          <w:u w:val="none"/>
        </w:rPr>
        <w:t xml:space="preserve"> </w:t>
      </w:r>
      <w:r>
        <w:t>или состояний) по Международной статистической классификации болезней и</w:t>
      </w:r>
      <w:r>
        <w:rPr>
          <w:u w:val="none"/>
        </w:rPr>
        <w:t xml:space="preserve"> </w:t>
      </w:r>
      <w:r>
        <w:t>проблем, связанных со здоровьем</w:t>
      </w:r>
      <w:r>
        <w:rPr>
          <w:u w:val="none"/>
        </w:rPr>
        <w:t xml:space="preserve"> </w:t>
      </w:r>
    </w:p>
    <w:p w:rsidR="007F750E" w:rsidRDefault="00780135">
      <w:pPr>
        <w:spacing w:line="259" w:lineRule="auto"/>
        <w:ind w:left="718" w:right="49"/>
      </w:pPr>
      <w:r>
        <w:rPr>
          <w:b/>
        </w:rPr>
        <w:t xml:space="preserve">Р61.0 </w:t>
      </w:r>
      <w:r>
        <w:t xml:space="preserve">Преходящая неонатальная тромбоцитопения  </w:t>
      </w:r>
    </w:p>
    <w:p w:rsidR="007F750E" w:rsidRDefault="00780135">
      <w:pPr>
        <w:spacing w:after="32"/>
        <w:ind w:left="-15" w:right="49" w:firstLine="708"/>
      </w:pPr>
      <w:r>
        <w:t>Неонатальная тромбоцитопения, обусловленная: обменной трансфузией, идиопатической тромбо</w:t>
      </w:r>
      <w:r>
        <w:t xml:space="preserve">цитопенией у матери, изоиммунизацией. </w:t>
      </w:r>
    </w:p>
    <w:p w:rsidR="007F750E" w:rsidRDefault="00780135">
      <w:pPr>
        <w:ind w:left="-15" w:right="49" w:firstLine="708"/>
      </w:pPr>
      <w:r>
        <w:t>Если транзиторная тромбоцитопения входит в симптомокомплекс заболевания новорожденного, имеющей свой код МКБ Х (сепсис новорожденного, врожденная цитомегаловирусная инфекция (ЦМВИ), НЭК, тромбоз крупных сосудов и т.д.</w:t>
      </w:r>
      <w:r>
        <w:t xml:space="preserve">), то тромбоцитопения отдельным диагнозом не шифруется. Указывается степень тромбоцитопении и клиническая характеристика при обосновании диагноза. </w:t>
      </w:r>
      <w:r>
        <w:rPr>
          <w:b/>
        </w:rPr>
        <w:t xml:space="preserve"> </w:t>
      </w:r>
    </w:p>
    <w:p w:rsidR="007F750E" w:rsidRDefault="00780135">
      <w:pPr>
        <w:spacing w:after="235"/>
        <w:ind w:left="-15" w:right="49" w:firstLine="708"/>
      </w:pPr>
      <w:r>
        <w:t>При транзиторных тромбоцитопениях вследствие болезней матери или приема лекарственных препаратов матерью и/</w:t>
      </w:r>
      <w:r>
        <w:t>или плацентарной недостаточности, когда при физикальном и лабораторном обследовании ребенка выявляются только «малые» клинические проявления кровоточивости и/или умеренные транзиторные снижения числа тромбоцитов при условии исключения других причин неоната</w:t>
      </w:r>
      <w:r>
        <w:t xml:space="preserve">льной тромбоцитопении, возможно использовать шифр Р61.0. </w:t>
      </w:r>
    </w:p>
    <w:p w:rsidR="007F750E" w:rsidRDefault="00780135">
      <w:pPr>
        <w:pStyle w:val="Heading3"/>
        <w:spacing w:line="398" w:lineRule="auto"/>
        <w:ind w:left="0" w:right="47" w:firstLine="708"/>
      </w:pPr>
      <w:r>
        <w:t>1.5 Классификация заболевания или состояния (группы заболеваний или</w:t>
      </w:r>
      <w:r>
        <w:rPr>
          <w:u w:val="none"/>
        </w:rPr>
        <w:t xml:space="preserve"> </w:t>
      </w:r>
      <w:r>
        <w:t>состояний)</w:t>
      </w:r>
      <w:r>
        <w:rPr>
          <w:u w:val="none"/>
        </w:rPr>
        <w:t xml:space="preserve"> </w:t>
      </w:r>
    </w:p>
    <w:p w:rsidR="007F750E" w:rsidRDefault="00780135">
      <w:pPr>
        <w:spacing w:after="168" w:line="259" w:lineRule="auto"/>
        <w:ind w:left="718" w:right="49"/>
      </w:pPr>
      <w:r>
        <w:t xml:space="preserve">Преходящая неонатальная тромбоцитопения классифицируется: </w:t>
      </w:r>
    </w:p>
    <w:p w:rsidR="007F750E" w:rsidRDefault="00780135">
      <w:pPr>
        <w:spacing w:after="159" w:line="259" w:lineRule="auto"/>
        <w:ind w:left="715"/>
        <w:jc w:val="left"/>
      </w:pPr>
      <w:r>
        <w:rPr>
          <w:b/>
        </w:rPr>
        <w:t xml:space="preserve">По этиологическому фактору:  </w:t>
      </w:r>
    </w:p>
    <w:p w:rsidR="007F750E" w:rsidRDefault="00780135">
      <w:pPr>
        <w:numPr>
          <w:ilvl w:val="0"/>
          <w:numId w:val="8"/>
        </w:numPr>
        <w:spacing w:after="35"/>
        <w:ind w:right="49" w:hanging="360"/>
      </w:pPr>
      <w:r>
        <w:t xml:space="preserve">Первичные тромбоцитопении, иммуно-опосредованные (аллоиммунная и трансиммунная неонатальные тромбоцитопении); </w:t>
      </w:r>
    </w:p>
    <w:p w:rsidR="007F750E" w:rsidRDefault="00780135">
      <w:pPr>
        <w:numPr>
          <w:ilvl w:val="0"/>
          <w:numId w:val="8"/>
        </w:numPr>
        <w:spacing w:after="40"/>
        <w:ind w:right="49" w:hanging="360"/>
      </w:pPr>
      <w:r>
        <w:t xml:space="preserve">Вторичные (симптоматические) транзиторные тромбоцитопении, возникают на фоне заболеваний беременной, плаценты, плода или новорожденного. </w:t>
      </w:r>
    </w:p>
    <w:p w:rsidR="007F750E" w:rsidRDefault="00780135">
      <w:pPr>
        <w:spacing w:after="157" w:line="259" w:lineRule="auto"/>
        <w:ind w:left="715"/>
        <w:jc w:val="left"/>
      </w:pPr>
      <w:r>
        <w:rPr>
          <w:b/>
        </w:rPr>
        <w:t>По врем</w:t>
      </w:r>
      <w:r>
        <w:rPr>
          <w:b/>
        </w:rPr>
        <w:t xml:space="preserve">ени возникновения:  </w:t>
      </w:r>
    </w:p>
    <w:p w:rsidR="007F750E" w:rsidRDefault="00780135">
      <w:pPr>
        <w:numPr>
          <w:ilvl w:val="0"/>
          <w:numId w:val="9"/>
        </w:numPr>
        <w:spacing w:after="37"/>
        <w:ind w:right="49" w:hanging="360"/>
      </w:pPr>
      <w:r>
        <w:t>Ранняя неонатальная тромбоцитопения (регистрируется в первые 72 часа после рождения). Составляет 75% всех случаев преходящей неонатальной тромбоцитопении и связана с воздействием материнских и плацентарных факторов с пренатальным или и</w:t>
      </w:r>
      <w:r>
        <w:t xml:space="preserve">нтранатальным «поражением» ребенка. Ранняя неонатальная тромбоцитопения может развиваться и до рождения – фетальная тромбоцитопения, но обнаруживается в первые 3 дня после рождения, если не проводится исследование крови плода. Для оценки числа тромбоцитов </w:t>
      </w:r>
      <w:r>
        <w:t>пользуются референсными значениями номограмм числа тромбоцитов у новорожденных в зависимости от гестационного возраста первых 72 часов жизни (</w:t>
      </w:r>
      <w:r>
        <w:rPr>
          <w:b/>
        </w:rPr>
        <w:t>Приложение А3.2</w:t>
      </w:r>
      <w:r>
        <w:t xml:space="preserve">) [23, 24, 25].  </w:t>
      </w:r>
    </w:p>
    <w:p w:rsidR="007F750E" w:rsidRDefault="00780135">
      <w:pPr>
        <w:numPr>
          <w:ilvl w:val="0"/>
          <w:numId w:val="9"/>
        </w:numPr>
        <w:spacing w:after="41"/>
        <w:ind w:right="49" w:hanging="360"/>
      </w:pPr>
      <w:r>
        <w:t>Поздняя тромбоцитопения (регистрируется после 72 часов жизни). Поздняя тромбоцитопения связана с поздней манифестацией внутриутробных инфекций, с развитием позднего неонатального сепсиса, НЭК, тромбоза крупных сосудов и побочными эффектами лекарственной те</w:t>
      </w:r>
      <w:r>
        <w:t>рапии.  Тромбоцитопению регистрируют по общепринятым (для детей и взрослых) значениям – менее 150×10</w:t>
      </w:r>
      <w:r>
        <w:rPr>
          <w:rFonts w:ascii="Calibri" w:eastAsia="Calibri" w:hAnsi="Calibri" w:cs="Calibri"/>
        </w:rPr>
        <w:t>⁹</w:t>
      </w:r>
      <w:r>
        <w:t xml:space="preserve">/л [6, 8].  </w:t>
      </w:r>
    </w:p>
    <w:p w:rsidR="007F750E" w:rsidRDefault="00780135">
      <w:pPr>
        <w:spacing w:after="110" w:line="259" w:lineRule="auto"/>
        <w:ind w:left="715"/>
        <w:jc w:val="left"/>
      </w:pPr>
      <w:r>
        <w:rPr>
          <w:b/>
        </w:rPr>
        <w:t xml:space="preserve">По тяжести процесса: </w:t>
      </w:r>
    </w:p>
    <w:p w:rsidR="007F750E" w:rsidRDefault="00780135">
      <w:pPr>
        <w:spacing w:after="30"/>
        <w:ind w:left="-15" w:right="49" w:firstLine="708"/>
      </w:pPr>
      <w:r>
        <w:t xml:space="preserve">В зависимости от степени тяжести тромбоцитопении выделяют легкую, среднетяжелую и тяжелую формы [18, 26, 27, 28, 29]: </w:t>
      </w:r>
    </w:p>
    <w:p w:rsidR="007F750E" w:rsidRDefault="00780135">
      <w:pPr>
        <w:numPr>
          <w:ilvl w:val="0"/>
          <w:numId w:val="10"/>
        </w:numPr>
        <w:spacing w:after="157" w:line="259" w:lineRule="auto"/>
        <w:ind w:right="49" w:hanging="360"/>
      </w:pPr>
      <w:r>
        <w:t>1</w:t>
      </w:r>
      <w:r>
        <w:t xml:space="preserve">00-149 ×10 9/л – легкая;  </w:t>
      </w:r>
    </w:p>
    <w:p w:rsidR="007F750E" w:rsidRDefault="00780135">
      <w:pPr>
        <w:numPr>
          <w:ilvl w:val="0"/>
          <w:numId w:val="10"/>
        </w:numPr>
        <w:spacing w:after="158" w:line="259" w:lineRule="auto"/>
        <w:ind w:right="49" w:hanging="360"/>
      </w:pPr>
      <w:r>
        <w:t xml:space="preserve">50-99 ×10 9/л – средней тяжести (умеренная); </w:t>
      </w:r>
    </w:p>
    <w:p w:rsidR="007F750E" w:rsidRDefault="00780135">
      <w:pPr>
        <w:numPr>
          <w:ilvl w:val="0"/>
          <w:numId w:val="10"/>
        </w:numPr>
        <w:spacing w:after="360" w:line="259" w:lineRule="auto"/>
        <w:ind w:right="49" w:hanging="360"/>
      </w:pPr>
      <w:r>
        <w:t xml:space="preserve">менее 50 ×10 9/л – тяжелая; </w:t>
      </w:r>
    </w:p>
    <w:p w:rsidR="007F750E" w:rsidRDefault="00780135">
      <w:pPr>
        <w:pStyle w:val="Heading3"/>
        <w:spacing w:line="398" w:lineRule="auto"/>
        <w:ind w:left="0" w:right="47" w:firstLine="708"/>
      </w:pPr>
      <w:r>
        <w:t>1.6 Клиническая картина заболевания или состояния (группы заболеваний или</w:t>
      </w:r>
      <w:r>
        <w:rPr>
          <w:u w:val="none"/>
        </w:rPr>
        <w:t xml:space="preserve"> </w:t>
      </w:r>
      <w:r>
        <w:t>состояний)</w:t>
      </w:r>
      <w:r>
        <w:rPr>
          <w:u w:val="none"/>
        </w:rPr>
        <w:t xml:space="preserve"> </w:t>
      </w:r>
    </w:p>
    <w:p w:rsidR="007F750E" w:rsidRDefault="00780135">
      <w:pPr>
        <w:ind w:left="-15" w:right="49" w:firstLine="708"/>
      </w:pPr>
      <w:r>
        <w:t>Клиническая картина у пациентов с преходящей неонатальной тромбоцитопенией складывается из общих клинических симптомов нарушения сосудисто-тромбоцитарного гемостаза и персонифицированных клинических симптомов, связанных с конкретными нозологическими формам</w:t>
      </w:r>
      <w:r>
        <w:t xml:space="preserve">и (факторами риска). </w:t>
      </w:r>
    </w:p>
    <w:p w:rsidR="007F750E" w:rsidRDefault="00780135">
      <w:pPr>
        <w:spacing w:after="34"/>
        <w:ind w:left="-15" w:right="49" w:firstLine="708"/>
      </w:pPr>
      <w:r>
        <w:t>Основным клиническим проявлением тромбоцитопении является геморрагический синдром различной степени. Тромбоциты выполняют ангиотрофическую функцию, при дефиците тромбоцитов сосудистый эндотелий становится порозным, повышенопроницаемым</w:t>
      </w:r>
      <w:r>
        <w:t>, ломким, что приводит к возникновению геморрагий и кровотечений из микроциркуляторного русла. Для поддержания трофики сосудов достаточно 10-15% тромбоцитов от числа циркулирующих в периферической крови. Число тромбоцитов 15-30 х 10</w:t>
      </w:r>
      <w:r>
        <w:rPr>
          <w:rFonts w:ascii="Calibri" w:eastAsia="Calibri" w:hAnsi="Calibri" w:cs="Calibri"/>
        </w:rPr>
        <w:t>⁹</w:t>
      </w:r>
      <w:r>
        <w:t>/л у здоровых новорожде</w:t>
      </w:r>
      <w:r>
        <w:t xml:space="preserve">нных достаточно для поддержания эффективного тромбоцитарно-капиллярного гемостаза. Поэтому распространённость кровотечений у новорожденных с тромбоцитопенией составляет всего 20-30% [3, 30].   </w:t>
      </w:r>
    </w:p>
    <w:p w:rsidR="007F750E" w:rsidRDefault="00780135">
      <w:pPr>
        <w:ind w:left="-15" w:right="49" w:firstLine="708"/>
      </w:pPr>
      <w:r>
        <w:t>ВЧК может быть первым признаком заболевания при НАИТ. Внутриче</w:t>
      </w:r>
      <w:r>
        <w:t xml:space="preserve">репные кровоизлияния встречается в 10-30 % случаев, в 10% ВЧК возникает внутриутробно и к моменту родов может сформироваться порэнцефалия или гидроцефалия. Тромбоцитопения сохраняется до 4 - 12 недель, постепенно угасая [11, 16, 46].  </w:t>
      </w:r>
    </w:p>
    <w:p w:rsidR="007F750E" w:rsidRDefault="00780135">
      <w:pPr>
        <w:ind w:left="-15" w:right="49" w:firstLine="708"/>
      </w:pPr>
      <w:r>
        <w:t>При НТИТ с симптомам</w:t>
      </w:r>
      <w:r>
        <w:t>и кровоточивости обычно регистрируется «малая» кровоточивость. Наиболее распространенные виды кровотечений включают петехии, экхимозы, носовое кровотечение, мелену, гематурию, кефалгематому, кровотечение из сосудов пуповины и кровотечение из мест венепункц</w:t>
      </w:r>
      <w:r>
        <w:t xml:space="preserve">ии. Частота ВЧК невелика составляет менее 1%. Тромбоцитопения может сохраняться до 4 месяцев, но риск кровотечения практически исчезает в возрасте 2 недель [5]. </w:t>
      </w:r>
    </w:p>
    <w:p w:rsidR="007F750E" w:rsidRDefault="00780135">
      <w:pPr>
        <w:spacing w:after="30"/>
        <w:ind w:left="-15" w:right="49" w:firstLine="708"/>
      </w:pPr>
      <w:r>
        <w:t>Более низкое количество тромбоцитов связано с повышенной частотой кровотечений и при тяжелой т</w:t>
      </w:r>
      <w:r>
        <w:t xml:space="preserve">ромбоцитопении частота кровотечений составляет 69 - 82% у пациентов ОРИТН (77,8% при ранней тромбоцитопении и 64,5% при поздней) [31, 32]. </w:t>
      </w:r>
    </w:p>
    <w:p w:rsidR="007F750E" w:rsidRDefault="00780135">
      <w:pPr>
        <w:spacing w:after="40"/>
        <w:ind w:left="-15" w:right="49" w:firstLine="708"/>
      </w:pPr>
      <w:r>
        <w:t xml:space="preserve">Геморрагический синдром имеет 4 степени: малый (незначительный), умеренный, большой (массивный, значимый) и тяжелый </w:t>
      </w:r>
      <w:r>
        <w:t>(</w:t>
      </w:r>
      <w:r>
        <w:rPr>
          <w:b/>
        </w:rPr>
        <w:t>таблица 1</w:t>
      </w:r>
      <w:r>
        <w:t xml:space="preserve">). </w:t>
      </w:r>
    </w:p>
    <w:p w:rsidR="007F750E" w:rsidRDefault="00780135">
      <w:pPr>
        <w:spacing w:after="2" w:line="259" w:lineRule="auto"/>
        <w:jc w:val="left"/>
      </w:pPr>
      <w:r>
        <w:rPr>
          <w:b/>
        </w:rPr>
        <w:t xml:space="preserve">Таблица 1. Степени проявления геморрагического синдрома (кровоточивости) [126]. </w:t>
      </w:r>
    </w:p>
    <w:tbl>
      <w:tblPr>
        <w:tblStyle w:val="TableGrid"/>
        <w:tblW w:w="9347" w:type="dxa"/>
        <w:tblInd w:w="5" w:type="dxa"/>
        <w:tblCellMar>
          <w:top w:w="7" w:type="dxa"/>
          <w:left w:w="106" w:type="dxa"/>
          <w:bottom w:w="0" w:type="dxa"/>
          <w:right w:w="50" w:type="dxa"/>
        </w:tblCellMar>
        <w:tblLook w:val="04A0" w:firstRow="1" w:lastRow="0" w:firstColumn="1" w:lastColumn="0" w:noHBand="0" w:noVBand="1"/>
      </w:tblPr>
      <w:tblGrid>
        <w:gridCol w:w="1987"/>
        <w:gridCol w:w="7360"/>
      </w:tblGrid>
      <w:tr w:rsidR="007F750E">
        <w:trPr>
          <w:trHeight w:val="288"/>
        </w:trPr>
        <w:tc>
          <w:tcPr>
            <w:tcW w:w="1987"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55" w:firstLine="0"/>
              <w:jc w:val="center"/>
            </w:pPr>
            <w:r>
              <w:t xml:space="preserve">Степень </w:t>
            </w:r>
          </w:p>
        </w:tc>
        <w:tc>
          <w:tcPr>
            <w:tcW w:w="7360"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62" w:firstLine="0"/>
              <w:jc w:val="center"/>
            </w:pPr>
            <w:r>
              <w:t xml:space="preserve">Проявления </w:t>
            </w:r>
          </w:p>
        </w:tc>
      </w:tr>
      <w:tr w:rsidR="007F750E">
        <w:trPr>
          <w:trHeight w:val="1666"/>
        </w:trPr>
        <w:tc>
          <w:tcPr>
            <w:tcW w:w="1987" w:type="dxa"/>
            <w:tcBorders>
              <w:top w:val="single" w:sz="4" w:space="0" w:color="000000"/>
              <w:left w:val="single" w:sz="4" w:space="0" w:color="000000"/>
              <w:bottom w:val="single" w:sz="4" w:space="0" w:color="000000"/>
              <w:right w:val="single" w:sz="4" w:space="0" w:color="000000"/>
            </w:tcBorders>
            <w:vAlign w:val="center"/>
          </w:tcPr>
          <w:p w:rsidR="007F750E" w:rsidRDefault="00780135">
            <w:pPr>
              <w:spacing w:after="0" w:line="259" w:lineRule="auto"/>
              <w:ind w:left="0" w:right="57" w:firstLine="0"/>
              <w:jc w:val="center"/>
            </w:pPr>
            <w:r>
              <w:t xml:space="preserve">I </w:t>
            </w:r>
          </w:p>
          <w:p w:rsidR="007F750E" w:rsidRDefault="00780135">
            <w:pPr>
              <w:spacing w:after="22" w:line="259" w:lineRule="auto"/>
              <w:ind w:left="0" w:right="57" w:firstLine="0"/>
              <w:jc w:val="center"/>
            </w:pPr>
            <w:r>
              <w:t xml:space="preserve">Малое </w:t>
            </w:r>
          </w:p>
          <w:p w:rsidR="007F750E" w:rsidRDefault="00780135">
            <w:pPr>
              <w:spacing w:after="0" w:line="259" w:lineRule="auto"/>
              <w:ind w:left="2" w:firstLine="0"/>
              <w:jc w:val="left"/>
            </w:pPr>
            <w:r>
              <w:t xml:space="preserve">(незначительное) </w:t>
            </w:r>
          </w:p>
        </w:tc>
        <w:tc>
          <w:tcPr>
            <w:tcW w:w="7360"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t xml:space="preserve">Кровотечение из (в):  </w:t>
            </w:r>
          </w:p>
          <w:p w:rsidR="007F750E" w:rsidRDefault="00780135">
            <w:pPr>
              <w:numPr>
                <w:ilvl w:val="0"/>
                <w:numId w:val="34"/>
              </w:numPr>
              <w:spacing w:after="0" w:line="277" w:lineRule="auto"/>
              <w:ind w:hanging="360"/>
              <w:jc w:val="left"/>
            </w:pPr>
            <w:r>
              <w:t xml:space="preserve">кожа, пуповина, кожа вокруг стомы, операционный рубец, слизистые </w:t>
            </w:r>
          </w:p>
          <w:p w:rsidR="007F750E" w:rsidRDefault="00780135">
            <w:pPr>
              <w:numPr>
                <w:ilvl w:val="0"/>
                <w:numId w:val="34"/>
              </w:numPr>
              <w:spacing w:after="0" w:line="279" w:lineRule="auto"/>
              <w:ind w:hanging="360"/>
              <w:jc w:val="left"/>
            </w:pPr>
            <w:r>
              <w:t xml:space="preserve">«розовое» отделяемое или «старая» кровь из эндотрахеальной трубки (ЭТТ) или зонда назогастрального (НЗГ) </w:t>
            </w:r>
          </w:p>
          <w:p w:rsidR="007F750E" w:rsidRDefault="00780135">
            <w:pPr>
              <w:numPr>
                <w:ilvl w:val="0"/>
                <w:numId w:val="34"/>
              </w:numPr>
              <w:spacing w:after="0" w:line="259" w:lineRule="auto"/>
              <w:ind w:hanging="360"/>
              <w:jc w:val="left"/>
            </w:pPr>
            <w:r>
              <w:t xml:space="preserve">Внутрижелудочковое кровоизлияние (ВЖК) 1 степени </w:t>
            </w:r>
          </w:p>
        </w:tc>
      </w:tr>
      <w:tr w:rsidR="007F750E">
        <w:trPr>
          <w:trHeight w:val="1942"/>
        </w:trPr>
        <w:tc>
          <w:tcPr>
            <w:tcW w:w="1987" w:type="dxa"/>
            <w:tcBorders>
              <w:top w:val="single" w:sz="4" w:space="0" w:color="000000"/>
              <w:left w:val="single" w:sz="4" w:space="0" w:color="000000"/>
              <w:bottom w:val="single" w:sz="4" w:space="0" w:color="000000"/>
              <w:right w:val="single" w:sz="4" w:space="0" w:color="000000"/>
            </w:tcBorders>
          </w:tcPr>
          <w:p w:rsidR="007F750E" w:rsidRDefault="00780135">
            <w:pPr>
              <w:spacing w:after="21" w:line="259" w:lineRule="auto"/>
              <w:ind w:left="0" w:right="59" w:firstLine="0"/>
              <w:jc w:val="center"/>
            </w:pPr>
            <w:r>
              <w:t xml:space="preserve">II </w:t>
            </w:r>
          </w:p>
          <w:p w:rsidR="007F750E" w:rsidRDefault="00780135">
            <w:pPr>
              <w:spacing w:after="0" w:line="259" w:lineRule="auto"/>
              <w:ind w:left="0" w:right="55" w:firstLine="0"/>
              <w:jc w:val="center"/>
            </w:pPr>
            <w:r>
              <w:t xml:space="preserve">Умеренное </w:t>
            </w:r>
          </w:p>
        </w:tc>
        <w:tc>
          <w:tcPr>
            <w:tcW w:w="7360" w:type="dxa"/>
            <w:tcBorders>
              <w:top w:val="single" w:sz="4" w:space="0" w:color="000000"/>
              <w:left w:val="single" w:sz="4" w:space="0" w:color="000000"/>
              <w:bottom w:val="single" w:sz="4" w:space="0" w:color="000000"/>
              <w:right w:val="single" w:sz="4" w:space="0" w:color="000000"/>
            </w:tcBorders>
          </w:tcPr>
          <w:p w:rsidR="007F750E" w:rsidRDefault="00780135">
            <w:pPr>
              <w:spacing w:after="21" w:line="259" w:lineRule="auto"/>
              <w:ind w:left="0" w:firstLine="0"/>
              <w:jc w:val="left"/>
            </w:pPr>
            <w:r>
              <w:t xml:space="preserve">Кровотечение: </w:t>
            </w:r>
          </w:p>
          <w:p w:rsidR="007F750E" w:rsidRDefault="00780135">
            <w:pPr>
              <w:numPr>
                <w:ilvl w:val="0"/>
                <w:numId w:val="35"/>
              </w:numPr>
              <w:spacing w:after="23" w:line="259" w:lineRule="auto"/>
              <w:ind w:hanging="360"/>
              <w:jc w:val="left"/>
            </w:pPr>
            <w:r>
              <w:t xml:space="preserve">из стомы </w:t>
            </w:r>
          </w:p>
          <w:p w:rsidR="007F750E" w:rsidRDefault="00780135">
            <w:pPr>
              <w:numPr>
                <w:ilvl w:val="0"/>
                <w:numId w:val="35"/>
              </w:numPr>
              <w:spacing w:after="23" w:line="259" w:lineRule="auto"/>
              <w:ind w:hanging="360"/>
              <w:jc w:val="left"/>
            </w:pPr>
            <w:r>
              <w:t xml:space="preserve">макрогематурия </w:t>
            </w:r>
          </w:p>
          <w:p w:rsidR="007F750E" w:rsidRDefault="00780135">
            <w:pPr>
              <w:numPr>
                <w:ilvl w:val="0"/>
                <w:numId w:val="35"/>
              </w:numPr>
              <w:spacing w:after="0" w:line="259" w:lineRule="auto"/>
              <w:ind w:hanging="360"/>
              <w:jc w:val="left"/>
            </w:pPr>
            <w:r>
              <w:t xml:space="preserve">ВЖК 2 ст без вентрикулодилятации </w:t>
            </w:r>
          </w:p>
          <w:p w:rsidR="007F750E" w:rsidRDefault="00780135">
            <w:pPr>
              <w:numPr>
                <w:ilvl w:val="0"/>
                <w:numId w:val="35"/>
              </w:numPr>
              <w:spacing w:after="0" w:line="279" w:lineRule="auto"/>
              <w:ind w:hanging="360"/>
              <w:jc w:val="left"/>
            </w:pPr>
            <w:r>
              <w:t xml:space="preserve">Легочное кровотечение, не требующее изменений параметров искусственной вентиляции легких (ИВЛ) </w:t>
            </w:r>
          </w:p>
          <w:p w:rsidR="007F750E" w:rsidRDefault="00780135">
            <w:pPr>
              <w:numPr>
                <w:ilvl w:val="0"/>
                <w:numId w:val="35"/>
              </w:numPr>
              <w:spacing w:after="0" w:line="259" w:lineRule="auto"/>
              <w:ind w:hanging="360"/>
              <w:jc w:val="left"/>
            </w:pPr>
            <w:r>
              <w:t xml:space="preserve">Свежая кровь по НГЗ </w:t>
            </w:r>
          </w:p>
        </w:tc>
      </w:tr>
      <w:tr w:rsidR="007F750E">
        <w:trPr>
          <w:trHeight w:val="1942"/>
        </w:trPr>
        <w:tc>
          <w:tcPr>
            <w:tcW w:w="1987"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57" w:firstLine="0"/>
              <w:jc w:val="center"/>
            </w:pPr>
            <w:r>
              <w:t xml:space="preserve">III </w:t>
            </w:r>
          </w:p>
          <w:p w:rsidR="007F750E" w:rsidRDefault="00780135">
            <w:pPr>
              <w:spacing w:after="0" w:line="259" w:lineRule="auto"/>
              <w:ind w:left="0" w:right="55" w:firstLine="0"/>
              <w:jc w:val="center"/>
            </w:pPr>
            <w:r>
              <w:t xml:space="preserve">Большое </w:t>
            </w:r>
          </w:p>
          <w:p w:rsidR="007F750E" w:rsidRDefault="00780135">
            <w:pPr>
              <w:spacing w:after="0" w:line="259" w:lineRule="auto"/>
              <w:ind w:left="0" w:firstLine="0"/>
              <w:jc w:val="center"/>
            </w:pPr>
            <w:r>
              <w:t xml:space="preserve">(массивное, значительное) </w:t>
            </w:r>
          </w:p>
        </w:tc>
        <w:tc>
          <w:tcPr>
            <w:tcW w:w="7360" w:type="dxa"/>
            <w:tcBorders>
              <w:top w:val="single" w:sz="4" w:space="0" w:color="000000"/>
              <w:left w:val="single" w:sz="4" w:space="0" w:color="000000"/>
              <w:bottom w:val="single" w:sz="4" w:space="0" w:color="000000"/>
              <w:right w:val="single" w:sz="4" w:space="0" w:color="000000"/>
            </w:tcBorders>
          </w:tcPr>
          <w:p w:rsidR="007F750E" w:rsidRDefault="00780135">
            <w:pPr>
              <w:spacing w:after="21" w:line="259" w:lineRule="auto"/>
              <w:ind w:left="0" w:firstLine="0"/>
              <w:jc w:val="left"/>
            </w:pPr>
            <w:r>
              <w:t xml:space="preserve">Кровотечение: </w:t>
            </w:r>
          </w:p>
          <w:p w:rsidR="007F750E" w:rsidRDefault="00780135">
            <w:pPr>
              <w:numPr>
                <w:ilvl w:val="0"/>
                <w:numId w:val="36"/>
              </w:numPr>
              <w:spacing w:after="0" w:line="259" w:lineRule="auto"/>
              <w:ind w:hanging="360"/>
              <w:jc w:val="left"/>
            </w:pPr>
            <w:r>
              <w:t xml:space="preserve">Желудочно-кишечное </w:t>
            </w:r>
          </w:p>
          <w:p w:rsidR="007F750E" w:rsidRDefault="00780135">
            <w:pPr>
              <w:numPr>
                <w:ilvl w:val="0"/>
                <w:numId w:val="36"/>
              </w:numPr>
              <w:spacing w:after="0" w:line="275" w:lineRule="auto"/>
              <w:ind w:hanging="360"/>
              <w:jc w:val="left"/>
            </w:pPr>
            <w:r>
              <w:t xml:space="preserve">Легочное кровотечение, требующее изменений параметров ИВЛ </w:t>
            </w:r>
          </w:p>
          <w:p w:rsidR="007F750E" w:rsidRDefault="00780135">
            <w:pPr>
              <w:numPr>
                <w:ilvl w:val="0"/>
                <w:numId w:val="36"/>
              </w:numPr>
              <w:spacing w:after="0" w:line="259" w:lineRule="auto"/>
              <w:ind w:hanging="360"/>
              <w:jc w:val="left"/>
            </w:pPr>
            <w:r>
              <w:t xml:space="preserve">ВЖК </w:t>
            </w:r>
            <w:r>
              <w:tab/>
              <w:t xml:space="preserve">2 </w:t>
            </w:r>
            <w:r>
              <w:tab/>
              <w:t xml:space="preserve">ст </w:t>
            </w:r>
            <w:r>
              <w:tab/>
              <w:t xml:space="preserve">с </w:t>
            </w:r>
            <w:r>
              <w:tab/>
              <w:t xml:space="preserve">вентрикулодилятацией, </w:t>
            </w:r>
            <w:r>
              <w:tab/>
              <w:t xml:space="preserve">ВЖК </w:t>
            </w:r>
            <w:r>
              <w:tab/>
              <w:t xml:space="preserve">3 </w:t>
            </w:r>
            <w:r>
              <w:tab/>
              <w:t xml:space="preserve">ст, паренхиматозное кровоизлияние, прогрессирование любой степени ВЖК </w:t>
            </w:r>
          </w:p>
        </w:tc>
      </w:tr>
      <w:tr w:rsidR="007F750E">
        <w:trPr>
          <w:trHeight w:val="838"/>
        </w:trPr>
        <w:tc>
          <w:tcPr>
            <w:tcW w:w="1987"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324" w:right="319" w:firstLine="0"/>
              <w:jc w:val="center"/>
            </w:pPr>
            <w:r>
              <w:t xml:space="preserve">IV Тяжелое </w:t>
            </w:r>
          </w:p>
        </w:tc>
        <w:tc>
          <w:tcPr>
            <w:tcW w:w="7360"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t xml:space="preserve">Развитие </w:t>
            </w:r>
            <w:r>
              <w:tab/>
              <w:t xml:space="preserve">гиповолемического </w:t>
            </w:r>
            <w:r>
              <w:tab/>
              <w:t xml:space="preserve">шока </w:t>
            </w:r>
            <w:r>
              <w:tab/>
              <w:t xml:space="preserve">вследствие </w:t>
            </w:r>
            <w:r>
              <w:tab/>
              <w:t>массивной кровопотери с применением волюмэспандерной и кардиотонической терапии</w:t>
            </w:r>
            <w:r>
              <w:t xml:space="preserve">  </w:t>
            </w:r>
          </w:p>
        </w:tc>
      </w:tr>
    </w:tbl>
    <w:p w:rsidR="007F750E" w:rsidRDefault="00780135">
      <w:pPr>
        <w:spacing w:after="162" w:line="259" w:lineRule="auto"/>
        <w:ind w:left="708" w:firstLine="0"/>
        <w:jc w:val="left"/>
      </w:pPr>
      <w:r>
        <w:t xml:space="preserve"> </w:t>
      </w:r>
    </w:p>
    <w:p w:rsidR="007F750E" w:rsidRDefault="00780135">
      <w:pPr>
        <w:spacing w:after="31"/>
        <w:ind w:left="-15" w:right="49" w:firstLine="708"/>
      </w:pPr>
      <w:r>
        <w:t xml:space="preserve">Частота проявлений малой кровоточивости составляет 89,2%, большой - 10,8% при кровоточивости на фоне тяжелой тромбоцитопении. В 27,6% отмечается сочетание 2-х и более проявлений кровоточивости [31].  </w:t>
      </w:r>
    </w:p>
    <w:p w:rsidR="007F750E" w:rsidRDefault="00780135">
      <w:pPr>
        <w:ind w:left="-15" w:right="49" w:firstLine="708"/>
      </w:pPr>
      <w:r>
        <w:t xml:space="preserve">Степень тромбоцитопении не является предиктором риска кровотечения у новорожденных и даже при очень тяжелой тромбоцитопении кровоточивость может отсутствовать [35].  </w:t>
      </w:r>
    </w:p>
    <w:p w:rsidR="007F750E" w:rsidRDefault="00780135">
      <w:pPr>
        <w:tabs>
          <w:tab w:val="center" w:pos="1199"/>
          <w:tab w:val="center" w:pos="2562"/>
          <w:tab w:val="center" w:pos="4048"/>
          <w:tab w:val="center" w:pos="5696"/>
          <w:tab w:val="center" w:pos="6918"/>
          <w:tab w:val="right" w:pos="9412"/>
        </w:tabs>
        <w:spacing w:after="166" w:line="259" w:lineRule="auto"/>
        <w:ind w:left="0" w:firstLine="0"/>
        <w:jc w:val="left"/>
      </w:pPr>
      <w:r>
        <w:rPr>
          <w:rFonts w:ascii="Calibri" w:eastAsia="Calibri" w:hAnsi="Calibri" w:cs="Calibri"/>
          <w:sz w:val="22"/>
        </w:rPr>
        <w:tab/>
      </w:r>
      <w:r>
        <w:t xml:space="preserve">Наиболее </w:t>
      </w:r>
      <w:r>
        <w:tab/>
        <w:t xml:space="preserve">вероятные </w:t>
      </w:r>
      <w:r>
        <w:tab/>
        <w:t xml:space="preserve">предикторы </w:t>
      </w:r>
      <w:r>
        <w:tab/>
        <w:t xml:space="preserve">кровотечения </w:t>
      </w:r>
      <w:r>
        <w:tab/>
        <w:t xml:space="preserve">при </w:t>
      </w:r>
      <w:r>
        <w:tab/>
        <w:t xml:space="preserve">тромбоцитопении: </w:t>
      </w:r>
    </w:p>
    <w:p w:rsidR="007F750E" w:rsidRDefault="00780135">
      <w:pPr>
        <w:spacing w:after="32"/>
        <w:ind w:left="-5" w:right="49"/>
      </w:pPr>
      <w:r>
        <w:t>гестационный возра</w:t>
      </w:r>
      <w:r>
        <w:t xml:space="preserve">ст &lt;28 - 34 недель, хронологический возраст &lt;10 дней, нарушение функциональной активности тромбоцитов, сепсис и НЭК [31, 36]. </w:t>
      </w:r>
    </w:p>
    <w:p w:rsidR="007F750E" w:rsidRDefault="00780135">
      <w:pPr>
        <w:spacing w:after="32"/>
        <w:ind w:left="-15" w:right="49" w:firstLine="708"/>
      </w:pPr>
      <w:r>
        <w:t>Отдельные клинические «негеморрагические» симптомы, как правило, связаны с конкретными нозологическими формами (факторами риска):</w:t>
      </w:r>
      <w:r>
        <w:t xml:space="preserve"> </w:t>
      </w:r>
    </w:p>
    <w:p w:rsidR="007F750E" w:rsidRDefault="00780135">
      <w:pPr>
        <w:numPr>
          <w:ilvl w:val="0"/>
          <w:numId w:val="11"/>
        </w:numPr>
        <w:spacing w:after="34"/>
        <w:ind w:right="49" w:hanging="360"/>
      </w:pPr>
      <w:r>
        <w:t>Ребёнок с преходящей неонатальной тромбоцитопенией может выглядеть здоровым, если причиной тромбоцитопении явились болезни матери (гипертония, эклампсия, HELLP -</w:t>
      </w:r>
      <w:r>
        <w:t xml:space="preserve">синдром). При иммунных формах тромбоцитопении и отсутствии геморрагического синдрома новорожденный также может выглядеть здоровым [37]. </w:t>
      </w:r>
    </w:p>
    <w:p w:rsidR="007F750E" w:rsidRDefault="00780135">
      <w:pPr>
        <w:numPr>
          <w:ilvl w:val="0"/>
          <w:numId w:val="11"/>
        </w:numPr>
        <w:spacing w:after="35"/>
        <w:ind w:right="49" w:hanging="360"/>
      </w:pPr>
      <w:r>
        <w:t>«Тромбоцитопения при ЗВУР». Новорожденные с ЗВУР подвержены повышенному риску раннего развития тромбоцитопении. Частота</w:t>
      </w:r>
      <w:r>
        <w:t xml:space="preserve"> тромбоцитопений у детей при гестационном возрасте более 35 недель и значении массы тела &lt; 10 перцентиля к сроку гестации составляет 31,5%. У детей с ЗВУР и гестационным возрастом 32,6 ± 4 нед.  ранняя тромбоцитопения выявляется в 53% случаев, в 8% - тяжел</w:t>
      </w:r>
      <w:r>
        <w:t>ой степени. Выявлена прямая корреляция между тяжестью ЗВУР и тяжестью тромбоцитопении. «Тромбоцитопения при ЗВУР» - преходящая неонатальная тромбоцитопения, диагностируется только при отсутствии других факторов риска.  «Тромбоцитопения при ЗВУР» - самокупи</w:t>
      </w:r>
      <w:r>
        <w:t xml:space="preserve">рующийся процесс, обычно с минимальным количеством тромбоцитов на 3-й день жизни и продолжительностью около 3 недель [38, 39]. </w:t>
      </w:r>
    </w:p>
    <w:p w:rsidR="007F750E" w:rsidRDefault="00780135">
      <w:pPr>
        <w:numPr>
          <w:ilvl w:val="0"/>
          <w:numId w:val="11"/>
        </w:numPr>
        <w:spacing w:after="38"/>
        <w:ind w:right="49" w:hanging="360"/>
      </w:pPr>
      <w:r>
        <w:t>«Тромбоцитопения при перинатальной асфиксии». У 30% доношенных и поздних недоношенных новорожденных при асфиксии в родах (рН кро</w:t>
      </w:r>
      <w:r>
        <w:t>ви из пуповины не более 6,99 и/или дефицитом ВЕ не менее (-)16 ммоль/л) развивается состояние, названное «тромбоцитопенией при перинатальной асфиксии». У меньшинства из этих новорожденных имеется сопутствующая тяжелая форма ДВС-синдрома с очень низким и бы</w:t>
      </w:r>
      <w:r>
        <w:t>стро снижающимся уровнем тромбоцитов, стойкой артериальной гипотензией, метаболическим ацидозом и плохим прогнозом по выживаемости. У подавляющего большинства новорожденных с тромбоцитопенией после перинатальной асфиксии состояние будет относительно благоп</w:t>
      </w:r>
      <w:r>
        <w:t>риятным, без проявлений геморрагического синдрома, показатели числа тромбоцитов могут быть ниже 40 × 10</w:t>
      </w:r>
      <w:r>
        <w:rPr>
          <w:rFonts w:ascii="Calibri" w:eastAsia="Calibri" w:hAnsi="Calibri" w:cs="Calibri"/>
        </w:rPr>
        <w:t>⁹</w:t>
      </w:r>
      <w:r>
        <w:t xml:space="preserve">/л на 3 день жизни, такие дети не нуждаются в переливании концентрата тромбоцитов, их показатели числа тромбоцитов будут постепенно увеличиваться с 3го </w:t>
      </w:r>
      <w:r>
        <w:t xml:space="preserve">дня жизни и достигнут нормативных значений через 3 недели без какого-либо специального вмешательства [40].  </w:t>
      </w:r>
    </w:p>
    <w:p w:rsidR="007F750E" w:rsidRDefault="00780135">
      <w:pPr>
        <w:numPr>
          <w:ilvl w:val="0"/>
          <w:numId w:val="11"/>
        </w:numPr>
        <w:spacing w:after="34"/>
        <w:ind w:right="49" w:hanging="360"/>
      </w:pPr>
      <w:r>
        <w:t xml:space="preserve">Тромбоз крупных сосудов сопровождается развитием значимой тромбоцитопении у новорожденных (в возрасте менее 28 дней частота венозной тромбоэмболии </w:t>
      </w:r>
      <w:r>
        <w:t xml:space="preserve">(ВТЭ) составляет примерно 75 на 10 000 госпитализаций).  [41, 42, 43, 44].  </w:t>
      </w:r>
    </w:p>
    <w:p w:rsidR="007F750E" w:rsidRDefault="00780135">
      <w:pPr>
        <w:numPr>
          <w:ilvl w:val="0"/>
          <w:numId w:val="11"/>
        </w:numPr>
        <w:spacing w:line="259" w:lineRule="auto"/>
        <w:ind w:right="49" w:hanging="360"/>
      </w:pPr>
      <w:r>
        <w:t xml:space="preserve">Тромбоцитопения при сепсисе, НЭК, врожденных инфекциях [45].  </w:t>
      </w:r>
    </w:p>
    <w:p w:rsidR="007F750E" w:rsidRDefault="00780135">
      <w:pPr>
        <w:pStyle w:val="Heading1"/>
        <w:spacing w:after="0" w:line="378" w:lineRule="auto"/>
        <w:ind w:right="0"/>
      </w:pPr>
      <w:r>
        <w:t>2. Диагностика заболевания или состояния (группы заболеваний или состояний), медицинские показания и противопоказани</w:t>
      </w:r>
      <w:r>
        <w:t xml:space="preserve">я к применению методов диагностики </w:t>
      </w:r>
    </w:p>
    <w:p w:rsidR="007F750E" w:rsidRDefault="00780135">
      <w:pPr>
        <w:spacing w:after="0" w:line="401" w:lineRule="auto"/>
        <w:ind w:left="0" w:firstLine="708"/>
        <w:jc w:val="left"/>
      </w:pPr>
      <w:r>
        <w:rPr>
          <w:b/>
          <w:i/>
        </w:rPr>
        <w:t xml:space="preserve">Критерии установления диагноза преходящей неонатальной тромбоцитопении:  </w:t>
      </w:r>
    </w:p>
    <w:p w:rsidR="007F750E" w:rsidRDefault="00780135">
      <w:pPr>
        <w:spacing w:after="115" w:line="259" w:lineRule="auto"/>
        <w:ind w:left="718" w:right="47"/>
      </w:pPr>
      <w:r>
        <w:rPr>
          <w:i/>
        </w:rPr>
        <w:t xml:space="preserve">Основной критерий диагностики преходящей неонатальной тромбоцитопении: </w:t>
      </w:r>
    </w:p>
    <w:p w:rsidR="007F750E" w:rsidRDefault="00780135">
      <w:pPr>
        <w:spacing w:after="11"/>
        <w:ind w:left="0" w:right="47" w:firstLine="708"/>
      </w:pPr>
      <w:r>
        <w:rPr>
          <w:i/>
        </w:rPr>
        <w:t>Транзиторное снижение в общем (клиническом) анализе крови числа тромбоцито</w:t>
      </w:r>
      <w:r>
        <w:rPr>
          <w:i/>
        </w:rPr>
        <w:t xml:space="preserve">в ниже референсных значений для гестационного, хронологического или постконцептуального возраста у новорожденного ребенка. </w:t>
      </w:r>
      <w:r>
        <w:rPr>
          <w:b/>
          <w:i/>
        </w:rPr>
        <w:t xml:space="preserve"> </w:t>
      </w:r>
    </w:p>
    <w:p w:rsidR="007F750E" w:rsidRDefault="00780135">
      <w:pPr>
        <w:spacing w:after="34"/>
        <w:ind w:left="0" w:right="47" w:firstLine="708"/>
      </w:pPr>
      <w:r>
        <w:rPr>
          <w:i/>
        </w:rPr>
        <w:t xml:space="preserve">В виду того, что к преходящей неонатальной тромбоцитопении в соответствии с МКБ 10 пересмотра относятся иммунные тромбоцитопении и </w:t>
      </w:r>
      <w:r>
        <w:rPr>
          <w:i/>
        </w:rPr>
        <w:t xml:space="preserve">тромбоцитопения вследствие обменной трансфузии, основное внимание уделяется иммунным тромбоцитопениям. </w:t>
      </w:r>
    </w:p>
    <w:p w:rsidR="007F750E" w:rsidRDefault="00780135">
      <w:pPr>
        <w:spacing w:after="158" w:line="259" w:lineRule="auto"/>
        <w:ind w:left="703"/>
        <w:jc w:val="left"/>
      </w:pPr>
      <w:r>
        <w:rPr>
          <w:b/>
          <w:i/>
        </w:rPr>
        <w:t>Критерии установления диагноза НАИТ:</w:t>
      </w:r>
      <w:r>
        <w:rPr>
          <w:i/>
        </w:rPr>
        <w:t xml:space="preserve">  </w:t>
      </w:r>
    </w:p>
    <w:p w:rsidR="007F750E" w:rsidRDefault="00780135">
      <w:pPr>
        <w:numPr>
          <w:ilvl w:val="0"/>
          <w:numId w:val="12"/>
        </w:numPr>
        <w:spacing w:after="158" w:line="259" w:lineRule="auto"/>
        <w:ind w:right="47" w:hanging="360"/>
      </w:pPr>
      <w:r>
        <w:rPr>
          <w:i/>
        </w:rPr>
        <w:t xml:space="preserve">Жалобы и анамнез: отсутствие факторов риска развития тромбоцитопении; </w:t>
      </w:r>
    </w:p>
    <w:p w:rsidR="007F750E" w:rsidRDefault="00780135">
      <w:pPr>
        <w:numPr>
          <w:ilvl w:val="0"/>
          <w:numId w:val="12"/>
        </w:numPr>
        <w:spacing w:after="162" w:line="259" w:lineRule="auto"/>
        <w:ind w:right="47" w:hanging="360"/>
      </w:pPr>
      <w:r>
        <w:rPr>
          <w:i/>
        </w:rPr>
        <w:t xml:space="preserve">Физикальное обследование:  </w:t>
      </w:r>
    </w:p>
    <w:p w:rsidR="007F750E" w:rsidRDefault="00780135">
      <w:pPr>
        <w:spacing w:after="34"/>
        <w:ind w:left="1004" w:right="47"/>
      </w:pPr>
      <w:r>
        <w:rPr>
          <w:i/>
        </w:rPr>
        <w:t>-</w:t>
      </w:r>
      <w:r>
        <w:rPr>
          <w:i/>
        </w:rPr>
        <w:t xml:space="preserve">отсутствие негеморрагических клинических признаков и отклонений в физическом развитии; </w:t>
      </w:r>
    </w:p>
    <w:p w:rsidR="007F750E" w:rsidRDefault="00780135">
      <w:pPr>
        <w:spacing w:after="34"/>
        <w:ind w:left="1004" w:right="47"/>
      </w:pPr>
      <w:r>
        <w:rPr>
          <w:i/>
        </w:rPr>
        <w:t xml:space="preserve">-возможно проявления геморрагического синдрома (кожный, кровоточивость из пуповины, мест инъекций, желудочное, кишечное кровотечение, кефалгематома); </w:t>
      </w:r>
    </w:p>
    <w:p w:rsidR="007F750E" w:rsidRDefault="00780135">
      <w:pPr>
        <w:numPr>
          <w:ilvl w:val="0"/>
          <w:numId w:val="12"/>
        </w:numPr>
        <w:spacing w:after="157" w:line="259" w:lineRule="auto"/>
        <w:ind w:right="47" w:hanging="360"/>
      </w:pPr>
      <w:r>
        <w:rPr>
          <w:i/>
        </w:rPr>
        <w:t>Лабораторное иссл</w:t>
      </w:r>
      <w:r>
        <w:rPr>
          <w:i/>
        </w:rPr>
        <w:t xml:space="preserve">едование:  </w:t>
      </w:r>
    </w:p>
    <w:p w:rsidR="007F750E" w:rsidRDefault="00780135">
      <w:pPr>
        <w:numPr>
          <w:ilvl w:val="1"/>
          <w:numId w:val="13"/>
        </w:numPr>
        <w:spacing w:after="161" w:line="259" w:lineRule="auto"/>
        <w:ind w:right="47" w:hanging="139"/>
      </w:pPr>
      <w:r>
        <w:rPr>
          <w:i/>
        </w:rPr>
        <w:t xml:space="preserve">тяжелая тромбоцитопения; </w:t>
      </w:r>
    </w:p>
    <w:p w:rsidR="007F750E" w:rsidRDefault="00780135">
      <w:pPr>
        <w:numPr>
          <w:ilvl w:val="1"/>
          <w:numId w:val="13"/>
        </w:numPr>
        <w:spacing w:after="34"/>
        <w:ind w:right="47" w:hanging="139"/>
      </w:pPr>
      <w:r>
        <w:rPr>
          <w:i/>
        </w:rPr>
        <w:t xml:space="preserve">несовместимость генотипа тромбоцитов матери и новорожденного (выполняется при возможности МО); </w:t>
      </w:r>
    </w:p>
    <w:p w:rsidR="007F750E" w:rsidRDefault="00780135">
      <w:pPr>
        <w:numPr>
          <w:ilvl w:val="1"/>
          <w:numId w:val="13"/>
        </w:numPr>
        <w:spacing w:after="34"/>
        <w:ind w:right="47" w:hanging="139"/>
      </w:pPr>
      <w:r>
        <w:rPr>
          <w:i/>
        </w:rPr>
        <w:t>наличие антитромбоцитарных антител у матери (к тромбоцитам отца ребенка) и у новорожденного (выполняется при возможности М</w:t>
      </w:r>
      <w:r>
        <w:rPr>
          <w:i/>
        </w:rPr>
        <w:t xml:space="preserve">О); </w:t>
      </w:r>
    </w:p>
    <w:p w:rsidR="007F750E" w:rsidRDefault="00780135">
      <w:pPr>
        <w:numPr>
          <w:ilvl w:val="0"/>
          <w:numId w:val="12"/>
        </w:numPr>
        <w:spacing w:after="34"/>
        <w:ind w:right="47" w:hanging="360"/>
      </w:pPr>
      <w:r>
        <w:rPr>
          <w:i/>
        </w:rPr>
        <w:t xml:space="preserve">Инструментальные исследования: возможно наличие внутренних кровотечений (внутричерепное, внутрибрюшное, кровоизлияние в надпочечник, гематурия, легочное итд).   </w:t>
      </w:r>
    </w:p>
    <w:p w:rsidR="007F750E" w:rsidRDefault="00780135">
      <w:pPr>
        <w:numPr>
          <w:ilvl w:val="0"/>
          <w:numId w:val="12"/>
        </w:numPr>
        <w:spacing w:after="115" w:line="259" w:lineRule="auto"/>
        <w:ind w:right="47" w:hanging="360"/>
      </w:pPr>
      <w:r>
        <w:rPr>
          <w:i/>
        </w:rPr>
        <w:t xml:space="preserve">Положительный эффект от патогенетической терапии. </w:t>
      </w:r>
    </w:p>
    <w:p w:rsidR="007F750E" w:rsidRDefault="00780135">
      <w:pPr>
        <w:spacing w:after="34"/>
        <w:ind w:left="0" w:right="47" w:firstLine="708"/>
      </w:pPr>
      <w:r>
        <w:rPr>
          <w:i/>
        </w:rPr>
        <w:t>Кроме того, сочетание тяжелой неонатал</w:t>
      </w:r>
      <w:r>
        <w:rPr>
          <w:i/>
        </w:rPr>
        <w:t>ьной тромбоцитопении с паренхиматозным внутричерепным кровоизлиянием (ВЧК) в значительной степени указывает на НАИТ. При подозрении на НАИТ обследуют родителей. У матери и отца исследуют кровь на подтверждающий анализ (при возможностях конкретной медицинск</w:t>
      </w:r>
      <w:r>
        <w:rPr>
          <w:i/>
        </w:rPr>
        <w:t xml:space="preserve">ой организации). Основой тестирования является подтверждение несовместимости генотипа тромбоцитов матери и новорожденного. Первичный скрининг на антигены должен включать генотипирование HPA-1a (PlA1) (определение HPA-антигенов) у матери, отца и ребенка. В </w:t>
      </w:r>
      <w:r>
        <w:rPr>
          <w:i/>
        </w:rPr>
        <w:t>случае положительного результата проводится скрининг на наличие аллоантител в крови матери к тромбоцитам отца ребенка (определение содержания антитромбоцитарных антител). Если своевременно взять кровь у родителей нет возможности, можно провести скрининг сы</w:t>
      </w:r>
      <w:r>
        <w:rPr>
          <w:i/>
        </w:rPr>
        <w:t>воротки новорожденных на наличие антитромбоцитарных антител (определение содержания антитромбоцитарных антител).  Однако, низкая концентрация антител у новорожденного в сочетании со связыванием антител с тромбоцитами младенца часто приводит к ложноотрицате</w:t>
      </w:r>
      <w:r>
        <w:rPr>
          <w:i/>
        </w:rPr>
        <w:t>льным результатам.  Из-за сложности тестирования оценку следует проводить в опытной референс-лаборатории, которая располагает большим количеством типизированных контрольных образцов для выявления антител и соответствующей технологией на основе ДНК для опре</w:t>
      </w:r>
      <w:r>
        <w:rPr>
          <w:i/>
        </w:rPr>
        <w:t>деления нескольких антигенов.  Учитывая сложность лабораторной диагностики НАИТ, диагноз должен быть поставлен достаточно быстро на основании клинико-анамнестических данных, чтобы начать лечение. Если диагноз является предположительным и не может быть подт</w:t>
      </w:r>
      <w:r>
        <w:rPr>
          <w:i/>
        </w:rPr>
        <w:t xml:space="preserve">верждён лабораторно, необходимо начать эмпирическое лечение. В большинстве случаев НАИТ диагностируется случайно, когда вскоре после рождения у новорожденного обнаруживается тромбоцитопения с петехиями, экхимозами или «большими» кровотечениями. </w:t>
      </w:r>
    </w:p>
    <w:p w:rsidR="007F750E" w:rsidRDefault="00780135">
      <w:pPr>
        <w:spacing w:after="158" w:line="259" w:lineRule="auto"/>
        <w:ind w:left="703"/>
        <w:jc w:val="left"/>
      </w:pPr>
      <w:r>
        <w:rPr>
          <w:b/>
          <w:i/>
        </w:rPr>
        <w:t>Критерии установления диагноза НТИТ:</w:t>
      </w:r>
      <w:r>
        <w:rPr>
          <w:i/>
        </w:rPr>
        <w:t xml:space="preserve">  </w:t>
      </w:r>
    </w:p>
    <w:p w:rsidR="007F750E" w:rsidRDefault="00780135">
      <w:pPr>
        <w:numPr>
          <w:ilvl w:val="1"/>
          <w:numId w:val="12"/>
        </w:numPr>
        <w:spacing w:after="34"/>
        <w:ind w:right="47" w:hanging="360"/>
      </w:pPr>
      <w:r>
        <w:rPr>
          <w:i/>
        </w:rPr>
        <w:t xml:space="preserve">Жалобы и анамнез: наличие у матери аутоиммунных заболеваний и/или тромбоцитопении; </w:t>
      </w:r>
    </w:p>
    <w:p w:rsidR="007F750E" w:rsidRDefault="00780135">
      <w:pPr>
        <w:numPr>
          <w:ilvl w:val="1"/>
          <w:numId w:val="12"/>
        </w:numPr>
        <w:spacing w:after="162" w:line="259" w:lineRule="auto"/>
        <w:ind w:right="47" w:hanging="360"/>
      </w:pPr>
      <w:r>
        <w:rPr>
          <w:i/>
        </w:rPr>
        <w:t xml:space="preserve">Физикальное обследование:  </w:t>
      </w:r>
    </w:p>
    <w:p w:rsidR="007F750E" w:rsidRDefault="00780135">
      <w:pPr>
        <w:spacing w:after="34"/>
        <w:ind w:left="1287" w:right="47"/>
      </w:pPr>
      <w:r>
        <w:rPr>
          <w:i/>
        </w:rPr>
        <w:t>-возможно проявления геморрагического синдрома (кожный, кровоточивость из пуповины, мест инъекций, желудо</w:t>
      </w:r>
      <w:r>
        <w:rPr>
          <w:i/>
        </w:rPr>
        <w:t xml:space="preserve">чное, кишечное кровотечение, кефалгематома); </w:t>
      </w:r>
    </w:p>
    <w:p w:rsidR="007F750E" w:rsidRDefault="00780135">
      <w:pPr>
        <w:numPr>
          <w:ilvl w:val="1"/>
          <w:numId w:val="12"/>
        </w:numPr>
        <w:spacing w:after="160" w:line="259" w:lineRule="auto"/>
        <w:ind w:right="47" w:hanging="360"/>
      </w:pPr>
      <w:r>
        <w:rPr>
          <w:i/>
        </w:rPr>
        <w:t xml:space="preserve">Лабораторное исследование:  </w:t>
      </w:r>
    </w:p>
    <w:p w:rsidR="007F750E" w:rsidRDefault="00780135">
      <w:pPr>
        <w:numPr>
          <w:ilvl w:val="2"/>
          <w:numId w:val="12"/>
        </w:numPr>
        <w:spacing w:after="159" w:line="259" w:lineRule="auto"/>
        <w:ind w:right="47" w:hanging="139"/>
      </w:pPr>
      <w:r>
        <w:rPr>
          <w:i/>
        </w:rPr>
        <w:t xml:space="preserve">тромбоцитопения различной степени; </w:t>
      </w:r>
    </w:p>
    <w:p w:rsidR="007F750E" w:rsidRDefault="00780135">
      <w:pPr>
        <w:numPr>
          <w:ilvl w:val="2"/>
          <w:numId w:val="12"/>
        </w:numPr>
        <w:spacing w:after="34"/>
        <w:ind w:right="47" w:hanging="139"/>
      </w:pPr>
      <w:r>
        <w:rPr>
          <w:i/>
        </w:rPr>
        <w:t xml:space="preserve">наличие антитромбоцитарных антител у матери и у новорожденного (выполняется при возможности МО); </w:t>
      </w:r>
    </w:p>
    <w:p w:rsidR="007F750E" w:rsidRDefault="00780135">
      <w:pPr>
        <w:numPr>
          <w:ilvl w:val="1"/>
          <w:numId w:val="12"/>
        </w:numPr>
        <w:spacing w:after="34"/>
        <w:ind w:right="47" w:hanging="360"/>
      </w:pPr>
      <w:r>
        <w:rPr>
          <w:i/>
        </w:rPr>
        <w:t>Инструментальные исследования: возможно наличие</w:t>
      </w:r>
      <w:r>
        <w:rPr>
          <w:i/>
        </w:rPr>
        <w:t xml:space="preserve"> внутренних кровотечений (внутричерепное, внутрибрюшное, кровоизлияние в надпочечник, гематурия, легочное и т.д.).   </w:t>
      </w:r>
    </w:p>
    <w:p w:rsidR="007F750E" w:rsidRDefault="00780135">
      <w:pPr>
        <w:numPr>
          <w:ilvl w:val="1"/>
          <w:numId w:val="12"/>
        </w:numPr>
        <w:spacing w:after="162" w:line="259" w:lineRule="auto"/>
        <w:ind w:right="47" w:hanging="360"/>
      </w:pPr>
      <w:r>
        <w:rPr>
          <w:i/>
        </w:rPr>
        <w:t xml:space="preserve">Положительный эффект от патогенетической терапии. </w:t>
      </w:r>
    </w:p>
    <w:p w:rsidR="007F750E" w:rsidRDefault="00780135">
      <w:pPr>
        <w:spacing w:after="0"/>
        <w:ind w:left="0" w:right="47" w:firstLine="708"/>
      </w:pPr>
      <w:r>
        <w:rPr>
          <w:i/>
        </w:rPr>
        <w:t>Все дети, рождённые от матерей с аутоиммунными заболеваниями, должны проходить скрининг</w:t>
      </w:r>
      <w:r>
        <w:rPr>
          <w:i/>
        </w:rPr>
        <w:t xml:space="preserve"> на количество тромбоцитов (исследование уровня тромбоцитов в крови) сразу после рождения. Матери младенцев с необъяснимой неонатальной тромбоцитопенией должны быть обследованы на наличие аутоиммунного заболевания, даже при отсутствии тромбоцитопении, т.к.</w:t>
      </w:r>
      <w:r>
        <w:rPr>
          <w:i/>
        </w:rPr>
        <w:t xml:space="preserve"> может возникнуть “компенсированное тромбоцитолитическое состояние”, которое позволяет тромбоцитам матери оставаться в пределах нормы, несмотря на постоянно циркулирующие аутоантитела к тромбоцитам. Если количество тромбоцитов у ребенка в норме, дальнейшее</w:t>
      </w:r>
      <w:r>
        <w:rPr>
          <w:i/>
        </w:rPr>
        <w:t xml:space="preserve"> обследование не требуется. Если у ребёнка лёгкая степень тромбоцитопении, определение количества тромбоцитов следует повторить через 2-3 дня, поскольку оно обычно достигает минимального значения между 2 и 5 днями после рождения. </w:t>
      </w:r>
      <w:r>
        <w:rPr>
          <w:rFonts w:ascii="Verdana" w:eastAsia="Verdana" w:hAnsi="Verdana" w:cs="Verdana"/>
          <w:i/>
          <w:sz w:val="17"/>
        </w:rPr>
        <w:t xml:space="preserve"> </w:t>
      </w:r>
    </w:p>
    <w:p w:rsidR="007F750E" w:rsidRDefault="00780135">
      <w:pPr>
        <w:spacing w:after="34"/>
        <w:ind w:left="0" w:right="47" w:firstLine="708"/>
      </w:pPr>
      <w:r>
        <w:rPr>
          <w:i/>
        </w:rPr>
        <w:t xml:space="preserve">Критерии установления диагноза вторичных тромбоцитопений различной этиологии [127]: </w:t>
      </w:r>
    </w:p>
    <w:p w:rsidR="007F750E" w:rsidRDefault="00780135">
      <w:pPr>
        <w:spacing w:after="165" w:line="259" w:lineRule="auto"/>
        <w:ind w:left="783" w:right="47"/>
      </w:pPr>
      <w:r>
        <w:rPr>
          <w:i/>
        </w:rPr>
        <w:t>1.</w:t>
      </w:r>
      <w:r>
        <w:rPr>
          <w:rFonts w:ascii="Arial" w:eastAsia="Arial" w:hAnsi="Arial" w:cs="Arial"/>
          <w:i/>
        </w:rPr>
        <w:t xml:space="preserve"> </w:t>
      </w:r>
      <w:r>
        <w:rPr>
          <w:i/>
        </w:rPr>
        <w:t xml:space="preserve">Жалобы и анамнез в зависимости от предполагаемой этиологии: </w:t>
      </w:r>
    </w:p>
    <w:p w:rsidR="007F750E" w:rsidRDefault="00780135">
      <w:pPr>
        <w:spacing w:after="34"/>
        <w:ind w:left="1262" w:right="47" w:hanging="360"/>
      </w:pPr>
      <w:r>
        <w:rPr>
          <w:rFonts w:ascii="Courier New" w:eastAsia="Courier New" w:hAnsi="Courier New" w:cs="Courier New"/>
        </w:rPr>
        <w:t>­</w:t>
      </w:r>
      <w:r>
        <w:rPr>
          <w:rFonts w:ascii="Arial" w:eastAsia="Arial" w:hAnsi="Arial" w:cs="Arial"/>
        </w:rPr>
        <w:t xml:space="preserve"> </w:t>
      </w:r>
      <w:r>
        <w:rPr>
          <w:i/>
        </w:rPr>
        <w:t xml:space="preserve">Наличие лекарственных препаратов у матери, способных вызывать тромбоцитопению; </w:t>
      </w:r>
    </w:p>
    <w:p w:rsidR="007F750E" w:rsidRDefault="00780135">
      <w:pPr>
        <w:spacing w:after="34"/>
        <w:ind w:left="1262" w:right="47" w:hanging="360"/>
      </w:pPr>
      <w:r>
        <w:rPr>
          <w:rFonts w:ascii="Courier New" w:eastAsia="Courier New" w:hAnsi="Courier New" w:cs="Courier New"/>
        </w:rPr>
        <w:t>­</w:t>
      </w:r>
      <w:r>
        <w:rPr>
          <w:rFonts w:ascii="Arial" w:eastAsia="Arial" w:hAnsi="Arial" w:cs="Arial"/>
        </w:rPr>
        <w:t xml:space="preserve"> </w:t>
      </w:r>
      <w:r>
        <w:rPr>
          <w:i/>
        </w:rPr>
        <w:t xml:space="preserve">Наличие у матери неиммунных заболеваний и состояний, вызывающих развитие тромбоцитопении у ребенка (преэклампсия, артериальная гипертензия, HELLP-синдром); </w:t>
      </w:r>
    </w:p>
    <w:p w:rsidR="007F750E" w:rsidRDefault="00780135">
      <w:pPr>
        <w:spacing w:after="184" w:line="259" w:lineRule="auto"/>
        <w:ind w:left="912" w:right="47"/>
      </w:pPr>
      <w:r>
        <w:rPr>
          <w:rFonts w:ascii="Courier New" w:eastAsia="Courier New" w:hAnsi="Courier New" w:cs="Courier New"/>
        </w:rPr>
        <w:t>­</w:t>
      </w:r>
      <w:r>
        <w:rPr>
          <w:rFonts w:ascii="Arial" w:eastAsia="Arial" w:hAnsi="Arial" w:cs="Arial"/>
        </w:rPr>
        <w:t xml:space="preserve"> </w:t>
      </w:r>
      <w:r>
        <w:rPr>
          <w:i/>
        </w:rPr>
        <w:t xml:space="preserve">Асфиксия в родах; </w:t>
      </w:r>
    </w:p>
    <w:p w:rsidR="007F750E" w:rsidRDefault="00780135">
      <w:pPr>
        <w:spacing w:after="34"/>
        <w:ind w:left="1262" w:right="47" w:hanging="360"/>
      </w:pPr>
      <w:r>
        <w:rPr>
          <w:rFonts w:ascii="Courier New" w:eastAsia="Courier New" w:hAnsi="Courier New" w:cs="Courier New"/>
        </w:rPr>
        <w:t>­</w:t>
      </w:r>
      <w:r>
        <w:rPr>
          <w:rFonts w:ascii="Arial" w:eastAsia="Arial" w:hAnsi="Arial" w:cs="Arial"/>
        </w:rPr>
        <w:t xml:space="preserve"> </w:t>
      </w:r>
      <w:r>
        <w:rPr>
          <w:i/>
        </w:rPr>
        <w:t>Наличие данных у матери о перенесенных бактериальных, вирусных или грибковых</w:t>
      </w:r>
      <w:r>
        <w:rPr>
          <w:i/>
        </w:rPr>
        <w:t xml:space="preserve"> заболеваний; </w:t>
      </w:r>
    </w:p>
    <w:p w:rsidR="007F750E" w:rsidRDefault="00780135">
      <w:pPr>
        <w:spacing w:after="34"/>
        <w:ind w:left="1262" w:right="47" w:hanging="360"/>
      </w:pPr>
      <w:r>
        <w:rPr>
          <w:rFonts w:ascii="Courier New" w:eastAsia="Courier New" w:hAnsi="Courier New" w:cs="Courier New"/>
        </w:rPr>
        <w:t>­</w:t>
      </w:r>
      <w:r>
        <w:rPr>
          <w:rFonts w:ascii="Arial" w:eastAsia="Arial" w:hAnsi="Arial" w:cs="Arial"/>
        </w:rPr>
        <w:t xml:space="preserve"> </w:t>
      </w:r>
      <w:r>
        <w:rPr>
          <w:i/>
        </w:rPr>
        <w:t xml:space="preserve">Наличие у новорожденного лекарственных препаратов, способных вызывать тромбоцитопению; </w:t>
      </w:r>
    </w:p>
    <w:p w:rsidR="007F750E" w:rsidRDefault="00780135">
      <w:pPr>
        <w:spacing w:after="34"/>
        <w:ind w:left="1262" w:right="47" w:hanging="360"/>
      </w:pPr>
      <w:r>
        <w:rPr>
          <w:rFonts w:ascii="Courier New" w:eastAsia="Courier New" w:hAnsi="Courier New" w:cs="Courier New"/>
        </w:rPr>
        <w:t>­</w:t>
      </w:r>
      <w:r>
        <w:rPr>
          <w:rFonts w:ascii="Arial" w:eastAsia="Arial" w:hAnsi="Arial" w:cs="Arial"/>
        </w:rPr>
        <w:t xml:space="preserve"> </w:t>
      </w:r>
      <w:r>
        <w:rPr>
          <w:i/>
        </w:rPr>
        <w:t xml:space="preserve">Операция заменного переливания крови у новорожденного (тромбоцитопения вследствие обменных трансфузий) </w:t>
      </w:r>
    </w:p>
    <w:p w:rsidR="007F750E" w:rsidRDefault="00780135">
      <w:pPr>
        <w:spacing w:after="163" w:line="259" w:lineRule="auto"/>
        <w:ind w:left="644" w:right="47"/>
      </w:pPr>
      <w:r>
        <w:rPr>
          <w:i/>
        </w:rPr>
        <w:t>2.</w:t>
      </w:r>
      <w:r>
        <w:rPr>
          <w:rFonts w:ascii="Arial" w:eastAsia="Arial" w:hAnsi="Arial" w:cs="Arial"/>
          <w:i/>
        </w:rPr>
        <w:t xml:space="preserve"> </w:t>
      </w:r>
      <w:r>
        <w:rPr>
          <w:i/>
        </w:rPr>
        <w:t xml:space="preserve">Физикальное обследование: </w:t>
      </w:r>
    </w:p>
    <w:p w:rsidR="007F750E" w:rsidRDefault="00780135">
      <w:pPr>
        <w:spacing w:after="34"/>
        <w:ind w:left="1262" w:right="47" w:hanging="360"/>
      </w:pPr>
      <w:r>
        <w:rPr>
          <w:rFonts w:ascii="Courier New" w:eastAsia="Courier New" w:hAnsi="Courier New" w:cs="Courier New"/>
        </w:rPr>
        <w:t>­</w:t>
      </w:r>
      <w:r>
        <w:rPr>
          <w:rFonts w:ascii="Arial" w:eastAsia="Arial" w:hAnsi="Arial" w:cs="Arial"/>
        </w:rPr>
        <w:t xml:space="preserve"> </w:t>
      </w:r>
      <w:r>
        <w:rPr>
          <w:i/>
        </w:rPr>
        <w:t>возможно проя</w:t>
      </w:r>
      <w:r>
        <w:rPr>
          <w:i/>
        </w:rPr>
        <w:t xml:space="preserve">вления геморрагического синдрома (кожный, кровоточивость из пуповины, мест инъекций, желудочное, кишечное кровотечение, кефалгематома, легочное и т.д.); </w:t>
      </w:r>
    </w:p>
    <w:p w:rsidR="007F750E" w:rsidRDefault="00780135">
      <w:pPr>
        <w:spacing w:after="34"/>
        <w:ind w:left="1262" w:right="47" w:hanging="360"/>
      </w:pPr>
      <w:r>
        <w:rPr>
          <w:rFonts w:ascii="Courier New" w:eastAsia="Courier New" w:hAnsi="Courier New" w:cs="Courier New"/>
        </w:rPr>
        <w:t>­</w:t>
      </w:r>
      <w:r>
        <w:rPr>
          <w:rFonts w:ascii="Arial" w:eastAsia="Arial" w:hAnsi="Arial" w:cs="Arial"/>
        </w:rPr>
        <w:t xml:space="preserve"> </w:t>
      </w:r>
      <w:r>
        <w:rPr>
          <w:i/>
        </w:rPr>
        <w:t>признаки течения инфекционного заболевания бактериальной, вирусной или грибковой этиологии (в соотве</w:t>
      </w:r>
      <w:r>
        <w:rPr>
          <w:i/>
        </w:rPr>
        <w:t xml:space="preserve">тствии с клиническими рекомендациями «Сепсис новорожденных», «Врожденная пневмония», «Врожденная </w:t>
      </w:r>
    </w:p>
    <w:p w:rsidR="007F750E" w:rsidRDefault="00780135">
      <w:pPr>
        <w:spacing w:after="34" w:line="259" w:lineRule="auto"/>
        <w:ind w:left="1287" w:right="47"/>
      </w:pPr>
      <w:r>
        <w:rPr>
          <w:i/>
        </w:rPr>
        <w:t xml:space="preserve">цитомегаловирусная инфекция», «Кандидоз новорожденных»); </w:t>
      </w:r>
    </w:p>
    <w:p w:rsidR="007F750E" w:rsidRDefault="00780135">
      <w:pPr>
        <w:spacing w:after="34"/>
        <w:ind w:left="1262" w:right="47" w:hanging="360"/>
      </w:pPr>
      <w:r>
        <w:rPr>
          <w:rFonts w:ascii="Courier New" w:eastAsia="Courier New" w:hAnsi="Courier New" w:cs="Courier New"/>
        </w:rPr>
        <w:t>­</w:t>
      </w:r>
      <w:r>
        <w:rPr>
          <w:rFonts w:ascii="Arial" w:eastAsia="Arial" w:hAnsi="Arial" w:cs="Arial"/>
        </w:rPr>
        <w:t xml:space="preserve"> </w:t>
      </w:r>
      <w:r>
        <w:rPr>
          <w:i/>
        </w:rPr>
        <w:t>наличие у новорожденного пороков развития или стигм дизэмбриогенеза (тромбоцитопения может входить</w:t>
      </w:r>
      <w:r>
        <w:rPr>
          <w:i/>
        </w:rPr>
        <w:t xml:space="preserve"> в симптомокомплекс наследственных или генетически обусловленных синдромов, сопровождающихся тромбоцитопенией (синдром Вискотт-Олдрича, синдром Костмана, амегакариоцитарная тромбоцитопения, врожденный лейкоз, гемофагоцитарный лимфогистиоцитоз, синдром отсу</w:t>
      </w:r>
      <w:r>
        <w:rPr>
          <w:i/>
        </w:rPr>
        <w:t xml:space="preserve">тствия лучевой кости (TAR-синдром) и др.)); </w:t>
      </w:r>
    </w:p>
    <w:p w:rsidR="007F750E" w:rsidRDefault="00780135">
      <w:pPr>
        <w:spacing w:after="34"/>
        <w:ind w:left="912" w:right="47"/>
      </w:pPr>
      <w:r>
        <w:rPr>
          <w:rFonts w:ascii="Courier New" w:eastAsia="Courier New" w:hAnsi="Courier New" w:cs="Courier New"/>
        </w:rPr>
        <w:t>­</w:t>
      </w:r>
      <w:r>
        <w:rPr>
          <w:rFonts w:ascii="Arial" w:eastAsia="Arial" w:hAnsi="Arial" w:cs="Arial"/>
        </w:rPr>
        <w:t xml:space="preserve"> </w:t>
      </w:r>
      <w:r>
        <w:rPr>
          <w:i/>
        </w:rPr>
        <w:t xml:space="preserve">наличие у новорожденного гигантских гемангиом (синдром Казабах-Меррит); </w:t>
      </w:r>
      <w:r>
        <w:rPr>
          <w:rFonts w:ascii="Courier New" w:eastAsia="Courier New" w:hAnsi="Courier New" w:cs="Courier New"/>
        </w:rPr>
        <w:t>­</w:t>
      </w:r>
      <w:r>
        <w:rPr>
          <w:rFonts w:ascii="Arial" w:eastAsia="Arial" w:hAnsi="Arial" w:cs="Arial"/>
        </w:rPr>
        <w:t xml:space="preserve"> </w:t>
      </w:r>
      <w:r>
        <w:rPr>
          <w:i/>
        </w:rPr>
        <w:t xml:space="preserve">наличие у новорожденного отечной формы гемолитической болезни новорожденных; </w:t>
      </w:r>
    </w:p>
    <w:p w:rsidR="007F750E" w:rsidRDefault="00780135">
      <w:pPr>
        <w:spacing w:after="184" w:line="259" w:lineRule="auto"/>
        <w:ind w:left="912" w:right="47"/>
      </w:pPr>
      <w:r>
        <w:rPr>
          <w:rFonts w:ascii="Courier New" w:eastAsia="Courier New" w:hAnsi="Courier New" w:cs="Courier New"/>
        </w:rPr>
        <w:t>­</w:t>
      </w:r>
      <w:r>
        <w:rPr>
          <w:rFonts w:ascii="Arial" w:eastAsia="Arial" w:hAnsi="Arial" w:cs="Arial"/>
        </w:rPr>
        <w:t xml:space="preserve"> </w:t>
      </w:r>
      <w:r>
        <w:rPr>
          <w:i/>
        </w:rPr>
        <w:t>наличие у новорожденного признаков нарушений болезни об</w:t>
      </w:r>
      <w:r>
        <w:rPr>
          <w:i/>
        </w:rPr>
        <w:t xml:space="preserve">мена. </w:t>
      </w:r>
    </w:p>
    <w:p w:rsidR="007F750E" w:rsidRDefault="00780135">
      <w:pPr>
        <w:spacing w:after="162" w:line="259" w:lineRule="auto"/>
        <w:ind w:left="644" w:right="47"/>
      </w:pPr>
      <w:r>
        <w:rPr>
          <w:i/>
        </w:rPr>
        <w:t>3.</w:t>
      </w:r>
      <w:r>
        <w:rPr>
          <w:rFonts w:ascii="Arial" w:eastAsia="Arial" w:hAnsi="Arial" w:cs="Arial"/>
          <w:i/>
        </w:rPr>
        <w:t xml:space="preserve"> </w:t>
      </w:r>
      <w:r>
        <w:rPr>
          <w:i/>
        </w:rPr>
        <w:t xml:space="preserve">Лабораторные исследования в зависимости от предполагаемой этиологии: </w:t>
      </w:r>
    </w:p>
    <w:p w:rsidR="007F750E" w:rsidRDefault="00780135">
      <w:pPr>
        <w:spacing w:after="184" w:line="259" w:lineRule="auto"/>
        <w:ind w:left="912" w:right="47"/>
      </w:pPr>
      <w:r>
        <w:rPr>
          <w:rFonts w:ascii="Courier New" w:eastAsia="Courier New" w:hAnsi="Courier New" w:cs="Courier New"/>
        </w:rPr>
        <w:t>­</w:t>
      </w:r>
      <w:r>
        <w:rPr>
          <w:rFonts w:ascii="Arial" w:eastAsia="Arial" w:hAnsi="Arial" w:cs="Arial"/>
        </w:rPr>
        <w:t xml:space="preserve"> </w:t>
      </w:r>
      <w:r>
        <w:rPr>
          <w:i/>
        </w:rPr>
        <w:t xml:space="preserve">тромбоцитопения различной степени тяжести; </w:t>
      </w:r>
    </w:p>
    <w:p w:rsidR="007F750E" w:rsidRDefault="00780135">
      <w:pPr>
        <w:spacing w:after="34"/>
        <w:ind w:left="1262" w:right="47" w:hanging="360"/>
      </w:pPr>
      <w:r>
        <w:rPr>
          <w:rFonts w:ascii="Courier New" w:eastAsia="Courier New" w:hAnsi="Courier New" w:cs="Courier New"/>
        </w:rPr>
        <w:t>­</w:t>
      </w:r>
      <w:r>
        <w:rPr>
          <w:rFonts w:ascii="Arial" w:eastAsia="Arial" w:hAnsi="Arial" w:cs="Arial"/>
        </w:rPr>
        <w:t xml:space="preserve"> </w:t>
      </w:r>
      <w:r>
        <w:rPr>
          <w:i/>
        </w:rPr>
        <w:t>положительные результаты микробиологических или молекулярнобиологических исследований на бактериальные, вирусные или грибковые и</w:t>
      </w:r>
      <w:r>
        <w:rPr>
          <w:i/>
        </w:rPr>
        <w:t xml:space="preserve">нфекции; </w:t>
      </w:r>
    </w:p>
    <w:p w:rsidR="007F750E" w:rsidRDefault="00780135">
      <w:pPr>
        <w:spacing w:after="34"/>
        <w:ind w:left="1277" w:right="47" w:hanging="283"/>
      </w:pPr>
      <w:r>
        <w:rPr>
          <w:rFonts w:ascii="Courier New" w:eastAsia="Courier New" w:hAnsi="Courier New" w:cs="Courier New"/>
        </w:rPr>
        <w:t>­</w:t>
      </w:r>
      <w:r>
        <w:rPr>
          <w:rFonts w:ascii="Arial" w:eastAsia="Arial" w:hAnsi="Arial" w:cs="Arial"/>
        </w:rPr>
        <w:t xml:space="preserve"> </w:t>
      </w:r>
      <w:r>
        <w:rPr>
          <w:i/>
        </w:rPr>
        <w:t>положительные результаты на маркеры синдрома системного воспалительного ответа (исследование уровня C-</w:t>
      </w:r>
      <w:r>
        <w:rPr>
          <w:i/>
        </w:rPr>
        <w:t>реактивного белка в сыворотке крови, исследование уровня прокальцитонина в крови, исследование уровня пресепсина в крови, лейкопения, нейтропения, патологический нейтрофильный индекс) в соответствии с клиническими рекомендациями «Сепсис новорожденных», «Вр</w:t>
      </w:r>
      <w:r>
        <w:rPr>
          <w:i/>
        </w:rPr>
        <w:t xml:space="preserve">ожденная пневмония»); </w:t>
      </w:r>
    </w:p>
    <w:p w:rsidR="007F750E" w:rsidRDefault="00780135">
      <w:pPr>
        <w:spacing w:after="34"/>
        <w:ind w:left="1262" w:right="47" w:hanging="360"/>
      </w:pPr>
      <w:r>
        <w:rPr>
          <w:rFonts w:ascii="Courier New" w:eastAsia="Courier New" w:hAnsi="Courier New" w:cs="Courier New"/>
        </w:rPr>
        <w:t>­</w:t>
      </w:r>
      <w:r>
        <w:rPr>
          <w:rFonts w:ascii="Arial" w:eastAsia="Arial" w:hAnsi="Arial" w:cs="Arial"/>
        </w:rPr>
        <w:t xml:space="preserve"> </w:t>
      </w:r>
      <w:r>
        <w:rPr>
          <w:i/>
        </w:rPr>
        <w:t xml:space="preserve">положительный прямой антиглобулиновый тест (прямая проба Кумбса) для диагностики гемолитической болезни новорожденного; </w:t>
      </w:r>
    </w:p>
    <w:p w:rsidR="007F750E" w:rsidRDefault="00780135">
      <w:pPr>
        <w:spacing w:after="34"/>
        <w:ind w:left="1262" w:right="47" w:hanging="360"/>
      </w:pPr>
      <w:r>
        <w:rPr>
          <w:rFonts w:ascii="Courier New" w:eastAsia="Courier New" w:hAnsi="Courier New" w:cs="Courier New"/>
        </w:rPr>
        <w:t>­</w:t>
      </w:r>
      <w:r>
        <w:rPr>
          <w:rFonts w:ascii="Arial" w:eastAsia="Arial" w:hAnsi="Arial" w:cs="Arial"/>
        </w:rPr>
        <w:t xml:space="preserve"> </w:t>
      </w:r>
      <w:r>
        <w:rPr>
          <w:i/>
        </w:rPr>
        <w:t xml:space="preserve">исследование активности и свойств фактора Виллебранда в крови при подозрении на болезнь Виллебранда 2В типа (с тромбоцитопенией); </w:t>
      </w:r>
    </w:p>
    <w:p w:rsidR="007F750E" w:rsidRDefault="00780135">
      <w:pPr>
        <w:spacing w:after="34"/>
        <w:ind w:left="1262" w:right="47" w:hanging="360"/>
      </w:pPr>
      <w:r>
        <w:rPr>
          <w:rFonts w:ascii="Courier New" w:eastAsia="Courier New" w:hAnsi="Courier New" w:cs="Courier New"/>
        </w:rPr>
        <w:t>­</w:t>
      </w:r>
      <w:r>
        <w:rPr>
          <w:rFonts w:ascii="Arial" w:eastAsia="Arial" w:hAnsi="Arial" w:cs="Arial"/>
        </w:rPr>
        <w:t xml:space="preserve"> </w:t>
      </w:r>
      <w:r>
        <w:rPr>
          <w:i/>
        </w:rPr>
        <w:t xml:space="preserve">исследование агрегации тромбоцитов при подозрении на тромбоцитопатию с тромбоцитопенией;  </w:t>
      </w:r>
    </w:p>
    <w:p w:rsidR="007F750E" w:rsidRDefault="00780135">
      <w:pPr>
        <w:spacing w:after="0" w:line="416" w:lineRule="auto"/>
        <w:ind w:left="1262" w:right="47" w:hanging="360"/>
      </w:pPr>
      <w:r>
        <w:rPr>
          <w:rFonts w:ascii="Courier New" w:eastAsia="Courier New" w:hAnsi="Courier New" w:cs="Courier New"/>
        </w:rPr>
        <w:t>­</w:t>
      </w:r>
      <w:r>
        <w:rPr>
          <w:rFonts w:ascii="Arial" w:eastAsia="Arial" w:hAnsi="Arial" w:cs="Arial"/>
        </w:rPr>
        <w:t xml:space="preserve"> </w:t>
      </w:r>
      <w:r>
        <w:rPr>
          <w:i/>
        </w:rPr>
        <w:t>подтверждающие молекулярно-ген</w:t>
      </w:r>
      <w:r>
        <w:rPr>
          <w:i/>
        </w:rPr>
        <w:t xml:space="preserve">етические исследования различных мутаций в генах в соответствии с подозреваемым заболеванием; </w:t>
      </w:r>
    </w:p>
    <w:p w:rsidR="007F750E" w:rsidRDefault="00780135">
      <w:pPr>
        <w:spacing w:after="34"/>
        <w:ind w:left="1277" w:right="47" w:hanging="283"/>
      </w:pPr>
      <w:r>
        <w:rPr>
          <w:rFonts w:ascii="Courier New" w:eastAsia="Courier New" w:hAnsi="Courier New" w:cs="Courier New"/>
        </w:rPr>
        <w:t>­</w:t>
      </w:r>
      <w:r>
        <w:rPr>
          <w:rFonts w:ascii="Arial" w:eastAsia="Arial" w:hAnsi="Arial" w:cs="Arial"/>
        </w:rPr>
        <w:t xml:space="preserve"> </w:t>
      </w:r>
      <w:r>
        <w:rPr>
          <w:i/>
        </w:rPr>
        <w:t>результаты костно-мозговой пункции (получение цитологического препарата костного мозга путем пункции) в соответствии с подозреваемым заболеванием, сопровождающ</w:t>
      </w:r>
      <w:r>
        <w:rPr>
          <w:i/>
        </w:rPr>
        <w:t xml:space="preserve">ейся тромбоцитопенией (гемофагоцитарный лимфогистиоцитоз (первичный/вторичный), амегакариоцитарная </w:t>
      </w:r>
    </w:p>
    <w:p w:rsidR="007F750E" w:rsidRDefault="00780135">
      <w:pPr>
        <w:spacing w:after="34" w:line="259" w:lineRule="auto"/>
        <w:ind w:left="1287" w:right="47"/>
      </w:pPr>
      <w:r>
        <w:rPr>
          <w:i/>
        </w:rPr>
        <w:t xml:space="preserve">тромбоцитопения, врожденный лейкоз и т.д.); </w:t>
      </w:r>
    </w:p>
    <w:p w:rsidR="007F750E" w:rsidRDefault="00780135">
      <w:pPr>
        <w:spacing w:after="34"/>
        <w:ind w:left="1262" w:right="47" w:hanging="360"/>
      </w:pPr>
      <w:r>
        <w:rPr>
          <w:rFonts w:ascii="Courier New" w:eastAsia="Courier New" w:hAnsi="Courier New" w:cs="Courier New"/>
        </w:rPr>
        <w:t>­</w:t>
      </w:r>
      <w:r>
        <w:rPr>
          <w:rFonts w:ascii="Arial" w:eastAsia="Arial" w:hAnsi="Arial" w:cs="Arial"/>
        </w:rPr>
        <w:t xml:space="preserve"> </w:t>
      </w:r>
      <w:r>
        <w:rPr>
          <w:i/>
        </w:rPr>
        <w:t xml:space="preserve">положительные результаты расширенного неонатального скрининга (пропионовая, метилмалоновая ацидемия и т.д.). </w:t>
      </w:r>
    </w:p>
    <w:p w:rsidR="007F750E" w:rsidRDefault="00780135">
      <w:pPr>
        <w:spacing w:after="165" w:line="259" w:lineRule="auto"/>
        <w:ind w:right="73"/>
        <w:jc w:val="right"/>
      </w:pPr>
      <w:r>
        <w:rPr>
          <w:i/>
        </w:rPr>
        <w:t>4.</w:t>
      </w:r>
      <w:r>
        <w:rPr>
          <w:rFonts w:ascii="Arial" w:eastAsia="Arial" w:hAnsi="Arial" w:cs="Arial"/>
          <w:i/>
        </w:rPr>
        <w:t xml:space="preserve"> </w:t>
      </w:r>
      <w:r>
        <w:rPr>
          <w:i/>
        </w:rPr>
        <w:t xml:space="preserve">Инструментальные исследования в зависимости от предполагаемой этиологии: </w:t>
      </w:r>
    </w:p>
    <w:p w:rsidR="007F750E" w:rsidRDefault="00780135">
      <w:pPr>
        <w:spacing w:after="165" w:line="259" w:lineRule="auto"/>
        <w:ind w:right="73"/>
        <w:jc w:val="right"/>
      </w:pPr>
      <w:r>
        <w:rPr>
          <w:rFonts w:ascii="Courier New" w:eastAsia="Courier New" w:hAnsi="Courier New" w:cs="Courier New"/>
        </w:rPr>
        <w:t>­</w:t>
      </w:r>
      <w:r>
        <w:rPr>
          <w:rFonts w:ascii="Arial" w:eastAsia="Arial" w:hAnsi="Arial" w:cs="Arial"/>
        </w:rPr>
        <w:t xml:space="preserve"> </w:t>
      </w:r>
      <w:r>
        <w:rPr>
          <w:i/>
        </w:rPr>
        <w:t xml:space="preserve"> наличие тромбоза различной локализации при ультразвуковых исследованиях; </w:t>
      </w:r>
    </w:p>
    <w:p w:rsidR="007F750E" w:rsidRDefault="00780135">
      <w:pPr>
        <w:spacing w:after="275"/>
        <w:ind w:left="1262" w:right="47" w:hanging="360"/>
      </w:pPr>
      <w:r>
        <w:rPr>
          <w:rFonts w:ascii="Courier New" w:eastAsia="Courier New" w:hAnsi="Courier New" w:cs="Courier New"/>
        </w:rPr>
        <w:t>­</w:t>
      </w:r>
      <w:r>
        <w:rPr>
          <w:rFonts w:ascii="Arial" w:eastAsia="Arial" w:hAnsi="Arial" w:cs="Arial"/>
        </w:rPr>
        <w:t xml:space="preserve"> </w:t>
      </w:r>
      <w:r>
        <w:rPr>
          <w:i/>
        </w:rPr>
        <w:t xml:space="preserve">рентгенография локтевой кости и лучевой кости для подтверждения TARсиндрома.    </w:t>
      </w:r>
    </w:p>
    <w:p w:rsidR="007F750E" w:rsidRDefault="00780135">
      <w:pPr>
        <w:pStyle w:val="Heading2"/>
        <w:spacing w:after="392"/>
        <w:ind w:left="703" w:right="47"/>
      </w:pPr>
      <w:r>
        <w:t>2.1 Жалобы и анамн</w:t>
      </w:r>
      <w:r>
        <w:t>ез</w:t>
      </w:r>
      <w:r>
        <w:rPr>
          <w:u w:val="none"/>
        </w:rPr>
        <w:t xml:space="preserve"> </w:t>
      </w:r>
    </w:p>
    <w:p w:rsidR="007F750E" w:rsidRDefault="00780135">
      <w:pPr>
        <w:ind w:left="713" w:right="49" w:hanging="355"/>
      </w:pPr>
      <w:r>
        <w:rPr>
          <w:rFonts w:ascii="Segoe UI Symbol" w:eastAsia="Segoe UI Symbol" w:hAnsi="Segoe UI Symbol" w:cs="Segoe UI Symbol"/>
          <w:sz w:val="20"/>
        </w:rPr>
        <w:t></w:t>
      </w:r>
      <w:r>
        <w:rPr>
          <w:rFonts w:ascii="Arial" w:eastAsia="Arial" w:hAnsi="Arial" w:cs="Arial"/>
          <w:sz w:val="20"/>
        </w:rPr>
        <w:t xml:space="preserve"> </w:t>
      </w:r>
      <w:r>
        <w:rPr>
          <w:b/>
        </w:rPr>
        <w:t>Рекомендуется</w:t>
      </w:r>
      <w:r>
        <w:t xml:space="preserve"> провести сбор акушерско-гинекологического анамнеза и жалоб у матери новорожденного с тромбоцитопенией/ с подозрением на тромбоцитопению для выявления возможных причин развития преходящей неонатальной тромбоцитопении [4, 5, 6, 7, 8, 14, </w:t>
      </w:r>
      <w:r>
        <w:t xml:space="preserve">15, 21, 22, 24, 30]. </w:t>
      </w:r>
    </w:p>
    <w:p w:rsidR="007F750E" w:rsidRDefault="00780135">
      <w:pPr>
        <w:spacing w:after="2" w:line="395" w:lineRule="auto"/>
        <w:ind w:left="715"/>
        <w:jc w:val="left"/>
      </w:pPr>
      <w:r>
        <w:rPr>
          <w:b/>
        </w:rPr>
        <w:t>Уровень убедительности рекомендаций В (уровень достоверности доказательств - 3).</w:t>
      </w:r>
      <w:r>
        <w:rPr>
          <w:b/>
          <w:sz w:val="22"/>
        </w:rPr>
        <w:t xml:space="preserve"> </w:t>
      </w:r>
    </w:p>
    <w:p w:rsidR="007F750E" w:rsidRDefault="00780135">
      <w:pPr>
        <w:spacing w:after="159" w:line="259" w:lineRule="auto"/>
        <w:ind w:left="718" w:right="47"/>
      </w:pPr>
      <w:r>
        <w:rPr>
          <w:b/>
        </w:rPr>
        <w:t xml:space="preserve">Комментарии: </w:t>
      </w:r>
      <w:r>
        <w:rPr>
          <w:i/>
        </w:rPr>
        <w:t xml:space="preserve">Группы риска представлены в разделе 1.2. </w:t>
      </w:r>
    </w:p>
    <w:p w:rsidR="007F750E" w:rsidRDefault="00780135">
      <w:pPr>
        <w:spacing w:after="34"/>
        <w:ind w:left="718" w:right="47"/>
      </w:pPr>
      <w:r>
        <w:rPr>
          <w:i/>
        </w:rPr>
        <w:t>При сборе акушерско-</w:t>
      </w:r>
      <w:r>
        <w:rPr>
          <w:i/>
        </w:rPr>
        <w:t xml:space="preserve">гинекологического анамнеза и жалоб учитывать приём лекарственных препаратов, вызывающих лекарственно-индуцированную тромбоцитопению, беременной при ранней неонатальной тромбоцитопении и ребенком при поздней неонатальной тромбоцитопении. </w:t>
      </w:r>
    </w:p>
    <w:p w:rsidR="007F750E" w:rsidRDefault="00780135">
      <w:pPr>
        <w:spacing w:after="286"/>
        <w:ind w:left="718" w:right="47"/>
      </w:pPr>
      <w:r>
        <w:rPr>
          <w:i/>
        </w:rPr>
        <w:t>Необходимо уточнит</w:t>
      </w:r>
      <w:r>
        <w:rPr>
          <w:i/>
        </w:rPr>
        <w:t xml:space="preserve">ь число тромбоцитов матери в общем (клиническом) анализе крови во время беременности по данным карты беременной и после родов в истории родов [6, 7, 13, 18, 19, 20, 21, 22]. </w:t>
      </w:r>
    </w:p>
    <w:p w:rsidR="007F750E" w:rsidRDefault="00780135">
      <w:pPr>
        <w:pStyle w:val="Heading2"/>
        <w:spacing w:after="356"/>
        <w:ind w:left="703" w:right="47"/>
      </w:pPr>
      <w:r>
        <w:t>2.2 Физикальное обследование</w:t>
      </w:r>
      <w:r>
        <w:rPr>
          <w:u w:val="none"/>
        </w:rPr>
        <w:t xml:space="preserve"> </w:t>
      </w:r>
    </w:p>
    <w:p w:rsidR="007F750E" w:rsidRDefault="00780135">
      <w:pPr>
        <w:ind w:left="713" w:right="49" w:hanging="355"/>
      </w:pPr>
      <w:r>
        <w:rPr>
          <w:rFonts w:ascii="Segoe UI Symbol" w:eastAsia="Segoe UI Symbol" w:hAnsi="Segoe UI Symbol" w:cs="Segoe UI Symbol"/>
          <w:sz w:val="20"/>
        </w:rPr>
        <w:t></w:t>
      </w:r>
      <w:r>
        <w:rPr>
          <w:rFonts w:ascii="Arial" w:eastAsia="Arial" w:hAnsi="Arial" w:cs="Arial"/>
          <w:sz w:val="20"/>
        </w:rPr>
        <w:t xml:space="preserve"> </w:t>
      </w:r>
      <w:r>
        <w:t>Новорожденному с тромбоцитопенией для выявления с</w:t>
      </w:r>
      <w:r>
        <w:t xml:space="preserve">имптомов преходящей неонатальной тромбоцитопении </w:t>
      </w:r>
      <w:r>
        <w:rPr>
          <w:b/>
        </w:rPr>
        <w:t xml:space="preserve">рекомендуется </w:t>
      </w:r>
      <w:r>
        <w:t>проведение визуального осмотра терапевтического [1, 5, 6, 7, 8, 10, 19, 20, 26, 27, 29, 30, 31].</w:t>
      </w:r>
      <w:r>
        <w:rPr>
          <w:b/>
        </w:rPr>
        <w:t xml:space="preserve"> </w:t>
      </w:r>
    </w:p>
    <w:p w:rsidR="007F750E" w:rsidRDefault="00780135">
      <w:pPr>
        <w:spacing w:after="2" w:line="395" w:lineRule="auto"/>
        <w:ind w:left="715"/>
        <w:jc w:val="left"/>
      </w:pPr>
      <w:r>
        <w:rPr>
          <w:b/>
        </w:rPr>
        <w:t xml:space="preserve">Уровень убедительности рекомендаций С (уровень достоверности доказательств – 4) </w:t>
      </w:r>
    </w:p>
    <w:p w:rsidR="007F750E" w:rsidRDefault="00780135">
      <w:pPr>
        <w:spacing w:after="4"/>
        <w:ind w:left="718" w:right="47"/>
      </w:pPr>
      <w:r>
        <w:rPr>
          <w:b/>
          <w:i/>
        </w:rPr>
        <w:t>Комментарии:</w:t>
      </w:r>
      <w:r>
        <w:rPr>
          <w:i/>
        </w:rPr>
        <w:t xml:space="preserve"> </w:t>
      </w:r>
      <w:r>
        <w:rPr>
          <w:i/>
        </w:rPr>
        <w:t>Визуальный осмотр терапевтический включает в себя поиск проявлений «больших» и «малых» кровотечений: осмотр кожи и слизистых (наличие геморрагических проявлений: петехии, экхимозы, кровоточивость из мест инъекций, кровянистые выделения из носа), осмотр пуп</w:t>
      </w:r>
      <w:r>
        <w:rPr>
          <w:i/>
        </w:rPr>
        <w:t xml:space="preserve">очной ранки </w:t>
      </w:r>
    </w:p>
    <w:p w:rsidR="007F750E" w:rsidRDefault="00780135">
      <w:pPr>
        <w:spacing w:after="0"/>
        <w:ind w:left="718" w:right="47"/>
      </w:pPr>
      <w:r>
        <w:rPr>
          <w:i/>
        </w:rPr>
        <w:t xml:space="preserve">(кровоточивость), оценку отделяемого по зонду назогастральному/орогастральному,примесь крови при срыгиваниях,  наличие дыхательных нарушений, оценку отделяемого из ЭЭТ (цвет, количество), оценку неврологического статуса - расхождение черепных </w:t>
      </w:r>
      <w:r>
        <w:rPr>
          <w:i/>
        </w:rPr>
        <w:t xml:space="preserve">швов при субарахноидальном кровоизлиянии (САК), глазная симптоматика при САК и ВЖК, наличие прожилок крови или кровь в стуле, розовый оттенок или сгустки крови в моче).  </w:t>
      </w:r>
    </w:p>
    <w:p w:rsidR="007F750E" w:rsidRDefault="00780135">
      <w:pPr>
        <w:spacing w:after="8"/>
        <w:ind w:left="718" w:right="47"/>
      </w:pPr>
      <w:r>
        <w:rPr>
          <w:i/>
        </w:rPr>
        <w:t>Характерным клиническим признаком неонатальной тромбоцитопении у ребенка является нал</w:t>
      </w:r>
      <w:r>
        <w:rPr>
          <w:i/>
        </w:rPr>
        <w:t>ичие кровоточивости по тромбоцитарно-сосудистому типу. В динамике возможно появление симптомов постгеморрагической анемии при массивном кровотечении (бледность, тахикардия, тахипноэ, снижение показателей АД). В динамике через 24 -48 часов и позже может поя</w:t>
      </w:r>
      <w:r>
        <w:rPr>
          <w:i/>
        </w:rPr>
        <w:t xml:space="preserve">виться желтушность кожного покрова (при рассасывании кровоизлияний). При иммунных тромбоцитопениях все клинические симптомы ограничены проявлениями кровоточивости.  </w:t>
      </w:r>
    </w:p>
    <w:p w:rsidR="007F750E" w:rsidRDefault="00780135">
      <w:pPr>
        <w:spacing w:after="282"/>
        <w:ind w:left="718" w:right="47"/>
      </w:pPr>
      <w:r>
        <w:rPr>
          <w:i/>
        </w:rPr>
        <w:t>При вторичных транзиторных тромбоцитопениях, не связанных с иммунным характером тромбоцито</w:t>
      </w:r>
      <w:r>
        <w:rPr>
          <w:i/>
        </w:rPr>
        <w:t xml:space="preserve">пении и материнскими факторами, клинические проявления соответствуют конкретному заболеванию (инфекционные заболевания, полицитемия, тяжелая асфиксия и т.п.) </w:t>
      </w:r>
    </w:p>
    <w:p w:rsidR="007F750E" w:rsidRDefault="00780135">
      <w:pPr>
        <w:pStyle w:val="Heading2"/>
        <w:spacing w:after="359"/>
        <w:ind w:left="703" w:right="47"/>
      </w:pPr>
      <w:r>
        <w:t xml:space="preserve"> 2.3 Лабораторные диагностические исследования</w:t>
      </w:r>
      <w:r>
        <w:rPr>
          <w:u w:val="none"/>
        </w:rPr>
        <w:t xml:space="preserve"> </w:t>
      </w:r>
    </w:p>
    <w:p w:rsidR="007F750E" w:rsidRDefault="00780135">
      <w:pPr>
        <w:ind w:left="713" w:right="49" w:hanging="355"/>
      </w:pPr>
      <w:r>
        <w:rPr>
          <w:rFonts w:ascii="Segoe UI Symbol" w:eastAsia="Segoe UI Symbol" w:hAnsi="Segoe UI Symbol" w:cs="Segoe UI Symbol"/>
          <w:sz w:val="20"/>
        </w:rPr>
        <w:t></w:t>
      </w:r>
      <w:r>
        <w:rPr>
          <w:rFonts w:ascii="Arial" w:eastAsia="Arial" w:hAnsi="Arial" w:cs="Arial"/>
          <w:sz w:val="20"/>
        </w:rPr>
        <w:t xml:space="preserve"> </w:t>
      </w:r>
      <w:r>
        <w:t>Новорожденному группы риска по развитию тромбоц</w:t>
      </w:r>
      <w:r>
        <w:t xml:space="preserve">итопении, а также при наличии любого проявления геморрагического синдрома, </w:t>
      </w:r>
      <w:r>
        <w:rPr>
          <w:b/>
        </w:rPr>
        <w:t>рекомендуется</w:t>
      </w:r>
      <w:r>
        <w:t xml:space="preserve"> проведение общего (клинического) анализа крови развернутого с контролем в динамике для выявления тромбоцитопении, а также анемии, вследствие кровопотери и для диагност</w:t>
      </w:r>
      <w:r>
        <w:t xml:space="preserve">ики гематологических признаков инфекционного заболевания [1, 5, 6, 7, 8, 10, 18, 19, 20, 26, 27, 29-33]. </w:t>
      </w:r>
    </w:p>
    <w:p w:rsidR="007F750E" w:rsidRDefault="00780135">
      <w:pPr>
        <w:spacing w:after="2" w:line="395" w:lineRule="auto"/>
        <w:ind w:left="715"/>
        <w:jc w:val="left"/>
      </w:pPr>
      <w:r>
        <w:rPr>
          <w:b/>
        </w:rPr>
        <w:t xml:space="preserve">Уровень убедительности рекомендаций С (уровень достоверности доказательств -4).  </w:t>
      </w:r>
    </w:p>
    <w:p w:rsidR="007F750E" w:rsidRDefault="00780135">
      <w:pPr>
        <w:spacing w:after="34"/>
        <w:ind w:left="718" w:right="47"/>
      </w:pPr>
      <w:r>
        <w:rPr>
          <w:b/>
        </w:rPr>
        <w:t>Комментарии:</w:t>
      </w:r>
      <w:r>
        <w:rPr>
          <w:i/>
        </w:rPr>
        <w:t xml:space="preserve"> </w:t>
      </w:r>
      <w:r>
        <w:rPr>
          <w:i/>
        </w:rPr>
        <w:t xml:space="preserve">При проведении общего (клинического) анализа крови следует учитывать: </w:t>
      </w:r>
    </w:p>
    <w:p w:rsidR="007F750E" w:rsidRDefault="00780135">
      <w:pPr>
        <w:spacing w:after="34"/>
        <w:ind w:left="1320" w:right="47" w:hanging="120"/>
      </w:pPr>
      <w:r>
        <w:rPr>
          <w:i/>
        </w:rPr>
        <w:t>- Оценку числа тромбоцитов проводить с учётом гестационного и хронологического возраста ребенка. При обследовании ребенка в возрасте &lt;72 часов использовать номограмму для детей первых т</w:t>
      </w:r>
      <w:r>
        <w:rPr>
          <w:i/>
        </w:rPr>
        <w:t>рех дней жизни (</w:t>
      </w:r>
      <w:r>
        <w:rPr>
          <w:b/>
          <w:i/>
        </w:rPr>
        <w:t>приложение А3.2</w:t>
      </w:r>
      <w:r>
        <w:rPr>
          <w:i/>
        </w:rPr>
        <w:t>). При тромбоцитопении менее 100* 10</w:t>
      </w:r>
      <w:r>
        <w:rPr>
          <w:i/>
          <w:vertAlign w:val="superscript"/>
        </w:rPr>
        <w:t>9</w:t>
      </w:r>
      <w:r>
        <w:rPr>
          <w:i/>
        </w:rPr>
        <w:t xml:space="preserve">/л контроль уровня тромбоцитов проводить ежедневно в первую неделю жизни, далее по показаниям. </w:t>
      </w:r>
    </w:p>
    <w:p w:rsidR="007F750E" w:rsidRDefault="00780135">
      <w:pPr>
        <w:spacing w:after="34"/>
        <w:ind w:left="1428" w:right="47" w:hanging="360"/>
      </w:pPr>
      <w:r>
        <w:rPr>
          <w:rFonts w:ascii="Courier New" w:eastAsia="Courier New" w:hAnsi="Courier New" w:cs="Courier New"/>
        </w:rPr>
        <w:t>­</w:t>
      </w:r>
      <w:r>
        <w:rPr>
          <w:rFonts w:ascii="Arial" w:eastAsia="Arial" w:hAnsi="Arial" w:cs="Arial"/>
        </w:rPr>
        <w:t xml:space="preserve"> </w:t>
      </w:r>
      <w:r>
        <w:rPr>
          <w:i/>
        </w:rPr>
        <w:t>Псевдотромбоцитопению. При использовании гематологических анализаторов различают явную и л</w:t>
      </w:r>
      <w:r>
        <w:rPr>
          <w:i/>
        </w:rPr>
        <w:t xml:space="preserve">ожную тромбоцитопению. </w:t>
      </w:r>
    </w:p>
    <w:p w:rsidR="007F750E" w:rsidRDefault="00780135">
      <w:pPr>
        <w:spacing w:after="34"/>
        <w:ind w:left="1438" w:right="47"/>
      </w:pPr>
      <w:r>
        <w:rPr>
          <w:i/>
        </w:rPr>
        <w:t xml:space="preserve">Псевдотромбоцитопения обычно возникает in vitro как следствие забора крови в пробирках с этилендиаминтетрауксусной кислотой (ЭДТА) – вследствие индуцированной агрегации тромбоцитов с образованием тромбоцитарных микросгустков крови, </w:t>
      </w:r>
      <w:r>
        <w:rPr>
          <w:i/>
        </w:rPr>
        <w:t>а также при «гигантских» тромбоцитах. При выявлении тяжёлой тромбоцитопении без проявлений кровоточивости необходимо исключить ложную тромбоцитопению и провести оптический подсчет числа тромбоцитов (по Фонио) или повторное исследование в пробирке с реагент</w:t>
      </w:r>
      <w:r>
        <w:rPr>
          <w:i/>
        </w:rPr>
        <w:t>ом для стабилизации крови при исследовании гемостаза (цитратом натрия). Псевдотромбоцитопения может быть также следствием присутствия большого количества «гигантских» тромбоцитов, которые по размеру не регистрируются гематологическим анализатором как тромб</w:t>
      </w:r>
      <w:r>
        <w:rPr>
          <w:i/>
        </w:rPr>
        <w:t xml:space="preserve">оцитарные клетки, а при оптическом подсчете фиксируются [47, 48, 49]. </w:t>
      </w:r>
    </w:p>
    <w:p w:rsidR="007F750E" w:rsidRDefault="00780135">
      <w:pPr>
        <w:spacing w:after="34"/>
        <w:ind w:left="1428" w:right="47" w:hanging="360"/>
      </w:pPr>
      <w:r>
        <w:rPr>
          <w:rFonts w:ascii="Courier New" w:eastAsia="Courier New" w:hAnsi="Courier New" w:cs="Courier New"/>
        </w:rPr>
        <w:t>­</w:t>
      </w:r>
      <w:r>
        <w:rPr>
          <w:rFonts w:ascii="Arial" w:eastAsia="Arial" w:hAnsi="Arial" w:cs="Arial"/>
        </w:rPr>
        <w:t xml:space="preserve"> </w:t>
      </w:r>
      <w:r>
        <w:rPr>
          <w:i/>
        </w:rPr>
        <w:t>Морфологию тромбоцитов. Современные гематологические счётчики позволяют оценить морфологическую характеристику тромбоцитов (при проведении просмотра мазка крови для анализа аномалий м</w:t>
      </w:r>
      <w:r>
        <w:rPr>
          <w:i/>
        </w:rPr>
        <w:t>орфологии эритроцитов, тромбоцитов и лейкоцитов) - средний объем тромбоцита (MPV). MPV увеличивается при активации тромбоцитов, что происходит в острый период гипоксии, инфекции и образования тромбов. Верификация микро- и макроклеточной тромбоцитопении поз</w:t>
      </w:r>
      <w:r>
        <w:rPr>
          <w:i/>
        </w:rPr>
        <w:t>волит диагностировать врожденные и наследственные заболевания при дифференциальном диагнозе тромбоцитопений. Оценка степени зрелости тромбоцита проводится по содержанию сетчатых тромбоцитов (RP%) и процентному содержанию фракции незрелых тромбоцитов (IPF%)</w:t>
      </w:r>
      <w:r>
        <w:rPr>
          <w:i/>
        </w:rPr>
        <w:t>. Сетчатые тромбоциты (с высоким содержанием РНК) - это тромбоциты, недавно выделившиеся из костного мозга (менее 24 часов назад). Аналогично ретикулоцитам при анемии, процент ретикулоцитарных тромбоцитов повышен при иммунной тромбоцитопении и тромбоцитопе</w:t>
      </w:r>
      <w:r>
        <w:rPr>
          <w:i/>
        </w:rPr>
        <w:t xml:space="preserve">нии потребления и снижен при врожденной апластической тромбоцитопении. Номограммы MPV и IPF представлены в </w:t>
      </w:r>
      <w:r>
        <w:rPr>
          <w:b/>
          <w:i/>
        </w:rPr>
        <w:t>приложении А3.2</w:t>
      </w:r>
      <w:r>
        <w:rPr>
          <w:i/>
        </w:rPr>
        <w:t xml:space="preserve"> [18, 50, 51, 52, 53]. </w:t>
      </w:r>
    </w:p>
    <w:p w:rsidR="007F750E" w:rsidRDefault="00780135">
      <w:pPr>
        <w:spacing w:after="34"/>
        <w:ind w:left="1428" w:right="47" w:hanging="360"/>
      </w:pPr>
      <w:r>
        <w:rPr>
          <w:rFonts w:ascii="Courier New" w:eastAsia="Courier New" w:hAnsi="Courier New" w:cs="Courier New"/>
        </w:rPr>
        <w:t>­</w:t>
      </w:r>
      <w:r>
        <w:rPr>
          <w:rFonts w:ascii="Arial" w:eastAsia="Arial" w:hAnsi="Arial" w:cs="Arial"/>
        </w:rPr>
        <w:t xml:space="preserve"> </w:t>
      </w:r>
      <w:r>
        <w:rPr>
          <w:i/>
        </w:rPr>
        <w:t xml:space="preserve">Оценку показатели красной крови (исследование уровня общего гемоглобина, оценка гематокрита) для исключения </w:t>
      </w:r>
      <w:r>
        <w:rPr>
          <w:i/>
        </w:rPr>
        <w:t xml:space="preserve">полицитемии - фактора риска тромбоцитопении и контроля анемии, которая может развиться на фоне геморрагического синдрома. </w:t>
      </w:r>
    </w:p>
    <w:p w:rsidR="007F750E" w:rsidRDefault="00780135">
      <w:pPr>
        <w:spacing w:after="275"/>
        <w:ind w:left="1428" w:right="47" w:hanging="360"/>
      </w:pPr>
      <w:r>
        <w:rPr>
          <w:rFonts w:ascii="Courier New" w:eastAsia="Courier New" w:hAnsi="Courier New" w:cs="Courier New"/>
        </w:rPr>
        <w:t>­</w:t>
      </w:r>
      <w:r>
        <w:rPr>
          <w:rFonts w:ascii="Arial" w:eastAsia="Arial" w:hAnsi="Arial" w:cs="Arial"/>
        </w:rPr>
        <w:t xml:space="preserve"> </w:t>
      </w:r>
      <w:r>
        <w:rPr>
          <w:i/>
        </w:rPr>
        <w:t>Оценку уровня лейкоцитов, нейтрофилов, нейтрофильный индекс (дифференцированный подсчет лейкоцитов (лейкоцитарная формула)) как воз</w:t>
      </w:r>
      <w:r>
        <w:rPr>
          <w:i/>
        </w:rPr>
        <w:t xml:space="preserve">можную инфекционную причину тромбоцитопении. </w:t>
      </w:r>
    </w:p>
    <w:p w:rsidR="007F750E" w:rsidRDefault="00780135">
      <w:pPr>
        <w:numPr>
          <w:ilvl w:val="0"/>
          <w:numId w:val="14"/>
        </w:numPr>
        <w:ind w:right="49" w:hanging="355"/>
      </w:pPr>
      <w:r>
        <w:t xml:space="preserve">Новорожденному с проявлениями геморрагического синдрома </w:t>
      </w:r>
      <w:r>
        <w:rPr>
          <w:b/>
        </w:rPr>
        <w:t>рекомендуется</w:t>
      </w:r>
      <w:r>
        <w:t xml:space="preserve"> исследование коагулограммы (ориентировочное исследование системы гемостаза) с исследованием уровня фибриногена в крови, активированного част</w:t>
      </w:r>
      <w:r>
        <w:t xml:space="preserve">ичного тромбопластинового времени (АЧТВ), определение протромбинового (тромбопластинового) времени (ПТВ) в крови или в плазме, определение международного нормализованного отношения (MHO), для исключения нарушений коагуляционного звена системы гемостаза, в </w:t>
      </w:r>
      <w:r>
        <w:t xml:space="preserve">том числе геморрагической болезни новорожденных  [1, 6, 7, 10, 18-20, 29-33]. </w:t>
      </w:r>
    </w:p>
    <w:p w:rsidR="007F750E" w:rsidRDefault="00780135">
      <w:pPr>
        <w:spacing w:after="241" w:line="395" w:lineRule="auto"/>
        <w:ind w:left="715"/>
        <w:jc w:val="left"/>
      </w:pPr>
      <w:r>
        <w:rPr>
          <w:b/>
        </w:rPr>
        <w:t xml:space="preserve">Уровень убедительности рекомендаций С (уровень достоверности доказательств – 4). </w:t>
      </w:r>
    </w:p>
    <w:p w:rsidR="007F750E" w:rsidRDefault="00780135">
      <w:pPr>
        <w:numPr>
          <w:ilvl w:val="0"/>
          <w:numId w:val="14"/>
        </w:numPr>
        <w:ind w:right="49" w:hanging="355"/>
      </w:pPr>
      <w:r>
        <w:t xml:space="preserve">При подозрении на иммунную тромбоцитопению у новорожденного </w:t>
      </w:r>
      <w:r>
        <w:rPr>
          <w:b/>
        </w:rPr>
        <w:t>рекомендуется</w:t>
      </w:r>
      <w:r>
        <w:t xml:space="preserve"> определение содержани</w:t>
      </w:r>
      <w:r>
        <w:t xml:space="preserve">я антитромбоцитарных антител для подтверждения иммунного характера тромбоцитопении [54]. </w:t>
      </w:r>
    </w:p>
    <w:p w:rsidR="007F750E" w:rsidRDefault="00780135">
      <w:pPr>
        <w:spacing w:after="2" w:line="395" w:lineRule="auto"/>
        <w:ind w:left="715"/>
        <w:jc w:val="left"/>
      </w:pPr>
      <w:r>
        <w:rPr>
          <w:b/>
        </w:rPr>
        <w:t xml:space="preserve">Уровень убедительности рекомендаций С (уровень достоверности доказательств - 5). </w:t>
      </w:r>
    </w:p>
    <w:p w:rsidR="007F750E" w:rsidRDefault="00780135">
      <w:pPr>
        <w:spacing w:after="284"/>
        <w:ind w:left="718" w:right="47"/>
      </w:pPr>
      <w:r>
        <w:rPr>
          <w:b/>
        </w:rPr>
        <w:t>Комментарии:</w:t>
      </w:r>
      <w:r>
        <w:rPr>
          <w:i/>
        </w:rPr>
        <w:t xml:space="preserve"> Данное исследование проводится при технической возможности конкретной М</w:t>
      </w:r>
      <w:r>
        <w:rPr>
          <w:i/>
        </w:rPr>
        <w:t xml:space="preserve">О. Помимо определения содержания антитромбоцитарных антител у ребенка, исследование также проводится в сыворотке крови матери.  </w:t>
      </w:r>
    </w:p>
    <w:p w:rsidR="007F750E" w:rsidRDefault="00780135">
      <w:pPr>
        <w:pStyle w:val="Heading2"/>
        <w:spacing w:after="356"/>
        <w:ind w:left="703" w:right="47"/>
      </w:pPr>
      <w:r>
        <w:t>2.4 Инструментальные диагностические исследования</w:t>
      </w:r>
      <w:r>
        <w:rPr>
          <w:u w:val="none"/>
        </w:rPr>
        <w:t xml:space="preserve"> </w:t>
      </w:r>
    </w:p>
    <w:p w:rsidR="007F750E" w:rsidRDefault="00780135">
      <w:pPr>
        <w:numPr>
          <w:ilvl w:val="0"/>
          <w:numId w:val="15"/>
        </w:numPr>
        <w:spacing w:after="32"/>
        <w:ind w:right="49" w:hanging="355"/>
      </w:pPr>
      <w:r>
        <w:t xml:space="preserve">Всем новорожденным с умеренной и тяжёлой тромбоцитопенией для оценки наличия ВЧК </w:t>
      </w:r>
      <w:r>
        <w:rPr>
          <w:b/>
        </w:rPr>
        <w:t>рекомендуется</w:t>
      </w:r>
      <w:r>
        <w:t xml:space="preserve"> проведение нейросонографии [1, 3, 18, 31, 32, 36].  </w:t>
      </w:r>
    </w:p>
    <w:p w:rsidR="007F750E" w:rsidRDefault="00780135">
      <w:pPr>
        <w:spacing w:after="238" w:line="395" w:lineRule="auto"/>
        <w:ind w:left="715"/>
        <w:jc w:val="left"/>
      </w:pPr>
      <w:r>
        <w:rPr>
          <w:b/>
        </w:rPr>
        <w:t xml:space="preserve">Уровень убедительности рекомендаций С (уровень достоверности доказательств - 4). </w:t>
      </w:r>
    </w:p>
    <w:p w:rsidR="007F750E" w:rsidRDefault="00780135">
      <w:pPr>
        <w:numPr>
          <w:ilvl w:val="0"/>
          <w:numId w:val="15"/>
        </w:numPr>
        <w:ind w:right="49" w:hanging="355"/>
      </w:pPr>
      <w:r>
        <w:t>Всем новорожденным с тяжёл</w:t>
      </w:r>
      <w:r>
        <w:t xml:space="preserve">ой тромбоцитопенией </w:t>
      </w:r>
      <w:r>
        <w:rPr>
          <w:b/>
        </w:rPr>
        <w:t>рекомендуется</w:t>
      </w:r>
      <w:r>
        <w:t xml:space="preserve"> проведение ультразвукового исследования органов брюшной полости (комплексного), почек для исключения внутренних кровотечений [18, 31, 32, 36, 133]. </w:t>
      </w:r>
    </w:p>
    <w:p w:rsidR="007F750E" w:rsidRDefault="00780135">
      <w:pPr>
        <w:spacing w:after="245" w:line="395" w:lineRule="auto"/>
        <w:ind w:left="715"/>
        <w:jc w:val="left"/>
      </w:pPr>
      <w:r>
        <w:rPr>
          <w:b/>
        </w:rPr>
        <w:t xml:space="preserve">Уровень </w:t>
      </w:r>
      <w:r>
        <w:rPr>
          <w:b/>
        </w:rPr>
        <w:tab/>
        <w:t xml:space="preserve">убедительности </w:t>
      </w:r>
      <w:r>
        <w:rPr>
          <w:b/>
        </w:rPr>
        <w:tab/>
        <w:t xml:space="preserve">рекомендаций </w:t>
      </w:r>
      <w:r>
        <w:rPr>
          <w:b/>
        </w:rPr>
        <w:tab/>
        <w:t xml:space="preserve">С </w:t>
      </w:r>
      <w:r>
        <w:rPr>
          <w:b/>
        </w:rPr>
        <w:tab/>
        <w:t xml:space="preserve">(уровень </w:t>
      </w:r>
      <w:r>
        <w:rPr>
          <w:b/>
        </w:rPr>
        <w:tab/>
        <w:t>достоверности доказат</w:t>
      </w:r>
      <w:r>
        <w:rPr>
          <w:b/>
        </w:rPr>
        <w:t xml:space="preserve">ельств-4). </w:t>
      </w:r>
    </w:p>
    <w:p w:rsidR="007F750E" w:rsidRDefault="00780135">
      <w:pPr>
        <w:pStyle w:val="Heading2"/>
        <w:spacing w:after="359"/>
        <w:ind w:left="703" w:right="47"/>
      </w:pPr>
      <w:r>
        <w:t>2.5 Иные диагностические исследования</w:t>
      </w:r>
      <w:r>
        <w:rPr>
          <w:u w:val="none"/>
        </w:rPr>
        <w:t xml:space="preserve"> </w:t>
      </w:r>
    </w:p>
    <w:p w:rsidR="007F750E" w:rsidRDefault="00780135">
      <w:pPr>
        <w:numPr>
          <w:ilvl w:val="0"/>
          <w:numId w:val="16"/>
        </w:numPr>
        <w:spacing w:after="30"/>
        <w:ind w:right="49" w:hanging="355"/>
      </w:pPr>
      <w:r>
        <w:t xml:space="preserve">Новорожденному с внутричерепным кровотечением или подозрением на внутричерепное кровотечение, обусловленное тромбоцитопенией, </w:t>
      </w:r>
      <w:r>
        <w:rPr>
          <w:b/>
        </w:rPr>
        <w:t>рекомендуется</w:t>
      </w:r>
      <w:r>
        <w:t xml:space="preserve"> прием (осмотр, консультация) врача-невролога первичный [1, 18, 13</w:t>
      </w:r>
      <w:r>
        <w:t xml:space="preserve">0-132]. </w:t>
      </w:r>
    </w:p>
    <w:p w:rsidR="007F750E" w:rsidRDefault="00780135">
      <w:pPr>
        <w:spacing w:after="205" w:line="395" w:lineRule="auto"/>
        <w:ind w:left="715"/>
        <w:jc w:val="left"/>
      </w:pPr>
      <w:r>
        <w:rPr>
          <w:b/>
        </w:rPr>
        <w:t xml:space="preserve">Уровень убедительности рекомендаций С (уровень достоверности доказательств - 4).   </w:t>
      </w:r>
    </w:p>
    <w:p w:rsidR="007F750E" w:rsidRDefault="00780135">
      <w:pPr>
        <w:numPr>
          <w:ilvl w:val="0"/>
          <w:numId w:val="16"/>
        </w:numPr>
        <w:spacing w:after="31"/>
        <w:ind w:right="49" w:hanging="355"/>
      </w:pPr>
      <w:r>
        <w:t xml:space="preserve">Ребенку с тромбоцитопенией с проявлениями геморрагического синдрома в случае отсутствия или недостаточного ответа на терапию, </w:t>
      </w:r>
      <w:r>
        <w:rPr>
          <w:b/>
        </w:rPr>
        <w:t xml:space="preserve">рекомендуется </w:t>
      </w:r>
      <w:r>
        <w:t>прием (осмотр, консульт</w:t>
      </w:r>
      <w:r>
        <w:t xml:space="preserve">ация) врача-гематолога первичный для исключения врожденных и наследственных тромбоцитопений [1, 18]. </w:t>
      </w:r>
    </w:p>
    <w:p w:rsidR="007F750E" w:rsidRDefault="00780135">
      <w:pPr>
        <w:spacing w:after="291" w:line="395" w:lineRule="auto"/>
        <w:ind w:left="715"/>
        <w:jc w:val="left"/>
      </w:pPr>
      <w:r>
        <w:rPr>
          <w:b/>
        </w:rPr>
        <w:t xml:space="preserve">Уровень убедительности рекомендаций С (уровень достоверности доказательств - 5). </w:t>
      </w:r>
    </w:p>
    <w:p w:rsidR="007F750E" w:rsidRDefault="00780135">
      <w:pPr>
        <w:pStyle w:val="Heading1"/>
        <w:spacing w:after="195" w:line="400" w:lineRule="auto"/>
        <w:ind w:left="165" w:right="0"/>
        <w:jc w:val="left"/>
      </w:pPr>
      <w:r>
        <w:t>3. Лечение, включая медикаментозную и немедикаментозную терапии, диетоте</w:t>
      </w:r>
      <w:r>
        <w:t xml:space="preserve">рапию, обезболивание, медицинские показания и противопоказания к применению методов лечения </w:t>
      </w:r>
    </w:p>
    <w:p w:rsidR="007F750E" w:rsidRDefault="00780135">
      <w:pPr>
        <w:pStyle w:val="Heading2"/>
        <w:spacing w:after="390"/>
        <w:ind w:left="703" w:right="47"/>
      </w:pPr>
      <w:r>
        <w:t>3.1 Консервативное лечение</w:t>
      </w:r>
      <w:r>
        <w:rPr>
          <w:u w:val="none"/>
        </w:rPr>
        <w:t xml:space="preserve"> </w:t>
      </w:r>
    </w:p>
    <w:p w:rsidR="007F750E" w:rsidRDefault="00780135">
      <w:pPr>
        <w:spacing w:after="31"/>
        <w:ind w:left="713" w:right="49" w:hanging="355"/>
      </w:pPr>
      <w:r>
        <w:rPr>
          <w:rFonts w:ascii="Segoe UI Symbol" w:eastAsia="Segoe UI Symbol" w:hAnsi="Segoe UI Symbol" w:cs="Segoe UI Symbol"/>
          <w:sz w:val="20"/>
        </w:rPr>
        <w:t></w:t>
      </w:r>
      <w:r>
        <w:rPr>
          <w:rFonts w:ascii="Arial" w:eastAsia="Arial" w:hAnsi="Arial" w:cs="Arial"/>
          <w:sz w:val="20"/>
        </w:rPr>
        <w:t xml:space="preserve"> </w:t>
      </w:r>
      <w:r>
        <w:t xml:space="preserve">Новорожденному с тромбоцитопенией, требующей коррекции, </w:t>
      </w:r>
      <w:r>
        <w:rPr>
          <w:b/>
        </w:rPr>
        <w:t>рекомендуется</w:t>
      </w:r>
      <w:r>
        <w:t xml:space="preserve"> гемотрансфузия концентрата тромбоцитов лейкоредуцированного </w:t>
      </w:r>
      <w:r>
        <w:t xml:space="preserve">для профилактики или купирования тромбоцитопенического кровотечения в дозе 10-15 мл/кг со скоростью 5 мл/кг/ч [128].  </w:t>
      </w:r>
    </w:p>
    <w:p w:rsidR="007F750E" w:rsidRDefault="00780135">
      <w:pPr>
        <w:spacing w:after="2" w:line="395" w:lineRule="auto"/>
        <w:ind w:left="715"/>
        <w:jc w:val="left"/>
      </w:pPr>
      <w:r>
        <w:rPr>
          <w:b/>
        </w:rPr>
        <w:t xml:space="preserve">Уровень убедительности рекомендаций 5 (уровень достоверности доказательств - С).   </w:t>
      </w:r>
    </w:p>
    <w:p w:rsidR="007F750E" w:rsidRDefault="00780135">
      <w:pPr>
        <w:spacing w:after="34"/>
        <w:ind w:left="718" w:right="47"/>
      </w:pPr>
      <w:r>
        <w:rPr>
          <w:b/>
        </w:rPr>
        <w:t>Комментарии:</w:t>
      </w:r>
      <w:r>
        <w:rPr>
          <w:i/>
        </w:rPr>
        <w:t xml:space="preserve"> Показания для гемотрансфузии концентрата</w:t>
      </w:r>
      <w:r>
        <w:rPr>
          <w:i/>
        </w:rPr>
        <w:t xml:space="preserve"> тромбоцитов у новорожденных (таблица 2). </w:t>
      </w:r>
    </w:p>
    <w:p w:rsidR="007F750E" w:rsidRDefault="00780135">
      <w:pPr>
        <w:spacing w:after="0" w:line="259" w:lineRule="auto"/>
        <w:ind w:left="718" w:right="47"/>
      </w:pPr>
      <w:r>
        <w:rPr>
          <w:b/>
        </w:rPr>
        <w:t>Таблица 2.</w:t>
      </w:r>
      <w:r>
        <w:rPr>
          <w:i/>
        </w:rPr>
        <w:t xml:space="preserve"> Показания для трансфузии концентрата тромбоцитов лейкоредуцированного [128]  </w:t>
      </w:r>
    </w:p>
    <w:tbl>
      <w:tblPr>
        <w:tblStyle w:val="TableGrid"/>
        <w:tblW w:w="8637" w:type="dxa"/>
        <w:tblInd w:w="715" w:type="dxa"/>
        <w:tblCellMar>
          <w:top w:w="7" w:type="dxa"/>
          <w:left w:w="0" w:type="dxa"/>
          <w:bottom w:w="0" w:type="dxa"/>
          <w:right w:w="0" w:type="dxa"/>
        </w:tblCellMar>
        <w:tblLook w:val="04A0" w:firstRow="1" w:lastRow="0" w:firstColumn="1" w:lastColumn="0" w:noHBand="0" w:noVBand="1"/>
      </w:tblPr>
      <w:tblGrid>
        <w:gridCol w:w="2257"/>
        <w:gridCol w:w="431"/>
        <w:gridCol w:w="1"/>
        <w:gridCol w:w="1274"/>
        <w:gridCol w:w="1"/>
        <w:gridCol w:w="412"/>
        <w:gridCol w:w="4261"/>
      </w:tblGrid>
      <w:tr w:rsidR="007F750E">
        <w:trPr>
          <w:trHeight w:val="838"/>
        </w:trPr>
        <w:tc>
          <w:tcPr>
            <w:tcW w:w="2689" w:type="dxa"/>
            <w:gridSpan w:val="3"/>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i/>
              </w:rPr>
              <w:t xml:space="preserve">Популяция </w:t>
            </w:r>
          </w:p>
        </w:tc>
        <w:tc>
          <w:tcPr>
            <w:tcW w:w="1275" w:type="dxa"/>
            <w:gridSpan w:val="2"/>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i/>
              </w:rPr>
              <w:t>Уровень тромбоци тов*10</w:t>
            </w:r>
            <w:r>
              <w:rPr>
                <w:i/>
                <w:vertAlign w:val="superscript"/>
              </w:rPr>
              <w:t>9</w:t>
            </w:r>
            <w:r>
              <w:rPr>
                <w:i/>
              </w:rPr>
              <w:t xml:space="preserve">/л </w:t>
            </w:r>
          </w:p>
        </w:tc>
        <w:tc>
          <w:tcPr>
            <w:tcW w:w="4673" w:type="dxa"/>
            <w:gridSpan w:val="2"/>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i/>
              </w:rPr>
              <w:t xml:space="preserve">Показания для трансфузии </w:t>
            </w:r>
          </w:p>
        </w:tc>
      </w:tr>
      <w:tr w:rsidR="007F750E">
        <w:trPr>
          <w:trHeight w:val="288"/>
        </w:trPr>
        <w:tc>
          <w:tcPr>
            <w:tcW w:w="2689" w:type="dxa"/>
            <w:gridSpan w:val="3"/>
            <w:tcBorders>
              <w:top w:val="single" w:sz="4" w:space="0" w:color="000000"/>
              <w:left w:val="single" w:sz="4" w:space="0" w:color="000000"/>
              <w:bottom w:val="single" w:sz="4" w:space="0" w:color="000000"/>
              <w:right w:val="single" w:sz="4" w:space="0" w:color="000000"/>
            </w:tcBorders>
          </w:tcPr>
          <w:p w:rsidR="007F750E" w:rsidRDefault="007F750E">
            <w:pPr>
              <w:spacing w:after="160" w:line="259" w:lineRule="auto"/>
              <w:ind w:left="0" w:firstLine="0"/>
              <w:jc w:val="left"/>
            </w:pPr>
          </w:p>
        </w:tc>
        <w:tc>
          <w:tcPr>
            <w:tcW w:w="1275" w:type="dxa"/>
            <w:gridSpan w:val="2"/>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i/>
              </w:rPr>
              <w:t xml:space="preserve">&lt;25 </w:t>
            </w:r>
          </w:p>
        </w:tc>
        <w:tc>
          <w:tcPr>
            <w:tcW w:w="4673" w:type="dxa"/>
            <w:gridSpan w:val="2"/>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i/>
              </w:rPr>
              <w:t xml:space="preserve">Показана трансфузия </w:t>
            </w:r>
          </w:p>
        </w:tc>
      </w:tr>
      <w:tr w:rsidR="007F750E">
        <w:trPr>
          <w:trHeight w:val="1960"/>
        </w:trPr>
        <w:tc>
          <w:tcPr>
            <w:tcW w:w="2257" w:type="dxa"/>
            <w:tcBorders>
              <w:top w:val="single" w:sz="4" w:space="0" w:color="000000"/>
              <w:left w:val="single" w:sz="4" w:space="0" w:color="000000"/>
              <w:bottom w:val="nil"/>
              <w:right w:val="nil"/>
            </w:tcBorders>
          </w:tcPr>
          <w:p w:rsidR="007F750E" w:rsidRDefault="00780135">
            <w:pPr>
              <w:spacing w:after="0" w:line="259" w:lineRule="auto"/>
              <w:ind w:left="106" w:firstLine="0"/>
              <w:jc w:val="left"/>
            </w:pPr>
            <w:r>
              <w:rPr>
                <w:i/>
              </w:rPr>
              <w:t>Новорожденный значительного кровотечения</w:t>
            </w:r>
            <w:r>
              <w:rPr>
                <w:i/>
                <w:vertAlign w:val="superscript"/>
              </w:rPr>
              <w:t xml:space="preserve">а </w:t>
            </w:r>
          </w:p>
        </w:tc>
        <w:tc>
          <w:tcPr>
            <w:tcW w:w="431" w:type="dxa"/>
            <w:tcBorders>
              <w:top w:val="single" w:sz="4" w:space="0" w:color="000000"/>
              <w:left w:val="nil"/>
              <w:bottom w:val="nil"/>
              <w:right w:val="single" w:sz="4" w:space="0" w:color="000000"/>
            </w:tcBorders>
          </w:tcPr>
          <w:p w:rsidR="007F750E" w:rsidRDefault="00780135">
            <w:pPr>
              <w:spacing w:after="0" w:line="259" w:lineRule="auto"/>
              <w:ind w:left="0" w:firstLine="0"/>
            </w:pPr>
            <w:r>
              <w:rPr>
                <w:i/>
              </w:rPr>
              <w:t xml:space="preserve">без </w:t>
            </w:r>
          </w:p>
        </w:tc>
        <w:tc>
          <w:tcPr>
            <w:tcW w:w="1275" w:type="dxa"/>
            <w:gridSpan w:val="2"/>
            <w:tcBorders>
              <w:top w:val="single" w:sz="4" w:space="0" w:color="000000"/>
              <w:left w:val="single" w:sz="4" w:space="0" w:color="000000"/>
              <w:bottom w:val="nil"/>
              <w:right w:val="single" w:sz="4" w:space="0" w:color="000000"/>
            </w:tcBorders>
          </w:tcPr>
          <w:p w:rsidR="007F750E" w:rsidRDefault="00780135">
            <w:pPr>
              <w:spacing w:after="0" w:line="259" w:lineRule="auto"/>
              <w:ind w:left="106" w:firstLine="0"/>
              <w:jc w:val="left"/>
            </w:pPr>
            <w:r>
              <w:rPr>
                <w:i/>
              </w:rPr>
              <w:t xml:space="preserve">25-50 </w:t>
            </w:r>
          </w:p>
        </w:tc>
        <w:tc>
          <w:tcPr>
            <w:tcW w:w="4673" w:type="dxa"/>
            <w:gridSpan w:val="3"/>
            <w:tcBorders>
              <w:top w:val="single" w:sz="4" w:space="0" w:color="000000"/>
              <w:left w:val="single" w:sz="4" w:space="0" w:color="000000"/>
              <w:bottom w:val="nil"/>
              <w:right w:val="single" w:sz="4" w:space="0" w:color="000000"/>
            </w:tcBorders>
          </w:tcPr>
          <w:p w:rsidR="007F750E" w:rsidRDefault="00780135">
            <w:pPr>
              <w:spacing w:after="0" w:line="276" w:lineRule="auto"/>
              <w:ind w:left="108" w:firstLine="0"/>
              <w:jc w:val="left"/>
            </w:pPr>
            <w:r>
              <w:rPr>
                <w:i/>
              </w:rPr>
              <w:t xml:space="preserve">При стабильном состоянии трансфузия не показана </w:t>
            </w:r>
          </w:p>
          <w:p w:rsidR="007F750E" w:rsidRDefault="00780135">
            <w:pPr>
              <w:spacing w:after="0" w:line="283" w:lineRule="auto"/>
              <w:ind w:left="108" w:firstLine="0"/>
              <w:jc w:val="left"/>
            </w:pPr>
            <w:r>
              <w:rPr>
                <w:i/>
              </w:rPr>
              <w:t xml:space="preserve">Следует </w:t>
            </w:r>
            <w:r>
              <w:rPr>
                <w:i/>
              </w:rPr>
              <w:tab/>
              <w:t xml:space="preserve">рассмотреть </w:t>
            </w:r>
            <w:r>
              <w:rPr>
                <w:i/>
              </w:rPr>
              <w:tab/>
              <w:t xml:space="preserve">вопрос </w:t>
            </w:r>
            <w:r>
              <w:rPr>
                <w:i/>
              </w:rPr>
              <w:tab/>
              <w:t xml:space="preserve">о переливании, если: </w:t>
            </w:r>
          </w:p>
          <w:p w:rsidR="007F750E" w:rsidRDefault="00780135">
            <w:pPr>
              <w:spacing w:after="0" w:line="259" w:lineRule="auto"/>
              <w:ind w:left="413" w:right="107" w:hanging="360"/>
            </w:pPr>
            <w:r>
              <w:rPr>
                <w:rFonts w:ascii="Courier New" w:eastAsia="Courier New" w:hAnsi="Courier New" w:cs="Courier New"/>
              </w:rPr>
              <w:t>­</w:t>
            </w:r>
            <w:r>
              <w:rPr>
                <w:rFonts w:ascii="Arial" w:eastAsia="Arial" w:hAnsi="Arial" w:cs="Arial"/>
              </w:rPr>
              <w:t xml:space="preserve"> </w:t>
            </w:r>
            <w:r>
              <w:rPr>
                <w:i/>
              </w:rPr>
              <w:t>Новорожденный в тяжелом состоянии</w:t>
            </w:r>
            <w:r>
              <w:rPr>
                <w:i/>
                <w:vertAlign w:val="superscript"/>
              </w:rPr>
              <w:t>b</w:t>
            </w:r>
            <w:r>
              <w:rPr>
                <w:i/>
              </w:rPr>
              <w:t xml:space="preserve">, массой тела менее 1000г в первую неделю жизни  </w:t>
            </w:r>
          </w:p>
        </w:tc>
      </w:tr>
      <w:tr w:rsidR="007F750E">
        <w:trPr>
          <w:trHeight w:val="552"/>
        </w:trPr>
        <w:tc>
          <w:tcPr>
            <w:tcW w:w="2257" w:type="dxa"/>
            <w:tcBorders>
              <w:top w:val="nil"/>
              <w:left w:val="single" w:sz="4" w:space="0" w:color="000000"/>
              <w:bottom w:val="nil"/>
              <w:right w:val="nil"/>
            </w:tcBorders>
          </w:tcPr>
          <w:p w:rsidR="007F750E" w:rsidRDefault="007F750E">
            <w:pPr>
              <w:spacing w:after="160" w:line="259" w:lineRule="auto"/>
              <w:ind w:left="0" w:firstLine="0"/>
              <w:jc w:val="left"/>
            </w:pPr>
          </w:p>
        </w:tc>
        <w:tc>
          <w:tcPr>
            <w:tcW w:w="431" w:type="dxa"/>
            <w:tcBorders>
              <w:top w:val="nil"/>
              <w:left w:val="nil"/>
              <w:bottom w:val="nil"/>
              <w:right w:val="single" w:sz="4" w:space="0" w:color="000000"/>
            </w:tcBorders>
          </w:tcPr>
          <w:p w:rsidR="007F750E" w:rsidRDefault="007F750E">
            <w:pPr>
              <w:spacing w:after="160" w:line="259" w:lineRule="auto"/>
              <w:ind w:left="0" w:firstLine="0"/>
              <w:jc w:val="left"/>
            </w:pPr>
          </w:p>
        </w:tc>
        <w:tc>
          <w:tcPr>
            <w:tcW w:w="1275" w:type="dxa"/>
            <w:gridSpan w:val="2"/>
            <w:tcBorders>
              <w:top w:val="nil"/>
              <w:left w:val="single" w:sz="4" w:space="0" w:color="000000"/>
              <w:bottom w:val="nil"/>
              <w:right w:val="single" w:sz="4" w:space="0" w:color="000000"/>
            </w:tcBorders>
          </w:tcPr>
          <w:p w:rsidR="007F750E" w:rsidRDefault="007F750E">
            <w:pPr>
              <w:spacing w:after="160" w:line="259" w:lineRule="auto"/>
              <w:ind w:left="0" w:firstLine="0"/>
              <w:jc w:val="left"/>
            </w:pPr>
          </w:p>
        </w:tc>
        <w:tc>
          <w:tcPr>
            <w:tcW w:w="413" w:type="dxa"/>
            <w:gridSpan w:val="2"/>
            <w:tcBorders>
              <w:top w:val="nil"/>
              <w:left w:val="single" w:sz="4" w:space="0" w:color="000000"/>
              <w:bottom w:val="nil"/>
              <w:right w:val="nil"/>
            </w:tcBorders>
          </w:tcPr>
          <w:p w:rsidR="007F750E" w:rsidRDefault="00780135">
            <w:pPr>
              <w:spacing w:after="0" w:line="259" w:lineRule="auto"/>
              <w:ind w:left="53" w:firstLine="0"/>
              <w:jc w:val="left"/>
            </w:pPr>
            <w:r>
              <w:rPr>
                <w:rFonts w:ascii="Courier New" w:eastAsia="Courier New" w:hAnsi="Courier New" w:cs="Courier New"/>
              </w:rPr>
              <w:t>­</w:t>
            </w:r>
            <w:r>
              <w:rPr>
                <w:rFonts w:ascii="Arial" w:eastAsia="Arial" w:hAnsi="Arial" w:cs="Arial"/>
              </w:rPr>
              <w:t xml:space="preserve"> </w:t>
            </w:r>
          </w:p>
        </w:tc>
        <w:tc>
          <w:tcPr>
            <w:tcW w:w="4261" w:type="dxa"/>
            <w:tcBorders>
              <w:top w:val="nil"/>
              <w:left w:val="nil"/>
              <w:bottom w:val="nil"/>
              <w:right w:val="single" w:sz="4" w:space="0" w:color="000000"/>
            </w:tcBorders>
          </w:tcPr>
          <w:p w:rsidR="007F750E" w:rsidRDefault="00780135">
            <w:pPr>
              <w:spacing w:after="0" w:line="259" w:lineRule="auto"/>
              <w:ind w:left="0" w:firstLine="0"/>
              <w:jc w:val="left"/>
            </w:pPr>
            <w:r>
              <w:rPr>
                <w:i/>
              </w:rPr>
              <w:t xml:space="preserve">Гемодинамически </w:t>
            </w:r>
            <w:r>
              <w:rPr>
                <w:i/>
              </w:rPr>
              <w:tab/>
              <w:t xml:space="preserve">нестабильные новорожденные </w:t>
            </w:r>
          </w:p>
        </w:tc>
      </w:tr>
      <w:tr w:rsidR="007F750E">
        <w:trPr>
          <w:trHeight w:val="552"/>
        </w:trPr>
        <w:tc>
          <w:tcPr>
            <w:tcW w:w="2257" w:type="dxa"/>
            <w:tcBorders>
              <w:top w:val="nil"/>
              <w:left w:val="single" w:sz="4" w:space="0" w:color="000000"/>
              <w:bottom w:val="nil"/>
              <w:right w:val="nil"/>
            </w:tcBorders>
          </w:tcPr>
          <w:p w:rsidR="007F750E" w:rsidRDefault="007F750E">
            <w:pPr>
              <w:spacing w:after="160" w:line="259" w:lineRule="auto"/>
              <w:ind w:left="0" w:firstLine="0"/>
              <w:jc w:val="left"/>
            </w:pPr>
          </w:p>
        </w:tc>
        <w:tc>
          <w:tcPr>
            <w:tcW w:w="431" w:type="dxa"/>
            <w:tcBorders>
              <w:top w:val="nil"/>
              <w:left w:val="nil"/>
              <w:bottom w:val="nil"/>
              <w:right w:val="single" w:sz="4" w:space="0" w:color="000000"/>
            </w:tcBorders>
            <w:vAlign w:val="bottom"/>
          </w:tcPr>
          <w:p w:rsidR="007F750E" w:rsidRDefault="007F750E">
            <w:pPr>
              <w:spacing w:after="160" w:line="259" w:lineRule="auto"/>
              <w:ind w:left="0" w:firstLine="0"/>
              <w:jc w:val="left"/>
            </w:pPr>
          </w:p>
        </w:tc>
        <w:tc>
          <w:tcPr>
            <w:tcW w:w="1275" w:type="dxa"/>
            <w:gridSpan w:val="2"/>
            <w:tcBorders>
              <w:top w:val="nil"/>
              <w:left w:val="single" w:sz="4" w:space="0" w:color="000000"/>
              <w:bottom w:val="nil"/>
              <w:right w:val="single" w:sz="4" w:space="0" w:color="000000"/>
            </w:tcBorders>
          </w:tcPr>
          <w:p w:rsidR="007F750E" w:rsidRDefault="007F750E">
            <w:pPr>
              <w:spacing w:after="160" w:line="259" w:lineRule="auto"/>
              <w:ind w:left="0" w:firstLine="0"/>
              <w:jc w:val="left"/>
            </w:pPr>
          </w:p>
        </w:tc>
        <w:tc>
          <w:tcPr>
            <w:tcW w:w="413" w:type="dxa"/>
            <w:gridSpan w:val="2"/>
            <w:tcBorders>
              <w:top w:val="nil"/>
              <w:left w:val="single" w:sz="4" w:space="0" w:color="000000"/>
              <w:bottom w:val="nil"/>
              <w:right w:val="nil"/>
            </w:tcBorders>
          </w:tcPr>
          <w:p w:rsidR="007F750E" w:rsidRDefault="00780135">
            <w:pPr>
              <w:spacing w:after="0" w:line="259" w:lineRule="auto"/>
              <w:ind w:left="53" w:firstLine="0"/>
              <w:jc w:val="left"/>
            </w:pPr>
            <w:r>
              <w:rPr>
                <w:rFonts w:ascii="Courier New" w:eastAsia="Courier New" w:hAnsi="Courier New" w:cs="Courier New"/>
              </w:rPr>
              <w:t>­</w:t>
            </w:r>
            <w:r>
              <w:rPr>
                <w:rFonts w:ascii="Arial" w:eastAsia="Arial" w:hAnsi="Arial" w:cs="Arial"/>
              </w:rPr>
              <w:t xml:space="preserve"> </w:t>
            </w:r>
          </w:p>
        </w:tc>
        <w:tc>
          <w:tcPr>
            <w:tcW w:w="4261" w:type="dxa"/>
            <w:tcBorders>
              <w:top w:val="nil"/>
              <w:left w:val="nil"/>
              <w:bottom w:val="nil"/>
              <w:right w:val="single" w:sz="4" w:space="0" w:color="000000"/>
            </w:tcBorders>
          </w:tcPr>
          <w:p w:rsidR="007F750E" w:rsidRDefault="00780135">
            <w:pPr>
              <w:tabs>
                <w:tab w:val="right" w:pos="4261"/>
              </w:tabs>
              <w:spacing w:after="29" w:line="259" w:lineRule="auto"/>
              <w:ind w:left="0" w:firstLine="0"/>
              <w:jc w:val="left"/>
            </w:pPr>
            <w:r>
              <w:rPr>
                <w:i/>
              </w:rPr>
              <w:t xml:space="preserve">Предшествующее </w:t>
            </w:r>
            <w:r>
              <w:rPr>
                <w:i/>
              </w:rPr>
              <w:tab/>
              <w:t xml:space="preserve">значительное </w:t>
            </w:r>
          </w:p>
          <w:p w:rsidR="007F750E" w:rsidRDefault="00780135">
            <w:pPr>
              <w:spacing w:after="0" w:line="259" w:lineRule="auto"/>
              <w:ind w:left="0" w:firstLine="0"/>
              <w:jc w:val="left"/>
            </w:pPr>
            <w:r>
              <w:rPr>
                <w:i/>
              </w:rPr>
              <w:t xml:space="preserve">кровотечение менее 1 недели назад </w:t>
            </w:r>
          </w:p>
        </w:tc>
      </w:tr>
      <w:tr w:rsidR="007F750E">
        <w:trPr>
          <w:trHeight w:val="828"/>
        </w:trPr>
        <w:tc>
          <w:tcPr>
            <w:tcW w:w="2257" w:type="dxa"/>
            <w:tcBorders>
              <w:top w:val="nil"/>
              <w:left w:val="single" w:sz="4" w:space="0" w:color="000000"/>
              <w:bottom w:val="nil"/>
              <w:right w:val="nil"/>
            </w:tcBorders>
          </w:tcPr>
          <w:p w:rsidR="007F750E" w:rsidRDefault="007F750E">
            <w:pPr>
              <w:spacing w:after="160" w:line="259" w:lineRule="auto"/>
              <w:ind w:left="0" w:firstLine="0"/>
              <w:jc w:val="left"/>
            </w:pPr>
          </w:p>
        </w:tc>
        <w:tc>
          <w:tcPr>
            <w:tcW w:w="431" w:type="dxa"/>
            <w:tcBorders>
              <w:top w:val="nil"/>
              <w:left w:val="nil"/>
              <w:bottom w:val="nil"/>
              <w:right w:val="single" w:sz="4" w:space="0" w:color="000000"/>
            </w:tcBorders>
          </w:tcPr>
          <w:p w:rsidR="007F750E" w:rsidRDefault="007F750E">
            <w:pPr>
              <w:spacing w:after="160" w:line="259" w:lineRule="auto"/>
              <w:ind w:left="0" w:firstLine="0"/>
              <w:jc w:val="left"/>
            </w:pPr>
          </w:p>
        </w:tc>
        <w:tc>
          <w:tcPr>
            <w:tcW w:w="1275" w:type="dxa"/>
            <w:gridSpan w:val="2"/>
            <w:tcBorders>
              <w:top w:val="nil"/>
              <w:left w:val="single" w:sz="4" w:space="0" w:color="000000"/>
              <w:bottom w:val="nil"/>
              <w:right w:val="single" w:sz="4" w:space="0" w:color="000000"/>
            </w:tcBorders>
          </w:tcPr>
          <w:p w:rsidR="007F750E" w:rsidRDefault="007F750E">
            <w:pPr>
              <w:spacing w:after="160" w:line="259" w:lineRule="auto"/>
              <w:ind w:left="0" w:firstLine="0"/>
              <w:jc w:val="left"/>
            </w:pPr>
          </w:p>
        </w:tc>
        <w:tc>
          <w:tcPr>
            <w:tcW w:w="413" w:type="dxa"/>
            <w:gridSpan w:val="2"/>
            <w:tcBorders>
              <w:top w:val="nil"/>
              <w:left w:val="single" w:sz="4" w:space="0" w:color="000000"/>
              <w:bottom w:val="nil"/>
              <w:right w:val="nil"/>
            </w:tcBorders>
          </w:tcPr>
          <w:p w:rsidR="007F750E" w:rsidRDefault="00780135">
            <w:pPr>
              <w:spacing w:after="0" w:line="259" w:lineRule="auto"/>
              <w:ind w:left="53" w:firstLine="0"/>
              <w:jc w:val="left"/>
            </w:pPr>
            <w:r>
              <w:rPr>
                <w:rFonts w:ascii="Courier New" w:eastAsia="Courier New" w:hAnsi="Courier New" w:cs="Courier New"/>
              </w:rPr>
              <w:t>­</w:t>
            </w:r>
            <w:r>
              <w:rPr>
                <w:rFonts w:ascii="Arial" w:eastAsia="Arial" w:hAnsi="Arial" w:cs="Arial"/>
              </w:rPr>
              <w:t xml:space="preserve"> </w:t>
            </w:r>
          </w:p>
        </w:tc>
        <w:tc>
          <w:tcPr>
            <w:tcW w:w="4261" w:type="dxa"/>
            <w:tcBorders>
              <w:top w:val="nil"/>
              <w:left w:val="nil"/>
              <w:bottom w:val="nil"/>
              <w:right w:val="single" w:sz="4" w:space="0" w:color="000000"/>
            </w:tcBorders>
          </w:tcPr>
          <w:p w:rsidR="007F750E" w:rsidRDefault="00780135">
            <w:pPr>
              <w:spacing w:after="46" w:line="238" w:lineRule="auto"/>
              <w:ind w:left="0" w:firstLine="0"/>
            </w:pPr>
            <w:r>
              <w:rPr>
                <w:i/>
              </w:rPr>
              <w:t xml:space="preserve">Сопутствующие отклонения в лабораторных исследованиях </w:t>
            </w:r>
          </w:p>
          <w:p w:rsidR="007F750E" w:rsidRDefault="00780135">
            <w:pPr>
              <w:spacing w:after="0" w:line="259" w:lineRule="auto"/>
              <w:ind w:left="0" w:firstLine="0"/>
              <w:jc w:val="left"/>
            </w:pPr>
            <w:r>
              <w:rPr>
                <w:i/>
              </w:rPr>
              <w:t xml:space="preserve">свертывающей системы крови </w:t>
            </w:r>
          </w:p>
        </w:tc>
      </w:tr>
      <w:tr w:rsidR="007F750E">
        <w:trPr>
          <w:trHeight w:val="1086"/>
        </w:trPr>
        <w:tc>
          <w:tcPr>
            <w:tcW w:w="2257" w:type="dxa"/>
            <w:vMerge w:val="restart"/>
            <w:tcBorders>
              <w:top w:val="nil"/>
              <w:left w:val="single" w:sz="4" w:space="0" w:color="000000"/>
              <w:bottom w:val="single" w:sz="4" w:space="0" w:color="000000"/>
              <w:right w:val="nil"/>
            </w:tcBorders>
          </w:tcPr>
          <w:p w:rsidR="007F750E" w:rsidRDefault="007F750E">
            <w:pPr>
              <w:spacing w:after="160" w:line="259" w:lineRule="auto"/>
              <w:ind w:left="0" w:firstLine="0"/>
              <w:jc w:val="left"/>
            </w:pPr>
          </w:p>
        </w:tc>
        <w:tc>
          <w:tcPr>
            <w:tcW w:w="431" w:type="dxa"/>
            <w:vMerge w:val="restart"/>
            <w:tcBorders>
              <w:top w:val="nil"/>
              <w:left w:val="nil"/>
              <w:bottom w:val="single" w:sz="4" w:space="0" w:color="000000"/>
              <w:right w:val="single" w:sz="4" w:space="0" w:color="000000"/>
            </w:tcBorders>
          </w:tcPr>
          <w:p w:rsidR="007F750E" w:rsidRDefault="007F750E">
            <w:pPr>
              <w:spacing w:after="160" w:line="259" w:lineRule="auto"/>
              <w:ind w:left="0" w:firstLine="0"/>
              <w:jc w:val="left"/>
            </w:pPr>
          </w:p>
        </w:tc>
        <w:tc>
          <w:tcPr>
            <w:tcW w:w="1275" w:type="dxa"/>
            <w:gridSpan w:val="2"/>
            <w:tcBorders>
              <w:top w:val="nil"/>
              <w:left w:val="single" w:sz="4" w:space="0" w:color="000000"/>
              <w:bottom w:val="single" w:sz="4" w:space="0" w:color="000000"/>
              <w:right w:val="single" w:sz="4" w:space="0" w:color="000000"/>
            </w:tcBorders>
          </w:tcPr>
          <w:p w:rsidR="007F750E" w:rsidRDefault="007F750E">
            <w:pPr>
              <w:spacing w:after="160" w:line="259" w:lineRule="auto"/>
              <w:ind w:left="0" w:firstLine="0"/>
              <w:jc w:val="left"/>
            </w:pPr>
          </w:p>
        </w:tc>
        <w:tc>
          <w:tcPr>
            <w:tcW w:w="413" w:type="dxa"/>
            <w:gridSpan w:val="2"/>
            <w:tcBorders>
              <w:top w:val="nil"/>
              <w:left w:val="single" w:sz="4" w:space="0" w:color="000000"/>
              <w:bottom w:val="single" w:sz="4" w:space="0" w:color="000000"/>
              <w:right w:val="nil"/>
            </w:tcBorders>
          </w:tcPr>
          <w:p w:rsidR="007F750E" w:rsidRDefault="00780135">
            <w:pPr>
              <w:spacing w:after="0" w:line="259" w:lineRule="auto"/>
              <w:ind w:left="53" w:firstLine="0"/>
              <w:jc w:val="left"/>
            </w:pPr>
            <w:r>
              <w:rPr>
                <w:rFonts w:ascii="Courier New" w:eastAsia="Courier New" w:hAnsi="Courier New" w:cs="Courier New"/>
              </w:rPr>
              <w:t>­</w:t>
            </w:r>
            <w:r>
              <w:rPr>
                <w:rFonts w:ascii="Arial" w:eastAsia="Arial" w:hAnsi="Arial" w:cs="Arial"/>
              </w:rPr>
              <w:t xml:space="preserve"> </w:t>
            </w:r>
          </w:p>
        </w:tc>
        <w:tc>
          <w:tcPr>
            <w:tcW w:w="4261" w:type="dxa"/>
            <w:tcBorders>
              <w:top w:val="nil"/>
              <w:left w:val="nil"/>
              <w:bottom w:val="single" w:sz="4" w:space="0" w:color="000000"/>
              <w:right w:val="single" w:sz="4" w:space="0" w:color="000000"/>
            </w:tcBorders>
          </w:tcPr>
          <w:p w:rsidR="007F750E" w:rsidRDefault="00780135">
            <w:pPr>
              <w:spacing w:after="0" w:line="259" w:lineRule="auto"/>
              <w:ind w:left="0" w:firstLine="0"/>
            </w:pPr>
            <w:r>
              <w:rPr>
                <w:i/>
              </w:rPr>
              <w:t xml:space="preserve">72 часа до и после инвазивной процедуры </w:t>
            </w:r>
          </w:p>
          <w:p w:rsidR="007F750E" w:rsidRDefault="00780135">
            <w:pPr>
              <w:spacing w:after="0" w:line="259" w:lineRule="auto"/>
              <w:ind w:left="0" w:right="108" w:firstLine="0"/>
            </w:pPr>
            <w:r>
              <w:rPr>
                <w:i/>
              </w:rPr>
              <w:t xml:space="preserve">(например, хирургического вмешательства, спинномозговой пункции) </w:t>
            </w:r>
          </w:p>
        </w:tc>
      </w:tr>
      <w:tr w:rsidR="007F750E">
        <w:trPr>
          <w:trHeight w:val="288"/>
        </w:trPr>
        <w:tc>
          <w:tcPr>
            <w:tcW w:w="0" w:type="auto"/>
            <w:vMerge/>
            <w:tcBorders>
              <w:top w:val="nil"/>
              <w:left w:val="single" w:sz="4" w:space="0" w:color="000000"/>
              <w:bottom w:val="nil"/>
              <w:right w:val="nil"/>
            </w:tcBorders>
          </w:tcPr>
          <w:p w:rsidR="007F750E" w:rsidRDefault="007F750E">
            <w:pPr>
              <w:spacing w:after="160" w:line="259" w:lineRule="auto"/>
              <w:ind w:left="0" w:firstLine="0"/>
              <w:jc w:val="left"/>
            </w:pPr>
          </w:p>
        </w:tc>
        <w:tc>
          <w:tcPr>
            <w:tcW w:w="0" w:type="auto"/>
            <w:vMerge/>
            <w:tcBorders>
              <w:top w:val="nil"/>
              <w:left w:val="nil"/>
              <w:bottom w:val="nil"/>
              <w:right w:val="single" w:sz="4" w:space="0" w:color="000000"/>
            </w:tcBorders>
          </w:tcPr>
          <w:p w:rsidR="007F750E" w:rsidRDefault="007F750E">
            <w:pPr>
              <w:spacing w:after="160" w:line="259" w:lineRule="auto"/>
              <w:ind w:left="0" w:firstLine="0"/>
              <w:jc w:val="left"/>
            </w:pPr>
          </w:p>
        </w:tc>
        <w:tc>
          <w:tcPr>
            <w:tcW w:w="1275" w:type="dxa"/>
            <w:gridSpan w:val="2"/>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106" w:firstLine="0"/>
              <w:jc w:val="left"/>
            </w:pPr>
            <w:r>
              <w:rPr>
                <w:i/>
              </w:rPr>
              <w:t xml:space="preserve">50-100 </w:t>
            </w:r>
          </w:p>
        </w:tc>
        <w:tc>
          <w:tcPr>
            <w:tcW w:w="413" w:type="dxa"/>
            <w:gridSpan w:val="2"/>
            <w:tcBorders>
              <w:top w:val="single" w:sz="4" w:space="0" w:color="000000"/>
              <w:left w:val="single" w:sz="4" w:space="0" w:color="000000"/>
              <w:bottom w:val="single" w:sz="4" w:space="0" w:color="000000"/>
              <w:right w:val="nil"/>
            </w:tcBorders>
          </w:tcPr>
          <w:p w:rsidR="007F750E" w:rsidRDefault="007F750E">
            <w:pPr>
              <w:spacing w:after="160" w:line="259" w:lineRule="auto"/>
              <w:ind w:left="0" w:firstLine="0"/>
              <w:jc w:val="left"/>
            </w:pPr>
          </w:p>
        </w:tc>
        <w:tc>
          <w:tcPr>
            <w:tcW w:w="4261" w:type="dxa"/>
            <w:tcBorders>
              <w:top w:val="single" w:sz="4" w:space="0" w:color="000000"/>
              <w:left w:val="nil"/>
              <w:bottom w:val="single" w:sz="4" w:space="0" w:color="000000"/>
              <w:right w:val="single" w:sz="4" w:space="0" w:color="000000"/>
            </w:tcBorders>
          </w:tcPr>
          <w:p w:rsidR="007F750E" w:rsidRDefault="00780135">
            <w:pPr>
              <w:spacing w:after="0" w:line="259" w:lineRule="auto"/>
              <w:ind w:left="0" w:firstLine="0"/>
              <w:jc w:val="left"/>
            </w:pPr>
            <w:r>
              <w:rPr>
                <w:i/>
              </w:rPr>
              <w:t xml:space="preserve">Трансфузия не показана  </w:t>
            </w:r>
          </w:p>
        </w:tc>
      </w:tr>
      <w:tr w:rsidR="007F750E">
        <w:trPr>
          <w:trHeight w:val="286"/>
        </w:trPr>
        <w:tc>
          <w:tcPr>
            <w:tcW w:w="0" w:type="auto"/>
            <w:vMerge/>
            <w:tcBorders>
              <w:top w:val="nil"/>
              <w:left w:val="single" w:sz="4" w:space="0" w:color="000000"/>
              <w:bottom w:val="single" w:sz="4" w:space="0" w:color="000000"/>
              <w:right w:val="nil"/>
            </w:tcBorders>
          </w:tcPr>
          <w:p w:rsidR="007F750E" w:rsidRDefault="007F750E">
            <w:pPr>
              <w:spacing w:after="160" w:line="259" w:lineRule="auto"/>
              <w:ind w:left="0" w:firstLine="0"/>
              <w:jc w:val="left"/>
            </w:pPr>
          </w:p>
        </w:tc>
        <w:tc>
          <w:tcPr>
            <w:tcW w:w="0" w:type="auto"/>
            <w:vMerge/>
            <w:tcBorders>
              <w:top w:val="nil"/>
              <w:left w:val="nil"/>
              <w:bottom w:val="single" w:sz="4" w:space="0" w:color="000000"/>
              <w:right w:val="single" w:sz="4" w:space="0" w:color="000000"/>
            </w:tcBorders>
          </w:tcPr>
          <w:p w:rsidR="007F750E" w:rsidRDefault="007F750E">
            <w:pPr>
              <w:spacing w:after="160" w:line="259" w:lineRule="auto"/>
              <w:ind w:left="0" w:firstLine="0"/>
              <w:jc w:val="left"/>
            </w:pPr>
          </w:p>
        </w:tc>
        <w:tc>
          <w:tcPr>
            <w:tcW w:w="1275" w:type="dxa"/>
            <w:gridSpan w:val="2"/>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106" w:firstLine="0"/>
              <w:jc w:val="left"/>
            </w:pPr>
            <w:r>
              <w:rPr>
                <w:i/>
              </w:rPr>
              <w:t xml:space="preserve">&gt;100 </w:t>
            </w:r>
          </w:p>
        </w:tc>
        <w:tc>
          <w:tcPr>
            <w:tcW w:w="413" w:type="dxa"/>
            <w:gridSpan w:val="2"/>
            <w:tcBorders>
              <w:top w:val="single" w:sz="4" w:space="0" w:color="000000"/>
              <w:left w:val="single" w:sz="4" w:space="0" w:color="000000"/>
              <w:bottom w:val="single" w:sz="4" w:space="0" w:color="000000"/>
              <w:right w:val="nil"/>
            </w:tcBorders>
          </w:tcPr>
          <w:p w:rsidR="007F750E" w:rsidRDefault="007F750E">
            <w:pPr>
              <w:spacing w:after="160" w:line="259" w:lineRule="auto"/>
              <w:ind w:left="0" w:firstLine="0"/>
              <w:jc w:val="left"/>
            </w:pPr>
          </w:p>
        </w:tc>
        <w:tc>
          <w:tcPr>
            <w:tcW w:w="4261" w:type="dxa"/>
            <w:tcBorders>
              <w:top w:val="single" w:sz="4" w:space="0" w:color="000000"/>
              <w:left w:val="nil"/>
              <w:bottom w:val="single" w:sz="4" w:space="0" w:color="000000"/>
              <w:right w:val="single" w:sz="4" w:space="0" w:color="000000"/>
            </w:tcBorders>
          </w:tcPr>
          <w:p w:rsidR="007F750E" w:rsidRDefault="00780135">
            <w:pPr>
              <w:spacing w:after="0" w:line="259" w:lineRule="auto"/>
              <w:ind w:left="0" w:firstLine="0"/>
              <w:jc w:val="left"/>
            </w:pPr>
            <w:r>
              <w:rPr>
                <w:i/>
              </w:rPr>
              <w:t xml:space="preserve">Трансфузия не показана </w:t>
            </w:r>
          </w:p>
        </w:tc>
      </w:tr>
      <w:tr w:rsidR="007F750E">
        <w:trPr>
          <w:trHeight w:val="286"/>
        </w:trPr>
        <w:tc>
          <w:tcPr>
            <w:tcW w:w="2257" w:type="dxa"/>
            <w:vMerge w:val="restart"/>
            <w:tcBorders>
              <w:top w:val="single" w:sz="4" w:space="0" w:color="000000"/>
              <w:left w:val="single" w:sz="4" w:space="0" w:color="000000"/>
              <w:bottom w:val="single" w:sz="4" w:space="0" w:color="000000"/>
              <w:right w:val="nil"/>
            </w:tcBorders>
          </w:tcPr>
          <w:p w:rsidR="007F750E" w:rsidRDefault="00780135">
            <w:pPr>
              <w:spacing w:after="0" w:line="251" w:lineRule="auto"/>
              <w:ind w:left="106" w:right="-319" w:firstLine="0"/>
            </w:pPr>
            <w:r>
              <w:rPr>
                <w:i/>
              </w:rPr>
              <w:t>Новорожденный значительным кровотечением</w:t>
            </w:r>
            <w:r>
              <w:rPr>
                <w:i/>
                <w:vertAlign w:val="superscript"/>
              </w:rPr>
              <w:t xml:space="preserve">а </w:t>
            </w:r>
            <w:r>
              <w:rPr>
                <w:i/>
              </w:rPr>
              <w:t xml:space="preserve">Примечание: петехии, кровоточивость мест проколов </w:t>
            </w:r>
          </w:p>
          <w:p w:rsidR="007F750E" w:rsidRDefault="00780135">
            <w:pPr>
              <w:spacing w:after="0" w:line="259" w:lineRule="auto"/>
              <w:ind w:left="106" w:right="-320" w:firstLine="0"/>
            </w:pPr>
            <w:r>
              <w:rPr>
                <w:i/>
              </w:rPr>
              <w:t>примесь крови секрете эндотрахеальной трубки рутинно являются показанием для трансфузии</w:t>
            </w:r>
            <w:r>
              <w:rPr>
                <w:i/>
                <w:vertAlign w:val="superscript"/>
              </w:rPr>
              <w:t xml:space="preserve"> </w:t>
            </w:r>
          </w:p>
        </w:tc>
        <w:tc>
          <w:tcPr>
            <w:tcW w:w="431" w:type="dxa"/>
            <w:vMerge w:val="restart"/>
            <w:tcBorders>
              <w:top w:val="single" w:sz="4" w:space="0" w:color="000000"/>
              <w:left w:val="nil"/>
              <w:bottom w:val="single" w:sz="4" w:space="0" w:color="000000"/>
              <w:right w:val="single" w:sz="4" w:space="0" w:color="000000"/>
            </w:tcBorders>
          </w:tcPr>
          <w:p w:rsidR="007F750E" w:rsidRDefault="00780135">
            <w:pPr>
              <w:spacing w:after="804" w:line="259" w:lineRule="auto"/>
              <w:ind w:left="94" w:firstLine="0"/>
            </w:pPr>
            <w:r>
              <w:rPr>
                <w:i/>
              </w:rPr>
              <w:t xml:space="preserve">со </w:t>
            </w:r>
          </w:p>
          <w:p w:rsidR="007F750E" w:rsidRDefault="00780135">
            <w:pPr>
              <w:spacing w:after="552" w:line="238" w:lineRule="auto"/>
              <w:ind w:left="-26" w:right="111" w:firstLine="0"/>
              <w:jc w:val="right"/>
            </w:pPr>
            <w:r>
              <w:rPr>
                <w:i/>
              </w:rPr>
              <w:t xml:space="preserve">из или в </w:t>
            </w:r>
          </w:p>
          <w:p w:rsidR="007F750E" w:rsidRDefault="00780135">
            <w:pPr>
              <w:spacing w:after="0" w:line="259" w:lineRule="auto"/>
              <w:ind w:left="94" w:firstLine="0"/>
            </w:pPr>
            <w:r>
              <w:rPr>
                <w:i/>
              </w:rPr>
              <w:t xml:space="preserve">не </w:t>
            </w:r>
          </w:p>
        </w:tc>
        <w:tc>
          <w:tcPr>
            <w:tcW w:w="1275" w:type="dxa"/>
            <w:gridSpan w:val="2"/>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106" w:firstLine="0"/>
              <w:jc w:val="left"/>
            </w:pPr>
            <w:r>
              <w:rPr>
                <w:i/>
              </w:rPr>
              <w:t xml:space="preserve">&lt;25 </w:t>
            </w:r>
          </w:p>
        </w:tc>
        <w:tc>
          <w:tcPr>
            <w:tcW w:w="413" w:type="dxa"/>
            <w:gridSpan w:val="2"/>
            <w:tcBorders>
              <w:top w:val="single" w:sz="4" w:space="0" w:color="000000"/>
              <w:left w:val="single" w:sz="4" w:space="0" w:color="000000"/>
              <w:bottom w:val="single" w:sz="4" w:space="0" w:color="000000"/>
              <w:right w:val="nil"/>
            </w:tcBorders>
          </w:tcPr>
          <w:p w:rsidR="007F750E" w:rsidRDefault="007F750E">
            <w:pPr>
              <w:spacing w:after="160" w:line="259" w:lineRule="auto"/>
              <w:ind w:left="0" w:firstLine="0"/>
              <w:jc w:val="left"/>
            </w:pPr>
          </w:p>
        </w:tc>
        <w:tc>
          <w:tcPr>
            <w:tcW w:w="4261" w:type="dxa"/>
            <w:tcBorders>
              <w:top w:val="single" w:sz="4" w:space="0" w:color="000000"/>
              <w:left w:val="nil"/>
              <w:bottom w:val="single" w:sz="4" w:space="0" w:color="000000"/>
              <w:right w:val="single" w:sz="4" w:space="0" w:color="000000"/>
            </w:tcBorders>
          </w:tcPr>
          <w:p w:rsidR="007F750E" w:rsidRDefault="00780135">
            <w:pPr>
              <w:spacing w:after="0" w:line="259" w:lineRule="auto"/>
              <w:ind w:left="0" w:firstLine="0"/>
              <w:jc w:val="left"/>
            </w:pPr>
            <w:r>
              <w:rPr>
                <w:i/>
              </w:rPr>
              <w:t xml:space="preserve">Показана трансфузия </w:t>
            </w:r>
          </w:p>
        </w:tc>
      </w:tr>
      <w:tr w:rsidR="007F750E">
        <w:trPr>
          <w:trHeight w:val="286"/>
        </w:trPr>
        <w:tc>
          <w:tcPr>
            <w:tcW w:w="0" w:type="auto"/>
            <w:vMerge/>
            <w:tcBorders>
              <w:top w:val="nil"/>
              <w:left w:val="single" w:sz="4" w:space="0" w:color="000000"/>
              <w:bottom w:val="nil"/>
              <w:right w:val="nil"/>
            </w:tcBorders>
          </w:tcPr>
          <w:p w:rsidR="007F750E" w:rsidRDefault="007F750E">
            <w:pPr>
              <w:spacing w:after="160" w:line="259" w:lineRule="auto"/>
              <w:ind w:left="0" w:firstLine="0"/>
              <w:jc w:val="left"/>
            </w:pPr>
          </w:p>
        </w:tc>
        <w:tc>
          <w:tcPr>
            <w:tcW w:w="0" w:type="auto"/>
            <w:vMerge/>
            <w:tcBorders>
              <w:top w:val="nil"/>
              <w:left w:val="nil"/>
              <w:bottom w:val="nil"/>
              <w:right w:val="single" w:sz="4" w:space="0" w:color="000000"/>
            </w:tcBorders>
          </w:tcPr>
          <w:p w:rsidR="007F750E" w:rsidRDefault="007F750E">
            <w:pPr>
              <w:spacing w:after="160" w:line="259" w:lineRule="auto"/>
              <w:ind w:left="0" w:firstLine="0"/>
              <w:jc w:val="left"/>
            </w:pPr>
          </w:p>
        </w:tc>
        <w:tc>
          <w:tcPr>
            <w:tcW w:w="1275" w:type="dxa"/>
            <w:gridSpan w:val="2"/>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106" w:firstLine="0"/>
              <w:jc w:val="left"/>
            </w:pPr>
            <w:r>
              <w:rPr>
                <w:i/>
              </w:rPr>
              <w:t xml:space="preserve">25-50 </w:t>
            </w:r>
          </w:p>
        </w:tc>
        <w:tc>
          <w:tcPr>
            <w:tcW w:w="413" w:type="dxa"/>
            <w:gridSpan w:val="2"/>
            <w:tcBorders>
              <w:top w:val="single" w:sz="4" w:space="0" w:color="000000"/>
              <w:left w:val="single" w:sz="4" w:space="0" w:color="000000"/>
              <w:bottom w:val="single" w:sz="4" w:space="0" w:color="000000"/>
              <w:right w:val="nil"/>
            </w:tcBorders>
          </w:tcPr>
          <w:p w:rsidR="007F750E" w:rsidRDefault="007F750E">
            <w:pPr>
              <w:spacing w:after="160" w:line="259" w:lineRule="auto"/>
              <w:ind w:left="0" w:firstLine="0"/>
              <w:jc w:val="left"/>
            </w:pPr>
          </w:p>
        </w:tc>
        <w:tc>
          <w:tcPr>
            <w:tcW w:w="4261" w:type="dxa"/>
            <w:tcBorders>
              <w:top w:val="single" w:sz="4" w:space="0" w:color="000000"/>
              <w:left w:val="nil"/>
              <w:bottom w:val="single" w:sz="4" w:space="0" w:color="000000"/>
              <w:right w:val="single" w:sz="4" w:space="0" w:color="000000"/>
            </w:tcBorders>
          </w:tcPr>
          <w:p w:rsidR="007F750E" w:rsidRDefault="00780135">
            <w:pPr>
              <w:spacing w:after="0" w:line="259" w:lineRule="auto"/>
              <w:ind w:left="0" w:firstLine="0"/>
              <w:jc w:val="left"/>
            </w:pPr>
            <w:r>
              <w:rPr>
                <w:i/>
              </w:rPr>
              <w:t xml:space="preserve">Показана трансфузия </w:t>
            </w:r>
          </w:p>
        </w:tc>
      </w:tr>
      <w:tr w:rsidR="007F750E">
        <w:trPr>
          <w:trHeight w:val="286"/>
        </w:trPr>
        <w:tc>
          <w:tcPr>
            <w:tcW w:w="0" w:type="auto"/>
            <w:vMerge/>
            <w:tcBorders>
              <w:top w:val="nil"/>
              <w:left w:val="single" w:sz="4" w:space="0" w:color="000000"/>
              <w:bottom w:val="nil"/>
              <w:right w:val="nil"/>
            </w:tcBorders>
          </w:tcPr>
          <w:p w:rsidR="007F750E" w:rsidRDefault="007F750E">
            <w:pPr>
              <w:spacing w:after="160" w:line="259" w:lineRule="auto"/>
              <w:ind w:left="0" w:firstLine="0"/>
              <w:jc w:val="left"/>
            </w:pPr>
          </w:p>
        </w:tc>
        <w:tc>
          <w:tcPr>
            <w:tcW w:w="0" w:type="auto"/>
            <w:vMerge/>
            <w:tcBorders>
              <w:top w:val="nil"/>
              <w:left w:val="nil"/>
              <w:bottom w:val="nil"/>
              <w:right w:val="single" w:sz="4" w:space="0" w:color="000000"/>
            </w:tcBorders>
          </w:tcPr>
          <w:p w:rsidR="007F750E" w:rsidRDefault="007F750E">
            <w:pPr>
              <w:spacing w:after="160" w:line="259" w:lineRule="auto"/>
              <w:ind w:left="0" w:firstLine="0"/>
              <w:jc w:val="left"/>
            </w:pPr>
          </w:p>
        </w:tc>
        <w:tc>
          <w:tcPr>
            <w:tcW w:w="1275" w:type="dxa"/>
            <w:gridSpan w:val="2"/>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106" w:firstLine="0"/>
              <w:jc w:val="left"/>
            </w:pPr>
            <w:r>
              <w:rPr>
                <w:i/>
              </w:rPr>
              <w:t xml:space="preserve">50-100 </w:t>
            </w:r>
          </w:p>
        </w:tc>
        <w:tc>
          <w:tcPr>
            <w:tcW w:w="413" w:type="dxa"/>
            <w:gridSpan w:val="2"/>
            <w:tcBorders>
              <w:top w:val="single" w:sz="4" w:space="0" w:color="000000"/>
              <w:left w:val="single" w:sz="4" w:space="0" w:color="000000"/>
              <w:bottom w:val="single" w:sz="4" w:space="0" w:color="000000"/>
              <w:right w:val="nil"/>
            </w:tcBorders>
          </w:tcPr>
          <w:p w:rsidR="007F750E" w:rsidRDefault="007F750E">
            <w:pPr>
              <w:spacing w:after="160" w:line="259" w:lineRule="auto"/>
              <w:ind w:left="0" w:firstLine="0"/>
              <w:jc w:val="left"/>
            </w:pPr>
          </w:p>
        </w:tc>
        <w:tc>
          <w:tcPr>
            <w:tcW w:w="4261" w:type="dxa"/>
            <w:tcBorders>
              <w:top w:val="single" w:sz="4" w:space="0" w:color="000000"/>
              <w:left w:val="nil"/>
              <w:bottom w:val="single" w:sz="4" w:space="0" w:color="000000"/>
              <w:right w:val="single" w:sz="4" w:space="0" w:color="000000"/>
            </w:tcBorders>
          </w:tcPr>
          <w:p w:rsidR="007F750E" w:rsidRDefault="00780135">
            <w:pPr>
              <w:spacing w:after="0" w:line="259" w:lineRule="auto"/>
              <w:ind w:left="0" w:firstLine="0"/>
              <w:jc w:val="left"/>
            </w:pPr>
            <w:r>
              <w:rPr>
                <w:i/>
              </w:rPr>
              <w:t xml:space="preserve">Показана трансфузия </w:t>
            </w:r>
          </w:p>
        </w:tc>
      </w:tr>
      <w:tr w:rsidR="007F750E">
        <w:trPr>
          <w:trHeight w:val="2465"/>
        </w:trPr>
        <w:tc>
          <w:tcPr>
            <w:tcW w:w="0" w:type="auto"/>
            <w:vMerge/>
            <w:tcBorders>
              <w:top w:val="nil"/>
              <w:left w:val="single" w:sz="4" w:space="0" w:color="000000"/>
              <w:bottom w:val="single" w:sz="4" w:space="0" w:color="000000"/>
              <w:right w:val="nil"/>
            </w:tcBorders>
          </w:tcPr>
          <w:p w:rsidR="007F750E" w:rsidRDefault="007F750E">
            <w:pPr>
              <w:spacing w:after="160" w:line="259" w:lineRule="auto"/>
              <w:ind w:left="0" w:firstLine="0"/>
              <w:jc w:val="left"/>
            </w:pPr>
          </w:p>
        </w:tc>
        <w:tc>
          <w:tcPr>
            <w:tcW w:w="0" w:type="auto"/>
            <w:vMerge/>
            <w:tcBorders>
              <w:top w:val="nil"/>
              <w:left w:val="nil"/>
              <w:bottom w:val="single" w:sz="4" w:space="0" w:color="000000"/>
              <w:right w:val="single" w:sz="4" w:space="0" w:color="000000"/>
            </w:tcBorders>
          </w:tcPr>
          <w:p w:rsidR="007F750E" w:rsidRDefault="007F750E">
            <w:pPr>
              <w:spacing w:after="160" w:line="259" w:lineRule="auto"/>
              <w:ind w:left="0" w:firstLine="0"/>
              <w:jc w:val="left"/>
            </w:pPr>
          </w:p>
        </w:tc>
        <w:tc>
          <w:tcPr>
            <w:tcW w:w="1275" w:type="dxa"/>
            <w:gridSpan w:val="2"/>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106" w:firstLine="0"/>
              <w:jc w:val="left"/>
            </w:pPr>
            <w:r>
              <w:rPr>
                <w:i/>
              </w:rPr>
              <w:t xml:space="preserve">&gt;100 </w:t>
            </w:r>
          </w:p>
        </w:tc>
        <w:tc>
          <w:tcPr>
            <w:tcW w:w="4673" w:type="dxa"/>
            <w:gridSpan w:val="3"/>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413" w:firstLine="0"/>
              <w:jc w:val="left"/>
            </w:pPr>
            <w:r>
              <w:rPr>
                <w:i/>
              </w:rPr>
              <w:t xml:space="preserve">Трансфузия не показана </w:t>
            </w:r>
          </w:p>
        </w:tc>
      </w:tr>
    </w:tbl>
    <w:p w:rsidR="007F750E" w:rsidRDefault="00780135">
      <w:pPr>
        <w:spacing w:after="0"/>
        <w:ind w:left="718" w:right="47"/>
      </w:pPr>
      <w:r>
        <w:rPr>
          <w:i/>
          <w:vertAlign w:val="superscript"/>
        </w:rPr>
        <w:t>а</w:t>
      </w:r>
      <w:r>
        <w:rPr>
          <w:i/>
        </w:rPr>
        <w:t xml:space="preserve"> </w:t>
      </w:r>
      <w:r>
        <w:rPr>
          <w:i/>
        </w:rPr>
        <w:t xml:space="preserve">значительное кровотечение, в том числе ВЖК III и IV степени, внутричерепное кровотечение или недавно возникшее легочное кровотечение </w:t>
      </w:r>
    </w:p>
    <w:p w:rsidR="007F750E" w:rsidRDefault="00780135">
      <w:pPr>
        <w:spacing w:after="214" w:line="308" w:lineRule="auto"/>
        <w:ind w:left="718" w:right="47"/>
      </w:pPr>
      <w:r>
        <w:rPr>
          <w:i/>
          <w:vertAlign w:val="superscript"/>
        </w:rPr>
        <w:t>b</w:t>
      </w:r>
      <w:r>
        <w:rPr>
          <w:i/>
        </w:rPr>
        <w:t xml:space="preserve"> </w:t>
      </w:r>
      <w:r>
        <w:rPr>
          <w:i/>
        </w:rPr>
        <w:t xml:space="preserve">тяжелое состояние определяется потребностью в респираторной поддержке (в т.ч. при высокопоточных назальных канюлях с потоком более 4 л) и/или потребностью в кислороде 30% и более и/или гемодинамической нестабильностью </w:t>
      </w:r>
    </w:p>
    <w:p w:rsidR="007F750E" w:rsidRDefault="00780135">
      <w:pPr>
        <w:numPr>
          <w:ilvl w:val="0"/>
          <w:numId w:val="17"/>
        </w:numPr>
        <w:ind w:right="49" w:hanging="355"/>
      </w:pPr>
      <w:r>
        <w:t xml:space="preserve">Новорожденному с НАИТ в случае, если </w:t>
      </w:r>
      <w:r>
        <w:t xml:space="preserve">у предыдущего сиблинга имелось ВЧК, </w:t>
      </w:r>
      <w:r>
        <w:rPr>
          <w:b/>
        </w:rPr>
        <w:t>рекомендуется</w:t>
      </w:r>
      <w:r>
        <w:t xml:space="preserve"> трансфузия концентрата тромбоцитов лейкоредуцированного при уровне тромбоцитов в крови менее 50*10</w:t>
      </w:r>
      <w:r>
        <w:rPr>
          <w:vertAlign w:val="superscript"/>
        </w:rPr>
        <w:t>9</w:t>
      </w:r>
      <w:r>
        <w:t xml:space="preserve">/л для профилактики развития ВЧК [125, 128]. </w:t>
      </w:r>
    </w:p>
    <w:p w:rsidR="007F750E" w:rsidRDefault="00780135">
      <w:pPr>
        <w:spacing w:after="204" w:line="395" w:lineRule="auto"/>
        <w:ind w:left="715"/>
        <w:jc w:val="left"/>
      </w:pPr>
      <w:r>
        <w:rPr>
          <w:b/>
        </w:rPr>
        <w:t xml:space="preserve">Уровень убедительности рекомендаций С (уровень достоверности доказательств - 5). </w:t>
      </w:r>
    </w:p>
    <w:p w:rsidR="007F750E" w:rsidRDefault="00780135">
      <w:pPr>
        <w:numPr>
          <w:ilvl w:val="0"/>
          <w:numId w:val="17"/>
        </w:numPr>
        <w:ind w:right="49" w:hanging="355"/>
      </w:pPr>
      <w:r>
        <w:t>Новорожденному с иммунной тромбоцитопенией или подозрением на иммунную тромбоцитопению при тяжелой тромбоцитопении и/или наличии геморрагического синдрома умеренной и выше ст</w:t>
      </w:r>
      <w:r>
        <w:t xml:space="preserve">епени </w:t>
      </w:r>
      <w:r>
        <w:rPr>
          <w:b/>
        </w:rPr>
        <w:t>рекомендуется</w:t>
      </w:r>
      <w:r>
        <w:t xml:space="preserve"> введение #иммуноглобулина человека нормального** (код АТХ J06ВА02) для внутривенного введения в дозе 1 г/кг/сут в течение 1-3 дней или 400 мг/кг/сут в течение 3-4 дней для повышения уровня тромбоцитов [125]. </w:t>
      </w:r>
    </w:p>
    <w:p w:rsidR="007F750E" w:rsidRDefault="00780135">
      <w:pPr>
        <w:spacing w:after="2" w:line="395" w:lineRule="auto"/>
        <w:ind w:left="715"/>
        <w:jc w:val="left"/>
      </w:pPr>
      <w:r>
        <w:rPr>
          <w:b/>
        </w:rPr>
        <w:t>Уровень убедительности реко</w:t>
      </w:r>
      <w:r>
        <w:rPr>
          <w:b/>
        </w:rPr>
        <w:t xml:space="preserve">мендаций С (уровень достоверности доказательств - 5).   </w:t>
      </w:r>
    </w:p>
    <w:p w:rsidR="007F750E" w:rsidRDefault="00780135">
      <w:pPr>
        <w:spacing w:after="115" w:line="259" w:lineRule="auto"/>
        <w:ind w:left="718" w:right="47"/>
      </w:pPr>
      <w:r>
        <w:rPr>
          <w:b/>
          <w:i/>
        </w:rPr>
        <w:t>Комментарии:</w:t>
      </w:r>
      <w:r>
        <w:rPr>
          <w:i/>
        </w:rPr>
        <w:t xml:space="preserve"> Эффект наступает в течение 24-48 часов. </w:t>
      </w:r>
    </w:p>
    <w:p w:rsidR="007F750E" w:rsidRDefault="00780135">
      <w:pPr>
        <w:spacing w:after="0"/>
        <w:ind w:left="718" w:right="47"/>
      </w:pPr>
      <w:r>
        <w:rPr>
          <w:i/>
        </w:rPr>
        <w:t xml:space="preserve">Тактика ведения аутоиммунной (трансиммунной) и аллоиммунной тромбоцитопении имеют свои особенности. При трансиммунной тромбоцитопении в качестве </w:t>
      </w:r>
      <w:r>
        <w:rPr>
          <w:i/>
        </w:rPr>
        <w:t xml:space="preserve">препарата первой линии используется #иммуноглобулин человека нормальный** (код АТХ J06ВА02), трансфузию концентрата тромбоцитов (при необходимости) следует проводить после введения #иммуноглобулина человека нормального** (код АТХ J06ВА02). </w:t>
      </w:r>
    </w:p>
    <w:p w:rsidR="007F750E" w:rsidRDefault="00780135">
      <w:pPr>
        <w:spacing w:after="242"/>
        <w:ind w:left="718" w:right="47"/>
      </w:pPr>
      <w:r>
        <w:rPr>
          <w:i/>
        </w:rPr>
        <w:t>При аллоиммунно</w:t>
      </w:r>
      <w:r>
        <w:rPr>
          <w:i/>
        </w:rPr>
        <w:t>й тромбоцитопении введение только #иммуноглобулина человека нормального** (код АТХ J06ВА) не способствует быстрому повышению тромбоцитов и препаратом первой линии является концентрат тромбоцитов с последующим или одновременным введением #иммуноглобулина че</w:t>
      </w:r>
      <w:r>
        <w:rPr>
          <w:i/>
        </w:rPr>
        <w:t xml:space="preserve">ловека нормального** (код АТХ J06ВА) [125]. </w:t>
      </w:r>
    </w:p>
    <w:p w:rsidR="007F750E" w:rsidRDefault="00780135">
      <w:pPr>
        <w:ind w:left="713" w:right="49" w:hanging="355"/>
      </w:pPr>
      <w:r>
        <w:rPr>
          <w:rFonts w:ascii="Segoe UI Symbol" w:eastAsia="Segoe UI Symbol" w:hAnsi="Segoe UI Symbol" w:cs="Segoe UI Symbol"/>
          <w:sz w:val="20"/>
        </w:rPr>
        <w:t></w:t>
      </w:r>
      <w:r>
        <w:rPr>
          <w:rFonts w:ascii="Arial" w:eastAsia="Arial" w:hAnsi="Arial" w:cs="Arial"/>
          <w:sz w:val="20"/>
        </w:rPr>
        <w:t xml:space="preserve"> </w:t>
      </w:r>
      <w:r>
        <w:t>Новорожденному с иммунной тромбоцитопенией при отсутствии эффекта от проводимой терапии (#иммуноглобулин человека нормальный** (код АТХ J06ВА02), трансфузия концентрата тромбоцитов лейкоредуцированного) при жи</w:t>
      </w:r>
      <w:r>
        <w:t xml:space="preserve">знеугрожающем состоянии </w:t>
      </w:r>
      <w:r>
        <w:rPr>
          <w:b/>
        </w:rPr>
        <w:t>рекомендуется</w:t>
      </w:r>
      <w:r>
        <w:t xml:space="preserve"> назначение глюкокортикоидов (код АТХ Н02АВ) - #метилпреднизолона** в дозе 1 мг/кг дважды в день в течение 5 дней для купирования тромбоцитопении [125]. </w:t>
      </w:r>
    </w:p>
    <w:p w:rsidR="007F750E" w:rsidRDefault="00780135">
      <w:pPr>
        <w:spacing w:after="245" w:line="395" w:lineRule="auto"/>
        <w:ind w:left="715"/>
        <w:jc w:val="left"/>
      </w:pPr>
      <w:r>
        <w:rPr>
          <w:b/>
        </w:rPr>
        <w:t>Уровень убедительности рекомендаций С (уровень достоверности дока</w:t>
      </w:r>
      <w:r>
        <w:rPr>
          <w:b/>
        </w:rPr>
        <w:t>зательств - 5).</w:t>
      </w:r>
      <w:r>
        <w:rPr>
          <w:i/>
        </w:rPr>
        <w:t xml:space="preserve"> </w:t>
      </w:r>
    </w:p>
    <w:p w:rsidR="007F750E" w:rsidRDefault="00780135">
      <w:pPr>
        <w:spacing w:after="252" w:line="394" w:lineRule="auto"/>
        <w:ind w:left="703" w:right="5418"/>
      </w:pPr>
      <w:r>
        <w:rPr>
          <w:b/>
          <w:u w:val="single" w:color="000000"/>
        </w:rPr>
        <w:t>3.2 Хирургическое лечение</w:t>
      </w:r>
      <w:r>
        <w:rPr>
          <w:b/>
        </w:rPr>
        <w:t xml:space="preserve"> </w:t>
      </w:r>
      <w:r>
        <w:t xml:space="preserve">Не применимо. </w:t>
      </w:r>
    </w:p>
    <w:p w:rsidR="007F750E" w:rsidRDefault="00780135">
      <w:pPr>
        <w:pStyle w:val="Heading2"/>
        <w:spacing w:after="393"/>
        <w:ind w:left="703" w:right="47"/>
      </w:pPr>
      <w:r>
        <w:t>3.3 Иное лечение</w:t>
      </w:r>
      <w:r>
        <w:rPr>
          <w:u w:val="none"/>
        </w:rPr>
        <w:t xml:space="preserve"> </w:t>
      </w:r>
    </w:p>
    <w:p w:rsidR="007F750E" w:rsidRDefault="00780135">
      <w:pPr>
        <w:ind w:left="713" w:right="49" w:hanging="355"/>
      </w:pPr>
      <w:r>
        <w:rPr>
          <w:rFonts w:ascii="Segoe UI Symbol" w:eastAsia="Segoe UI Symbol" w:hAnsi="Segoe UI Symbol" w:cs="Segoe UI Symbol"/>
          <w:sz w:val="20"/>
        </w:rPr>
        <w:t></w:t>
      </w:r>
      <w:r>
        <w:rPr>
          <w:rFonts w:ascii="Arial" w:eastAsia="Arial" w:hAnsi="Arial" w:cs="Arial"/>
          <w:sz w:val="20"/>
        </w:rPr>
        <w:t xml:space="preserve"> </w:t>
      </w:r>
      <w:r>
        <w:t xml:space="preserve">Новорожденному с иммунной тромбоцитопенией рутинно </w:t>
      </w:r>
      <w:r>
        <w:rPr>
          <w:b/>
        </w:rPr>
        <w:t>не рекомендуется</w:t>
      </w:r>
      <w:r>
        <w:t xml:space="preserve"> прекращение грудного вскармливания с целью дотации белков, жиров, углеводов, витаминов и микроэлементов [129].</w:t>
      </w:r>
      <w:r>
        <w:t xml:space="preserve"> </w:t>
      </w:r>
    </w:p>
    <w:p w:rsidR="007F750E" w:rsidRDefault="00780135">
      <w:pPr>
        <w:spacing w:after="2" w:line="395" w:lineRule="auto"/>
        <w:ind w:left="715"/>
        <w:jc w:val="left"/>
      </w:pPr>
      <w:r>
        <w:rPr>
          <w:b/>
        </w:rPr>
        <w:t xml:space="preserve">Уровень убедительности рекомендаций С (уровень достоверности доказательств - 5).   </w:t>
      </w:r>
    </w:p>
    <w:p w:rsidR="007F750E" w:rsidRDefault="00780135">
      <w:pPr>
        <w:spacing w:after="330"/>
        <w:ind w:left="718" w:right="47"/>
      </w:pPr>
      <w:r>
        <w:rPr>
          <w:b/>
        </w:rPr>
        <w:t>Комментарии:</w:t>
      </w:r>
      <w:r>
        <w:rPr>
          <w:i/>
        </w:rPr>
        <w:t xml:space="preserve"> Если новорожденный с иммунной тромбоцитопенией находится на грудном вскармливании, и количество тромбоцитов у новорожденного остается низким дольше, чем ожид</w:t>
      </w:r>
      <w:r>
        <w:rPr>
          <w:i/>
        </w:rPr>
        <w:t xml:space="preserve">алось (≥1 недели), целесообразно прекратить грудное вскармливание на пробный период с мониторингом тромбоцитов (исследование уровня тромбоцитов в крови) [129].  </w:t>
      </w:r>
    </w:p>
    <w:p w:rsidR="007F750E" w:rsidRDefault="00780135">
      <w:pPr>
        <w:pStyle w:val="Heading1"/>
        <w:spacing w:after="192" w:line="400" w:lineRule="auto"/>
        <w:ind w:left="155" w:right="0" w:firstLine="550"/>
        <w:jc w:val="left"/>
      </w:pPr>
      <w:r>
        <w:t>4. Медицинская реабилитация и санаторно-курортное лечение, медицинские показания и противопока</w:t>
      </w:r>
      <w:r>
        <w:t xml:space="preserve">зания к применению методов медицинской реабилитации, в том числе основанных на использовании природных лечебных факторов </w:t>
      </w:r>
    </w:p>
    <w:p w:rsidR="007F750E" w:rsidRDefault="00780135">
      <w:pPr>
        <w:spacing w:after="30"/>
        <w:ind w:left="713" w:right="49" w:hanging="355"/>
      </w:pPr>
      <w:r>
        <w:rPr>
          <w:rFonts w:ascii="Segoe UI Symbol" w:eastAsia="Segoe UI Symbol" w:hAnsi="Segoe UI Symbol" w:cs="Segoe UI Symbol"/>
          <w:sz w:val="20"/>
        </w:rPr>
        <w:t></w:t>
      </w:r>
      <w:r>
        <w:rPr>
          <w:rFonts w:ascii="Arial" w:eastAsia="Arial" w:hAnsi="Arial" w:cs="Arial"/>
          <w:sz w:val="20"/>
        </w:rPr>
        <w:t xml:space="preserve"> </w:t>
      </w:r>
      <w:r>
        <w:rPr>
          <w:b/>
        </w:rPr>
        <w:t>Рекомендуется</w:t>
      </w:r>
      <w:r>
        <w:t xml:space="preserve"> определение объема нейропсихологической реабилитации новорожденным после ВЧК с участием профильных специалистов [130].</w:t>
      </w:r>
      <w:r>
        <w:t xml:space="preserve"> </w:t>
      </w:r>
    </w:p>
    <w:p w:rsidR="007F750E" w:rsidRDefault="00780135">
      <w:pPr>
        <w:spacing w:after="234" w:line="395" w:lineRule="auto"/>
        <w:ind w:left="715"/>
        <w:jc w:val="left"/>
      </w:pPr>
      <w:r>
        <w:rPr>
          <w:b/>
        </w:rPr>
        <w:t xml:space="preserve">Уровень убедительности рекомендаций С (уровень достоверности доказательств - 4) </w:t>
      </w:r>
    </w:p>
    <w:p w:rsidR="007F750E" w:rsidRDefault="00780135">
      <w:pPr>
        <w:spacing w:after="0" w:line="400" w:lineRule="auto"/>
        <w:ind w:left="1003" w:hanging="960"/>
        <w:jc w:val="left"/>
      </w:pPr>
      <w:r>
        <w:rPr>
          <w:b/>
          <w:sz w:val="28"/>
        </w:rPr>
        <w:t xml:space="preserve">5. Профилактика и диспансерное наблюдение, медицинские показания и </w:t>
      </w:r>
    </w:p>
    <w:p w:rsidR="007F750E" w:rsidRDefault="00780135">
      <w:pPr>
        <w:pStyle w:val="Heading1"/>
        <w:spacing w:after="0" w:line="400" w:lineRule="auto"/>
        <w:ind w:left="1003" w:right="0" w:hanging="960"/>
        <w:jc w:val="left"/>
      </w:pPr>
      <w:r>
        <w:t xml:space="preserve">противопоказания к применению методов профилактики </w:t>
      </w:r>
    </w:p>
    <w:p w:rsidR="007F750E" w:rsidRDefault="00780135">
      <w:pPr>
        <w:spacing w:after="34"/>
        <w:ind w:left="0" w:right="47" w:firstLine="708"/>
      </w:pPr>
      <w:r>
        <w:rPr>
          <w:i/>
        </w:rPr>
        <w:t>Профилактические мероприятия, направленные на снижени</w:t>
      </w:r>
      <w:r>
        <w:rPr>
          <w:i/>
        </w:rPr>
        <w:t>е степени иммунной тромбоцитопении у новорожденных, включают в себя лечение ИТП у матери (терапия иммуноглобулином человека нормальным** (код АТХ J06ВА02), кортикостероидная терапия, спленэктомия), выявление возможных предикторов аллоиммунной тромбоцитопен</w:t>
      </w:r>
      <w:r>
        <w:rPr>
          <w:i/>
        </w:rPr>
        <w:t xml:space="preserve">ии (внутриутробные кровоизлияния, НАИТ у предыдущих детей) и внутриутробную коррекцию тромбоцитопении у плода (внутриутробные трансфузии тромбоцитов). </w:t>
      </w:r>
    </w:p>
    <w:p w:rsidR="007F750E" w:rsidRDefault="00780135">
      <w:pPr>
        <w:tabs>
          <w:tab w:val="center" w:pos="1708"/>
          <w:tab w:val="center" w:pos="3720"/>
          <w:tab w:val="center" w:pos="4902"/>
          <w:tab w:val="center" w:pos="5911"/>
          <w:tab w:val="center" w:pos="7038"/>
          <w:tab w:val="right" w:pos="9412"/>
        </w:tabs>
        <w:spacing w:after="166" w:line="259" w:lineRule="auto"/>
        <w:ind w:left="0" w:firstLine="0"/>
        <w:jc w:val="left"/>
      </w:pPr>
      <w:r>
        <w:rPr>
          <w:rFonts w:ascii="Calibri" w:eastAsia="Calibri" w:hAnsi="Calibri" w:cs="Calibri"/>
          <w:sz w:val="22"/>
        </w:rPr>
        <w:tab/>
      </w:r>
      <w:r>
        <w:rPr>
          <w:i/>
        </w:rPr>
        <w:t xml:space="preserve">Профилактические </w:t>
      </w:r>
      <w:r>
        <w:rPr>
          <w:i/>
        </w:rPr>
        <w:tab/>
        <w:t xml:space="preserve">мероприятия </w:t>
      </w:r>
      <w:r>
        <w:rPr>
          <w:i/>
        </w:rPr>
        <w:tab/>
        <w:t xml:space="preserve">для </w:t>
      </w:r>
      <w:r>
        <w:rPr>
          <w:i/>
        </w:rPr>
        <w:tab/>
        <w:t xml:space="preserve">снижения </w:t>
      </w:r>
      <w:r>
        <w:rPr>
          <w:i/>
        </w:rPr>
        <w:tab/>
        <w:t xml:space="preserve">риска </w:t>
      </w:r>
      <w:r>
        <w:rPr>
          <w:i/>
        </w:rPr>
        <w:tab/>
        <w:t xml:space="preserve">внутричерепных </w:t>
      </w:r>
    </w:p>
    <w:p w:rsidR="007F750E" w:rsidRDefault="00780135">
      <w:pPr>
        <w:spacing w:after="404" w:line="259" w:lineRule="auto"/>
        <w:ind w:right="47"/>
      </w:pPr>
      <w:r>
        <w:rPr>
          <w:i/>
        </w:rPr>
        <w:t xml:space="preserve">кровотечений включают в себя выбор тактики родоразрешения в пользу кесарева сечения.  </w:t>
      </w:r>
    </w:p>
    <w:p w:rsidR="007F750E" w:rsidRDefault="00780135">
      <w:pPr>
        <w:spacing w:after="28"/>
        <w:ind w:left="713" w:right="49" w:hanging="355"/>
      </w:pPr>
      <w:r>
        <w:rPr>
          <w:rFonts w:ascii="Segoe UI Symbol" w:eastAsia="Segoe UI Symbol" w:hAnsi="Segoe UI Symbol" w:cs="Segoe UI Symbol"/>
          <w:sz w:val="20"/>
        </w:rPr>
        <w:t></w:t>
      </w:r>
      <w:r>
        <w:rPr>
          <w:rFonts w:ascii="Arial" w:eastAsia="Arial" w:hAnsi="Arial" w:cs="Arial"/>
          <w:sz w:val="20"/>
        </w:rPr>
        <w:t xml:space="preserve"> </w:t>
      </w:r>
      <w:r>
        <w:t xml:space="preserve">Новорожденному с иммунной тромбоцитопенией </w:t>
      </w:r>
      <w:r>
        <w:rPr>
          <w:b/>
        </w:rPr>
        <w:t>рекомендуется</w:t>
      </w:r>
      <w:r>
        <w:t xml:space="preserve"> диспансерный прием (осмотр, консультация) врача-гематолога [125]. </w:t>
      </w:r>
    </w:p>
    <w:p w:rsidR="007F750E" w:rsidRDefault="00780135">
      <w:pPr>
        <w:spacing w:after="2" w:line="395" w:lineRule="auto"/>
        <w:ind w:left="715"/>
        <w:jc w:val="left"/>
      </w:pPr>
      <w:r>
        <w:rPr>
          <w:b/>
        </w:rPr>
        <w:t>Уровень убедительности рекомендаций С (уров</w:t>
      </w:r>
      <w:r>
        <w:rPr>
          <w:b/>
        </w:rPr>
        <w:t xml:space="preserve">ень достоверности доказательств - 5). </w:t>
      </w:r>
    </w:p>
    <w:p w:rsidR="007F750E" w:rsidRDefault="00780135">
      <w:pPr>
        <w:spacing w:after="308"/>
        <w:ind w:left="718" w:right="47"/>
      </w:pPr>
      <w:r>
        <w:rPr>
          <w:b/>
        </w:rPr>
        <w:t>Комментарии:</w:t>
      </w:r>
      <w:r>
        <w:rPr>
          <w:i/>
        </w:rPr>
        <w:t xml:space="preserve"> Учитывая возможное развитие поздней тромбоцитопении у детей с иммунной тромбоцитопенией необходим контроль уровня тромбоцитов (исследование уровня тромбоцитов в крови) под наблюдением врача- гематолога. К</w:t>
      </w:r>
      <w:r>
        <w:rPr>
          <w:i/>
        </w:rPr>
        <w:t xml:space="preserve">ратность контроля уровня тромбоцитов (исследования уровня тромбоцитов в крови) определяется врачом-гематологом. </w:t>
      </w:r>
    </w:p>
    <w:p w:rsidR="007F750E" w:rsidRDefault="00780135">
      <w:pPr>
        <w:pStyle w:val="Heading1"/>
        <w:ind w:right="60"/>
      </w:pPr>
      <w:r>
        <w:t xml:space="preserve">6. Организация оказания медицинской помощи </w:t>
      </w:r>
    </w:p>
    <w:p w:rsidR="007F750E" w:rsidRDefault="00780135">
      <w:pPr>
        <w:spacing w:after="162" w:line="259" w:lineRule="auto"/>
        <w:ind w:right="50"/>
        <w:jc w:val="right"/>
      </w:pPr>
      <w:r>
        <w:t xml:space="preserve">Лечение новорожденных с тромбоцитопенией проводится в стационарных условиях. </w:t>
      </w:r>
    </w:p>
    <w:p w:rsidR="007F750E" w:rsidRDefault="00780135">
      <w:pPr>
        <w:spacing w:after="161" w:line="259" w:lineRule="auto"/>
        <w:ind w:left="718" w:right="49"/>
      </w:pPr>
      <w:r>
        <w:t>Показания для госпита</w:t>
      </w:r>
      <w:r>
        <w:t xml:space="preserve">лизации в медицинскую организацию:  </w:t>
      </w:r>
    </w:p>
    <w:p w:rsidR="007F750E" w:rsidRDefault="00780135">
      <w:pPr>
        <w:spacing w:after="33"/>
        <w:ind w:left="358" w:right="2539"/>
      </w:pPr>
      <w:r>
        <w:t>1)</w:t>
      </w:r>
      <w:r>
        <w:rPr>
          <w:rFonts w:ascii="Arial" w:eastAsia="Arial" w:hAnsi="Arial" w:cs="Arial"/>
        </w:rPr>
        <w:t xml:space="preserve"> </w:t>
      </w:r>
      <w:r>
        <w:t>Наличие спонтанного кровотечения любой локализации;  2)</w:t>
      </w:r>
      <w:r>
        <w:rPr>
          <w:rFonts w:ascii="Arial" w:eastAsia="Arial" w:hAnsi="Arial" w:cs="Arial"/>
        </w:rPr>
        <w:t xml:space="preserve"> </w:t>
      </w:r>
      <w:r>
        <w:t xml:space="preserve">Тяжелая тромбоцитопения без проявлений кровоточивости. </w:t>
      </w:r>
    </w:p>
    <w:p w:rsidR="007F750E" w:rsidRDefault="00780135">
      <w:pPr>
        <w:spacing w:after="161" w:line="259" w:lineRule="auto"/>
        <w:ind w:left="718" w:right="49"/>
      </w:pPr>
      <w:r>
        <w:t xml:space="preserve"> Показания к выписке пациента из медицинской организации:  </w:t>
      </w:r>
    </w:p>
    <w:p w:rsidR="007F750E" w:rsidRDefault="00780135">
      <w:pPr>
        <w:numPr>
          <w:ilvl w:val="0"/>
          <w:numId w:val="18"/>
        </w:numPr>
        <w:spacing w:after="162" w:line="259" w:lineRule="auto"/>
        <w:ind w:right="49" w:hanging="360"/>
      </w:pPr>
      <w:r>
        <w:t xml:space="preserve">Удовлетворительное состояние; </w:t>
      </w:r>
    </w:p>
    <w:p w:rsidR="007F750E" w:rsidRDefault="00780135">
      <w:pPr>
        <w:numPr>
          <w:ilvl w:val="0"/>
          <w:numId w:val="18"/>
        </w:numPr>
        <w:spacing w:after="163" w:line="259" w:lineRule="auto"/>
        <w:ind w:right="49" w:hanging="360"/>
      </w:pPr>
      <w:r>
        <w:t xml:space="preserve">Достигнута стабилизация состояния ребенка, отсутствует кровотечение; </w:t>
      </w:r>
    </w:p>
    <w:p w:rsidR="007F750E" w:rsidRDefault="00780135">
      <w:pPr>
        <w:numPr>
          <w:ilvl w:val="0"/>
          <w:numId w:val="18"/>
        </w:numPr>
        <w:spacing w:after="266"/>
        <w:ind w:right="49" w:hanging="360"/>
      </w:pPr>
      <w:r>
        <w:t>Нормализация или стабильное повышение уровня тромбоцитов; 4)</w:t>
      </w:r>
      <w:r>
        <w:rPr>
          <w:rFonts w:ascii="Arial" w:eastAsia="Arial" w:hAnsi="Arial" w:cs="Arial"/>
        </w:rPr>
        <w:t xml:space="preserve"> </w:t>
      </w:r>
      <w:r>
        <w:t xml:space="preserve">Отсутствуют другие противопоказания к выписке. </w:t>
      </w:r>
    </w:p>
    <w:p w:rsidR="007F750E" w:rsidRDefault="00780135">
      <w:pPr>
        <w:pStyle w:val="Heading1"/>
        <w:spacing w:after="0" w:line="399" w:lineRule="auto"/>
        <w:ind w:right="0"/>
      </w:pPr>
      <w:r>
        <w:t>7. Дополнительная информация (в том числе факторы, влияющие на исход заболева</w:t>
      </w:r>
      <w:r>
        <w:t xml:space="preserve">ния или состояния) </w:t>
      </w:r>
    </w:p>
    <w:p w:rsidR="007F750E" w:rsidRDefault="00780135">
      <w:pPr>
        <w:ind w:left="-15" w:right="49" w:firstLine="708"/>
      </w:pPr>
      <w:r>
        <w:t xml:space="preserve">Прогноз заболевания при отсутствии сопутствующих заболеваний, как правило, благоприятный. </w:t>
      </w:r>
    </w:p>
    <w:p w:rsidR="007F750E" w:rsidRDefault="00780135">
      <w:pPr>
        <w:pStyle w:val="Heading1"/>
        <w:spacing w:after="0"/>
        <w:ind w:left="165" w:right="0"/>
        <w:jc w:val="left"/>
      </w:pPr>
      <w:r>
        <w:t xml:space="preserve">Критерии оценки качества специализированной медицинской помощи </w:t>
      </w:r>
    </w:p>
    <w:tbl>
      <w:tblPr>
        <w:tblStyle w:val="TableGrid"/>
        <w:tblW w:w="9345" w:type="dxa"/>
        <w:tblInd w:w="7" w:type="dxa"/>
        <w:tblCellMar>
          <w:top w:w="7" w:type="dxa"/>
          <w:left w:w="106" w:type="dxa"/>
          <w:bottom w:w="0" w:type="dxa"/>
          <w:right w:w="64" w:type="dxa"/>
        </w:tblCellMar>
        <w:tblLook w:val="04A0" w:firstRow="1" w:lastRow="0" w:firstColumn="1" w:lastColumn="0" w:noHBand="0" w:noVBand="1"/>
      </w:tblPr>
      <w:tblGrid>
        <w:gridCol w:w="442"/>
        <w:gridCol w:w="3749"/>
        <w:gridCol w:w="1772"/>
        <w:gridCol w:w="1954"/>
        <w:gridCol w:w="1428"/>
      </w:tblGrid>
      <w:tr w:rsidR="007F750E">
        <w:trPr>
          <w:trHeight w:val="1280"/>
        </w:trPr>
        <w:tc>
          <w:tcPr>
            <w:tcW w:w="442" w:type="dxa"/>
            <w:tcBorders>
              <w:top w:val="single" w:sz="6" w:space="0" w:color="000000"/>
              <w:left w:val="single" w:sz="6" w:space="0" w:color="000000"/>
              <w:bottom w:val="single" w:sz="6" w:space="0" w:color="000000"/>
              <w:right w:val="single" w:sz="6" w:space="0" w:color="000000"/>
            </w:tcBorders>
            <w:vAlign w:val="center"/>
          </w:tcPr>
          <w:p w:rsidR="007F750E" w:rsidRDefault="00780135">
            <w:pPr>
              <w:spacing w:after="0" w:line="259" w:lineRule="auto"/>
              <w:ind w:left="2" w:firstLine="0"/>
            </w:pPr>
            <w:r>
              <w:rPr>
                <w:sz w:val="22"/>
              </w:rPr>
              <w:t xml:space="preserve">№ </w:t>
            </w:r>
          </w:p>
        </w:tc>
        <w:tc>
          <w:tcPr>
            <w:tcW w:w="3749" w:type="dxa"/>
            <w:tcBorders>
              <w:top w:val="single" w:sz="6" w:space="0" w:color="000000"/>
              <w:left w:val="single" w:sz="6" w:space="0" w:color="000000"/>
              <w:bottom w:val="single" w:sz="6" w:space="0" w:color="000000"/>
              <w:right w:val="single" w:sz="6" w:space="0" w:color="000000"/>
            </w:tcBorders>
            <w:vAlign w:val="center"/>
          </w:tcPr>
          <w:p w:rsidR="007F750E" w:rsidRDefault="00780135">
            <w:pPr>
              <w:spacing w:after="0" w:line="259" w:lineRule="auto"/>
              <w:ind w:left="0" w:firstLine="0"/>
              <w:jc w:val="left"/>
            </w:pPr>
            <w:r>
              <w:rPr>
                <w:sz w:val="22"/>
              </w:rPr>
              <w:t xml:space="preserve">Критерии оценки качества медицинской помощи </w:t>
            </w:r>
          </w:p>
        </w:tc>
        <w:tc>
          <w:tcPr>
            <w:tcW w:w="1772" w:type="dxa"/>
            <w:tcBorders>
              <w:top w:val="single" w:sz="6" w:space="0" w:color="000000"/>
              <w:left w:val="single" w:sz="6" w:space="0" w:color="000000"/>
              <w:bottom w:val="single" w:sz="6" w:space="0" w:color="000000"/>
              <w:right w:val="single" w:sz="6" w:space="0" w:color="000000"/>
            </w:tcBorders>
          </w:tcPr>
          <w:p w:rsidR="007F750E" w:rsidRDefault="00780135">
            <w:pPr>
              <w:spacing w:after="0" w:line="259" w:lineRule="auto"/>
              <w:ind w:left="2" w:firstLine="0"/>
              <w:jc w:val="left"/>
            </w:pPr>
            <w:r>
              <w:rPr>
                <w:sz w:val="22"/>
              </w:rPr>
              <w:t>Код услуги номенклатуры медицинск</w:t>
            </w:r>
            <w:r>
              <w:rPr>
                <w:sz w:val="22"/>
              </w:rPr>
              <w:t xml:space="preserve">их услуг (при наличии) * </w:t>
            </w:r>
          </w:p>
        </w:tc>
        <w:tc>
          <w:tcPr>
            <w:tcW w:w="1954" w:type="dxa"/>
            <w:tcBorders>
              <w:top w:val="single" w:sz="4" w:space="0" w:color="000000"/>
              <w:left w:val="single" w:sz="6"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 xml:space="preserve">Код ЛП в соответствии с АТХ- классификацией (при наличии)** </w:t>
            </w:r>
          </w:p>
        </w:tc>
        <w:tc>
          <w:tcPr>
            <w:tcW w:w="1428"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Оценка выполнения (Да/Нет) </w:t>
            </w:r>
          </w:p>
        </w:tc>
      </w:tr>
      <w:tr w:rsidR="007F750E">
        <w:trPr>
          <w:trHeight w:val="1805"/>
        </w:trPr>
        <w:tc>
          <w:tcPr>
            <w:tcW w:w="442" w:type="dxa"/>
            <w:tcBorders>
              <w:top w:val="single" w:sz="6"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1 </w:t>
            </w:r>
          </w:p>
        </w:tc>
        <w:tc>
          <w:tcPr>
            <w:tcW w:w="3749" w:type="dxa"/>
            <w:tcBorders>
              <w:top w:val="single" w:sz="6"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 xml:space="preserve">Выполнен визуальный осмотр терапевтический новорожденному с тромбоцитопенией </w:t>
            </w:r>
          </w:p>
        </w:tc>
        <w:tc>
          <w:tcPr>
            <w:tcW w:w="1772" w:type="dxa"/>
            <w:tcBorders>
              <w:top w:val="single" w:sz="6"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A01.30.010 </w:t>
            </w:r>
          </w:p>
        </w:tc>
        <w:tc>
          <w:tcPr>
            <w:tcW w:w="1954"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 xml:space="preserve">Не применимо </w:t>
            </w:r>
          </w:p>
        </w:tc>
        <w:tc>
          <w:tcPr>
            <w:tcW w:w="1428"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Да/Нет </w:t>
            </w:r>
          </w:p>
        </w:tc>
      </w:tr>
      <w:tr w:rsidR="007F750E">
        <w:trPr>
          <w:trHeight w:val="1781"/>
        </w:trPr>
        <w:tc>
          <w:tcPr>
            <w:tcW w:w="44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2 </w:t>
            </w:r>
          </w:p>
        </w:tc>
        <w:tc>
          <w:tcPr>
            <w:tcW w:w="3749"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 xml:space="preserve">Выполнен общий (клинический) анализ крови развернутый с контролем в динамике новорожденным группы риска по развитию тромбоцитопении, а также при наличии любого проявления геморрагического синдрома  </w:t>
            </w:r>
          </w:p>
        </w:tc>
        <w:tc>
          <w:tcPr>
            <w:tcW w:w="177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B03.016.003 </w:t>
            </w:r>
          </w:p>
          <w:p w:rsidR="007F750E" w:rsidRDefault="00780135">
            <w:pPr>
              <w:spacing w:after="0" w:line="259" w:lineRule="auto"/>
              <w:ind w:left="2" w:firstLine="0"/>
              <w:jc w:val="left"/>
            </w:pPr>
            <w:r>
              <w:rPr>
                <w:sz w:val="22"/>
              </w:rPr>
              <w:t xml:space="preserve"> </w:t>
            </w:r>
          </w:p>
          <w:p w:rsidR="007F750E" w:rsidRDefault="00780135">
            <w:pPr>
              <w:spacing w:after="0" w:line="259" w:lineRule="auto"/>
              <w:ind w:left="14" w:firstLine="0"/>
              <w:jc w:val="center"/>
            </w:pPr>
            <w:r>
              <w:rPr>
                <w:sz w:val="22"/>
              </w:rPr>
              <w:t xml:space="preserve"> </w:t>
            </w:r>
          </w:p>
        </w:tc>
        <w:tc>
          <w:tcPr>
            <w:tcW w:w="1954"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 xml:space="preserve">Не применимо </w:t>
            </w:r>
          </w:p>
        </w:tc>
        <w:tc>
          <w:tcPr>
            <w:tcW w:w="1428"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Да/Нет </w:t>
            </w:r>
          </w:p>
        </w:tc>
      </w:tr>
      <w:tr w:rsidR="007F750E">
        <w:trPr>
          <w:trHeight w:val="3552"/>
        </w:trPr>
        <w:tc>
          <w:tcPr>
            <w:tcW w:w="44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3 </w:t>
            </w:r>
          </w:p>
        </w:tc>
        <w:tc>
          <w:tcPr>
            <w:tcW w:w="3749"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37" w:lineRule="auto"/>
              <w:ind w:left="0" w:firstLine="0"/>
              <w:jc w:val="left"/>
            </w:pPr>
            <w:r>
              <w:rPr>
                <w:sz w:val="22"/>
              </w:rPr>
              <w:t xml:space="preserve">Выполнена коагулограмма (ориентировочное исследование системы гемостаза) с исследованием уровня фибриногена в крови, активированного частичного тромбопластинового времени (АЧТВ), определение протромбинового </w:t>
            </w:r>
          </w:p>
          <w:p w:rsidR="007F750E" w:rsidRDefault="00780135">
            <w:pPr>
              <w:spacing w:after="0" w:line="259" w:lineRule="auto"/>
              <w:ind w:left="0" w:right="25" w:firstLine="0"/>
              <w:jc w:val="left"/>
            </w:pPr>
            <w:r>
              <w:rPr>
                <w:sz w:val="22"/>
              </w:rPr>
              <w:t xml:space="preserve">(тромбопластинового) времени (ПТВ), определение международного нормализованного отношения (MHO) новорожденным с проявлениями геморрагического синдрома </w:t>
            </w:r>
            <w:r>
              <w:t xml:space="preserve"> </w:t>
            </w:r>
          </w:p>
        </w:tc>
        <w:tc>
          <w:tcPr>
            <w:tcW w:w="177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B03.005.006 </w:t>
            </w:r>
          </w:p>
          <w:p w:rsidR="007F750E" w:rsidRDefault="00780135">
            <w:pPr>
              <w:spacing w:after="0" w:line="259" w:lineRule="auto"/>
              <w:ind w:left="2" w:firstLine="0"/>
              <w:jc w:val="left"/>
            </w:pPr>
            <w:r>
              <w:rPr>
                <w:sz w:val="22"/>
              </w:rPr>
              <w:t xml:space="preserve">(A09.05.050, </w:t>
            </w:r>
          </w:p>
          <w:p w:rsidR="007F750E" w:rsidRDefault="00780135">
            <w:pPr>
              <w:spacing w:after="0" w:line="259" w:lineRule="auto"/>
              <w:ind w:left="2" w:firstLine="0"/>
              <w:jc w:val="left"/>
            </w:pPr>
            <w:r>
              <w:rPr>
                <w:sz w:val="22"/>
              </w:rPr>
              <w:t xml:space="preserve">A12.05.039, </w:t>
            </w:r>
          </w:p>
          <w:p w:rsidR="007F750E" w:rsidRDefault="00780135">
            <w:pPr>
              <w:spacing w:after="0" w:line="259" w:lineRule="auto"/>
              <w:ind w:left="2" w:firstLine="0"/>
              <w:jc w:val="left"/>
            </w:pPr>
            <w:r>
              <w:rPr>
                <w:sz w:val="22"/>
              </w:rPr>
              <w:t xml:space="preserve">A12.05.027,  </w:t>
            </w:r>
          </w:p>
          <w:p w:rsidR="007F750E" w:rsidRDefault="00780135">
            <w:pPr>
              <w:spacing w:after="0" w:line="259" w:lineRule="auto"/>
              <w:ind w:left="2" w:firstLine="0"/>
              <w:jc w:val="left"/>
            </w:pPr>
            <w:r>
              <w:rPr>
                <w:sz w:val="22"/>
              </w:rPr>
              <w:t xml:space="preserve">A12.30.014) </w:t>
            </w:r>
          </w:p>
          <w:p w:rsidR="007F750E" w:rsidRDefault="00780135">
            <w:pPr>
              <w:spacing w:after="0" w:line="259" w:lineRule="auto"/>
              <w:ind w:left="2" w:firstLine="0"/>
              <w:jc w:val="left"/>
            </w:pPr>
            <w:r>
              <w:rPr>
                <w:sz w:val="22"/>
              </w:rPr>
              <w:t xml:space="preserve"> </w:t>
            </w:r>
          </w:p>
        </w:tc>
        <w:tc>
          <w:tcPr>
            <w:tcW w:w="1954"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 xml:space="preserve">Не применимо </w:t>
            </w:r>
          </w:p>
        </w:tc>
        <w:tc>
          <w:tcPr>
            <w:tcW w:w="1428"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Да/Нет </w:t>
            </w:r>
          </w:p>
        </w:tc>
      </w:tr>
      <w:tr w:rsidR="007F750E">
        <w:trPr>
          <w:trHeight w:val="768"/>
        </w:trPr>
        <w:tc>
          <w:tcPr>
            <w:tcW w:w="44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4 </w:t>
            </w:r>
          </w:p>
        </w:tc>
        <w:tc>
          <w:tcPr>
            <w:tcW w:w="3749"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 xml:space="preserve">Выполнена нейросонография новорожденным с умеренной и тяжёлой тромбоцитопенией </w:t>
            </w:r>
            <w:r>
              <w:t xml:space="preserve"> </w:t>
            </w:r>
          </w:p>
        </w:tc>
        <w:tc>
          <w:tcPr>
            <w:tcW w:w="177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A04.23.001 </w:t>
            </w:r>
          </w:p>
        </w:tc>
        <w:tc>
          <w:tcPr>
            <w:tcW w:w="1954"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 xml:space="preserve">Не применимо </w:t>
            </w:r>
          </w:p>
        </w:tc>
        <w:tc>
          <w:tcPr>
            <w:tcW w:w="1428"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Да/Нет </w:t>
            </w:r>
          </w:p>
        </w:tc>
      </w:tr>
      <w:tr w:rsidR="007F750E">
        <w:trPr>
          <w:trHeight w:val="1274"/>
        </w:trPr>
        <w:tc>
          <w:tcPr>
            <w:tcW w:w="44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5 </w:t>
            </w:r>
          </w:p>
        </w:tc>
        <w:tc>
          <w:tcPr>
            <w:tcW w:w="3749"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 xml:space="preserve">Выполнено ультразвуковое исследование органов брюшной полости (комплексное), почек новорожденным с тяжёлой тромбоцитопенией </w:t>
            </w:r>
          </w:p>
        </w:tc>
        <w:tc>
          <w:tcPr>
            <w:tcW w:w="177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A04.16.001 </w:t>
            </w:r>
          </w:p>
          <w:p w:rsidR="007F750E" w:rsidRDefault="00780135">
            <w:pPr>
              <w:spacing w:after="0" w:line="259" w:lineRule="auto"/>
              <w:ind w:left="2" w:firstLine="0"/>
              <w:jc w:val="left"/>
            </w:pPr>
            <w:r>
              <w:rPr>
                <w:sz w:val="22"/>
              </w:rPr>
              <w:t xml:space="preserve">A04.28.001 </w:t>
            </w:r>
          </w:p>
        </w:tc>
        <w:tc>
          <w:tcPr>
            <w:tcW w:w="1954"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 xml:space="preserve">Не применимо </w:t>
            </w:r>
          </w:p>
        </w:tc>
        <w:tc>
          <w:tcPr>
            <w:tcW w:w="1428"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Да/Нет </w:t>
            </w:r>
          </w:p>
        </w:tc>
      </w:tr>
      <w:tr w:rsidR="007F750E">
        <w:trPr>
          <w:trHeight w:val="1529"/>
        </w:trPr>
        <w:tc>
          <w:tcPr>
            <w:tcW w:w="44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6 </w:t>
            </w:r>
          </w:p>
        </w:tc>
        <w:tc>
          <w:tcPr>
            <w:tcW w:w="3749"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Выполнена трансфузия концентрата тромбоцитов лейкоредуцированного в дозе 10-15 мл/кг со скоростью 5 мл/кг/ч новорожденным с тромбоцитопенией, требующей коррекции</w:t>
            </w:r>
            <w:r>
              <w:t xml:space="preserve"> </w:t>
            </w:r>
          </w:p>
        </w:tc>
        <w:tc>
          <w:tcPr>
            <w:tcW w:w="177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Не применимо </w:t>
            </w:r>
          </w:p>
        </w:tc>
        <w:tc>
          <w:tcPr>
            <w:tcW w:w="1954"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 xml:space="preserve">Не применимо </w:t>
            </w:r>
          </w:p>
        </w:tc>
        <w:tc>
          <w:tcPr>
            <w:tcW w:w="1428"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Да/Нет </w:t>
            </w:r>
          </w:p>
        </w:tc>
      </w:tr>
      <w:tr w:rsidR="007F750E">
        <w:trPr>
          <w:trHeight w:val="1781"/>
        </w:trPr>
        <w:tc>
          <w:tcPr>
            <w:tcW w:w="44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7 </w:t>
            </w:r>
          </w:p>
        </w:tc>
        <w:tc>
          <w:tcPr>
            <w:tcW w:w="3749"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 xml:space="preserve">Выполнено введение </w:t>
            </w:r>
          </w:p>
          <w:p w:rsidR="007F750E" w:rsidRDefault="00780135">
            <w:pPr>
              <w:spacing w:after="0" w:line="259" w:lineRule="auto"/>
              <w:ind w:left="0" w:firstLine="0"/>
              <w:jc w:val="left"/>
            </w:pPr>
            <w:r>
              <w:rPr>
                <w:sz w:val="22"/>
              </w:rPr>
              <w:t xml:space="preserve">#иммуноглобулина человека нормального** в дозе 1 г/кг/сут в течение 1-3 дней или 400 мг/кг/сут в течение 3-4 дней новорожденным с иммунной тромбоцитопенией или подозрением на иммунную </w:t>
            </w:r>
          </w:p>
        </w:tc>
        <w:tc>
          <w:tcPr>
            <w:tcW w:w="177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Не применимо </w:t>
            </w:r>
          </w:p>
        </w:tc>
        <w:tc>
          <w:tcPr>
            <w:tcW w:w="1954"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 xml:space="preserve">J06ВА02 </w:t>
            </w:r>
          </w:p>
        </w:tc>
        <w:tc>
          <w:tcPr>
            <w:tcW w:w="1428"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Да/Нет </w:t>
            </w:r>
          </w:p>
        </w:tc>
      </w:tr>
    </w:tbl>
    <w:p w:rsidR="007F750E" w:rsidRDefault="007F750E">
      <w:pPr>
        <w:spacing w:after="0" w:line="259" w:lineRule="auto"/>
        <w:ind w:left="-1702" w:right="60" w:firstLine="0"/>
        <w:jc w:val="left"/>
      </w:pPr>
    </w:p>
    <w:tbl>
      <w:tblPr>
        <w:tblStyle w:val="TableGrid"/>
        <w:tblW w:w="9345" w:type="dxa"/>
        <w:tblInd w:w="7" w:type="dxa"/>
        <w:tblCellMar>
          <w:top w:w="6" w:type="dxa"/>
          <w:left w:w="106" w:type="dxa"/>
          <w:bottom w:w="0" w:type="dxa"/>
          <w:right w:w="55" w:type="dxa"/>
        </w:tblCellMar>
        <w:tblLook w:val="04A0" w:firstRow="1" w:lastRow="0" w:firstColumn="1" w:lastColumn="0" w:noHBand="0" w:noVBand="1"/>
      </w:tblPr>
      <w:tblGrid>
        <w:gridCol w:w="442"/>
        <w:gridCol w:w="3749"/>
        <w:gridCol w:w="1772"/>
        <w:gridCol w:w="1954"/>
        <w:gridCol w:w="1428"/>
      </w:tblGrid>
      <w:tr w:rsidR="007F750E">
        <w:trPr>
          <w:trHeight w:val="1023"/>
        </w:trPr>
        <w:tc>
          <w:tcPr>
            <w:tcW w:w="442" w:type="dxa"/>
            <w:tcBorders>
              <w:top w:val="single" w:sz="4" w:space="0" w:color="000000"/>
              <w:left w:val="single" w:sz="4" w:space="0" w:color="000000"/>
              <w:bottom w:val="single" w:sz="4" w:space="0" w:color="000000"/>
              <w:right w:val="single" w:sz="4" w:space="0" w:color="000000"/>
            </w:tcBorders>
          </w:tcPr>
          <w:p w:rsidR="007F750E" w:rsidRDefault="007F750E">
            <w:pPr>
              <w:spacing w:after="160" w:line="259" w:lineRule="auto"/>
              <w:ind w:left="0" w:firstLine="0"/>
              <w:jc w:val="left"/>
            </w:pPr>
          </w:p>
        </w:tc>
        <w:tc>
          <w:tcPr>
            <w:tcW w:w="3749"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 xml:space="preserve">тромбоцитопению при тяжелой тромбоцитопении и/или наличии геморрагического синдрома умеренной и выше степени  </w:t>
            </w:r>
          </w:p>
        </w:tc>
        <w:tc>
          <w:tcPr>
            <w:tcW w:w="1772" w:type="dxa"/>
            <w:tcBorders>
              <w:top w:val="single" w:sz="4" w:space="0" w:color="000000"/>
              <w:left w:val="single" w:sz="4" w:space="0" w:color="000000"/>
              <w:bottom w:val="single" w:sz="4" w:space="0" w:color="000000"/>
              <w:right w:val="single" w:sz="4" w:space="0" w:color="000000"/>
            </w:tcBorders>
          </w:tcPr>
          <w:p w:rsidR="007F750E" w:rsidRDefault="007F750E">
            <w:pPr>
              <w:spacing w:after="160" w:line="259" w:lineRule="auto"/>
              <w:ind w:left="0" w:firstLine="0"/>
              <w:jc w:val="left"/>
            </w:pPr>
          </w:p>
        </w:tc>
        <w:tc>
          <w:tcPr>
            <w:tcW w:w="1954" w:type="dxa"/>
            <w:tcBorders>
              <w:top w:val="single" w:sz="4" w:space="0" w:color="000000"/>
              <w:left w:val="single" w:sz="4" w:space="0" w:color="000000"/>
              <w:bottom w:val="single" w:sz="4" w:space="0" w:color="000000"/>
              <w:right w:val="single" w:sz="4" w:space="0" w:color="000000"/>
            </w:tcBorders>
          </w:tcPr>
          <w:p w:rsidR="007F750E" w:rsidRDefault="007F750E">
            <w:pPr>
              <w:spacing w:after="160" w:line="259" w:lineRule="auto"/>
              <w:ind w:left="0" w:firstLine="0"/>
              <w:jc w:val="left"/>
            </w:pPr>
          </w:p>
        </w:tc>
        <w:tc>
          <w:tcPr>
            <w:tcW w:w="1428" w:type="dxa"/>
            <w:tcBorders>
              <w:top w:val="single" w:sz="4" w:space="0" w:color="000000"/>
              <w:left w:val="single" w:sz="4" w:space="0" w:color="000000"/>
              <w:bottom w:val="single" w:sz="4" w:space="0" w:color="000000"/>
              <w:right w:val="single" w:sz="4" w:space="0" w:color="000000"/>
            </w:tcBorders>
          </w:tcPr>
          <w:p w:rsidR="007F750E" w:rsidRDefault="007F750E">
            <w:pPr>
              <w:spacing w:after="160" w:line="259" w:lineRule="auto"/>
              <w:ind w:left="0" w:firstLine="0"/>
              <w:jc w:val="left"/>
            </w:pPr>
          </w:p>
        </w:tc>
      </w:tr>
      <w:tr w:rsidR="007F750E">
        <w:trPr>
          <w:trHeight w:val="1783"/>
        </w:trPr>
        <w:tc>
          <w:tcPr>
            <w:tcW w:w="44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8 </w:t>
            </w:r>
          </w:p>
        </w:tc>
        <w:tc>
          <w:tcPr>
            <w:tcW w:w="3749" w:type="dxa"/>
            <w:tcBorders>
              <w:top w:val="single" w:sz="4" w:space="0" w:color="000000"/>
              <w:left w:val="single" w:sz="4" w:space="0" w:color="000000"/>
              <w:bottom w:val="single" w:sz="6" w:space="0" w:color="000000"/>
              <w:right w:val="single" w:sz="4" w:space="0" w:color="000000"/>
            </w:tcBorders>
          </w:tcPr>
          <w:p w:rsidR="007F750E" w:rsidRDefault="00780135">
            <w:pPr>
              <w:spacing w:after="0" w:line="259" w:lineRule="auto"/>
              <w:ind w:left="0" w:firstLine="0"/>
              <w:jc w:val="left"/>
            </w:pPr>
            <w:r>
              <w:rPr>
                <w:sz w:val="22"/>
              </w:rPr>
              <w:t>Выполнен прием (осмотр, консультация) врача-</w:t>
            </w:r>
            <w:r>
              <w:rPr>
                <w:sz w:val="22"/>
              </w:rPr>
              <w:t>невролога первичный новорожденным с внутричерепным кровотечением или подозрением на внутричерепное кровотечение, обусловленном тромбоцитопенией</w:t>
            </w:r>
            <w:r>
              <w:t xml:space="preserve"> </w:t>
            </w:r>
          </w:p>
        </w:tc>
        <w:tc>
          <w:tcPr>
            <w:tcW w:w="177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B01.023.001</w:t>
            </w:r>
            <w:r>
              <w:rPr>
                <w:i/>
              </w:rPr>
              <w:t xml:space="preserve"> </w:t>
            </w:r>
          </w:p>
          <w:p w:rsidR="007F750E" w:rsidRDefault="00780135">
            <w:pPr>
              <w:spacing w:after="0" w:line="259" w:lineRule="auto"/>
              <w:ind w:firstLine="0"/>
              <w:jc w:val="center"/>
            </w:pPr>
            <w:r>
              <w:t xml:space="preserve"> </w:t>
            </w:r>
          </w:p>
        </w:tc>
        <w:tc>
          <w:tcPr>
            <w:tcW w:w="1954"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 xml:space="preserve">Не применимо </w:t>
            </w:r>
          </w:p>
        </w:tc>
        <w:tc>
          <w:tcPr>
            <w:tcW w:w="1428"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Да/Нет </w:t>
            </w:r>
          </w:p>
        </w:tc>
      </w:tr>
      <w:tr w:rsidR="007F750E">
        <w:trPr>
          <w:trHeight w:val="1534"/>
        </w:trPr>
        <w:tc>
          <w:tcPr>
            <w:tcW w:w="442" w:type="dxa"/>
            <w:tcBorders>
              <w:top w:val="single" w:sz="4" w:space="0" w:color="000000"/>
              <w:left w:val="single" w:sz="4" w:space="0" w:color="000000"/>
              <w:bottom w:val="single" w:sz="4" w:space="0" w:color="000000"/>
              <w:right w:val="single" w:sz="6" w:space="0" w:color="000000"/>
            </w:tcBorders>
          </w:tcPr>
          <w:p w:rsidR="007F750E" w:rsidRDefault="00780135">
            <w:pPr>
              <w:spacing w:after="0" w:line="259" w:lineRule="auto"/>
              <w:ind w:left="2" w:firstLine="0"/>
              <w:jc w:val="left"/>
            </w:pPr>
            <w:r>
              <w:rPr>
                <w:sz w:val="22"/>
              </w:rPr>
              <w:t xml:space="preserve">9 </w:t>
            </w:r>
          </w:p>
        </w:tc>
        <w:tc>
          <w:tcPr>
            <w:tcW w:w="3749" w:type="dxa"/>
            <w:tcBorders>
              <w:top w:val="single" w:sz="6" w:space="0" w:color="000000"/>
              <w:left w:val="single" w:sz="6" w:space="0" w:color="000000"/>
              <w:bottom w:val="single" w:sz="6" w:space="0" w:color="000000"/>
              <w:right w:val="single" w:sz="6" w:space="0" w:color="000000"/>
            </w:tcBorders>
          </w:tcPr>
          <w:p w:rsidR="007F750E" w:rsidRDefault="00780135">
            <w:pPr>
              <w:spacing w:after="0" w:line="259" w:lineRule="auto"/>
              <w:ind w:left="0" w:right="54" w:firstLine="0"/>
            </w:pPr>
            <w:r>
              <w:rPr>
                <w:noProof/>
              </w:rPr>
              <w:drawing>
                <wp:anchor distT="0" distB="0" distL="114300" distR="114300" simplePos="0" relativeHeight="251663360" behindDoc="0" locked="0" layoutInCell="1" allowOverlap="0">
                  <wp:simplePos x="0" y="0"/>
                  <wp:positionH relativeFrom="column">
                    <wp:posOffset>2012442</wp:posOffset>
                  </wp:positionH>
                  <wp:positionV relativeFrom="paragraph">
                    <wp:posOffset>76640</wp:posOffset>
                  </wp:positionV>
                  <wp:extent cx="48768" cy="64008"/>
                  <wp:effectExtent l="0" t="0" r="0" b="0"/>
                  <wp:wrapSquare wrapText="bothSides"/>
                  <wp:docPr id="54104" name="Picture 54104"/>
                  <wp:cNvGraphicFramePr/>
                  <a:graphic xmlns:a="http://schemas.openxmlformats.org/drawingml/2006/main">
                    <a:graphicData uri="http://schemas.openxmlformats.org/drawingml/2006/picture">
                      <pic:pic xmlns:pic="http://schemas.openxmlformats.org/drawingml/2006/picture">
                        <pic:nvPicPr>
                          <pic:cNvPr id="54104" name="Picture 54104"/>
                          <pic:cNvPicPr/>
                        </pic:nvPicPr>
                        <pic:blipFill>
                          <a:blip r:embed="rId15"/>
                          <a:stretch>
                            <a:fillRect/>
                          </a:stretch>
                        </pic:blipFill>
                        <pic:spPr>
                          <a:xfrm>
                            <a:off x="0" y="0"/>
                            <a:ext cx="48768" cy="64008"/>
                          </a:xfrm>
                          <a:prstGeom prst="rect">
                            <a:avLst/>
                          </a:prstGeom>
                        </pic:spPr>
                      </pic:pic>
                    </a:graphicData>
                  </a:graphic>
                </wp:anchor>
              </w:drawing>
            </w:r>
            <w:r>
              <w:rPr>
                <w:sz w:val="22"/>
              </w:rPr>
              <w:t xml:space="preserve">Достигнута нормализация числа тромбоцитов (не менее 150×10 /л) или повышение числа тромбоцитов в динамике по данным общего (клинического) анализа крови развернутого на момент выписки </w:t>
            </w:r>
          </w:p>
        </w:tc>
        <w:tc>
          <w:tcPr>
            <w:tcW w:w="1772" w:type="dxa"/>
            <w:tcBorders>
              <w:top w:val="single" w:sz="4" w:space="0" w:color="000000"/>
              <w:left w:val="single" w:sz="6"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Не применимо </w:t>
            </w:r>
          </w:p>
        </w:tc>
        <w:tc>
          <w:tcPr>
            <w:tcW w:w="1954"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 xml:space="preserve">Не применимо </w:t>
            </w:r>
          </w:p>
        </w:tc>
        <w:tc>
          <w:tcPr>
            <w:tcW w:w="1428"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Да/Нет </w:t>
            </w:r>
          </w:p>
        </w:tc>
      </w:tr>
      <w:tr w:rsidR="007F750E">
        <w:trPr>
          <w:trHeight w:val="1028"/>
        </w:trPr>
        <w:tc>
          <w:tcPr>
            <w:tcW w:w="442" w:type="dxa"/>
            <w:tcBorders>
              <w:top w:val="single" w:sz="4" w:space="0" w:color="000000"/>
              <w:left w:val="single" w:sz="4" w:space="0" w:color="000000"/>
              <w:bottom w:val="single" w:sz="4" w:space="0" w:color="000000"/>
              <w:right w:val="single" w:sz="6" w:space="0" w:color="000000"/>
            </w:tcBorders>
          </w:tcPr>
          <w:p w:rsidR="007F750E" w:rsidRDefault="00780135">
            <w:pPr>
              <w:spacing w:after="0" w:line="259" w:lineRule="auto"/>
              <w:ind w:left="2" w:firstLine="0"/>
              <w:jc w:val="left"/>
            </w:pPr>
            <w:r>
              <w:rPr>
                <w:sz w:val="22"/>
              </w:rPr>
              <w:t xml:space="preserve">10 </w:t>
            </w:r>
          </w:p>
        </w:tc>
        <w:tc>
          <w:tcPr>
            <w:tcW w:w="3749" w:type="dxa"/>
            <w:tcBorders>
              <w:top w:val="single" w:sz="6" w:space="0" w:color="000000"/>
              <w:left w:val="single" w:sz="6" w:space="0" w:color="000000"/>
              <w:bottom w:val="single" w:sz="6" w:space="0" w:color="000000"/>
              <w:right w:val="single" w:sz="6" w:space="0" w:color="000000"/>
            </w:tcBorders>
          </w:tcPr>
          <w:p w:rsidR="007F750E" w:rsidRDefault="00780135">
            <w:pPr>
              <w:spacing w:after="0" w:line="239" w:lineRule="auto"/>
              <w:ind w:left="0" w:firstLine="0"/>
            </w:pPr>
            <w:r>
              <w:rPr>
                <w:sz w:val="22"/>
              </w:rPr>
              <w:t xml:space="preserve">Достигнуто купирование геморрагического синдрома </w:t>
            </w:r>
          </w:p>
          <w:p w:rsidR="007F750E" w:rsidRDefault="00780135">
            <w:pPr>
              <w:spacing w:after="0" w:line="259" w:lineRule="auto"/>
              <w:ind w:left="0" w:firstLine="0"/>
            </w:pPr>
            <w:r>
              <w:rPr>
                <w:sz w:val="22"/>
              </w:rPr>
              <w:t xml:space="preserve">(отсутствие тромбоцитопенического кровотечения) на момент выписки </w:t>
            </w:r>
          </w:p>
        </w:tc>
        <w:tc>
          <w:tcPr>
            <w:tcW w:w="1772" w:type="dxa"/>
            <w:tcBorders>
              <w:top w:val="single" w:sz="4" w:space="0" w:color="000000"/>
              <w:left w:val="single" w:sz="6"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Не применимо </w:t>
            </w:r>
          </w:p>
        </w:tc>
        <w:tc>
          <w:tcPr>
            <w:tcW w:w="1954"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 xml:space="preserve">Не применимо </w:t>
            </w:r>
          </w:p>
        </w:tc>
        <w:tc>
          <w:tcPr>
            <w:tcW w:w="1428"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Да/Нет </w:t>
            </w:r>
          </w:p>
        </w:tc>
      </w:tr>
      <w:tr w:rsidR="007F750E">
        <w:trPr>
          <w:trHeight w:val="2038"/>
        </w:trPr>
        <w:tc>
          <w:tcPr>
            <w:tcW w:w="442" w:type="dxa"/>
            <w:tcBorders>
              <w:top w:val="single" w:sz="4" w:space="0" w:color="000000"/>
              <w:left w:val="single" w:sz="4" w:space="0" w:color="000000"/>
              <w:bottom w:val="single" w:sz="4" w:space="0" w:color="000000"/>
              <w:right w:val="single" w:sz="6" w:space="0" w:color="000000"/>
            </w:tcBorders>
          </w:tcPr>
          <w:p w:rsidR="007F750E" w:rsidRDefault="00780135">
            <w:pPr>
              <w:spacing w:after="0" w:line="259" w:lineRule="auto"/>
              <w:ind w:left="2" w:firstLine="0"/>
              <w:jc w:val="left"/>
            </w:pPr>
            <w:r>
              <w:rPr>
                <w:rFonts w:ascii="Calibri" w:eastAsia="Calibri" w:hAnsi="Calibri" w:cs="Calibri"/>
                <w:sz w:val="22"/>
              </w:rPr>
              <w:t xml:space="preserve">11 </w:t>
            </w:r>
          </w:p>
        </w:tc>
        <w:tc>
          <w:tcPr>
            <w:tcW w:w="3749" w:type="dxa"/>
            <w:tcBorders>
              <w:top w:val="single" w:sz="6" w:space="0" w:color="000000"/>
              <w:left w:val="single" w:sz="6" w:space="0" w:color="000000"/>
              <w:bottom w:val="single" w:sz="6" w:space="0" w:color="000000"/>
              <w:right w:val="single" w:sz="6" w:space="0" w:color="000000"/>
            </w:tcBorders>
          </w:tcPr>
          <w:p w:rsidR="007F750E" w:rsidRDefault="00780135">
            <w:pPr>
              <w:spacing w:after="0" w:line="259" w:lineRule="auto"/>
              <w:ind w:left="0" w:right="53" w:firstLine="0"/>
            </w:pPr>
            <w:r>
              <w:rPr>
                <w:sz w:val="22"/>
              </w:rPr>
              <w:t xml:space="preserve">Достигнуто повышение числа тромбоцитов по данным общего (клинического) </w:t>
            </w:r>
            <w:r>
              <w:rPr>
                <w:sz w:val="22"/>
              </w:rPr>
              <w:t xml:space="preserve">анализа крови развернутого после трансфузии концентрата тромбоцитов лейкоредуцированного (при проведении трансфузии) при неиммунной тромбоцитопении </w:t>
            </w:r>
          </w:p>
        </w:tc>
        <w:tc>
          <w:tcPr>
            <w:tcW w:w="1772" w:type="dxa"/>
            <w:tcBorders>
              <w:top w:val="single" w:sz="4" w:space="0" w:color="000000"/>
              <w:left w:val="single" w:sz="6"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Не применимо </w:t>
            </w:r>
          </w:p>
        </w:tc>
        <w:tc>
          <w:tcPr>
            <w:tcW w:w="1954"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Не применимо</w:t>
            </w:r>
            <w:r>
              <w:rPr>
                <w:rFonts w:ascii="Calibri" w:eastAsia="Calibri" w:hAnsi="Calibri" w:cs="Calibri"/>
                <w:sz w:val="22"/>
              </w:rPr>
              <w:t xml:space="preserve"> </w:t>
            </w:r>
          </w:p>
        </w:tc>
        <w:tc>
          <w:tcPr>
            <w:tcW w:w="1428"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Да/Нет</w:t>
            </w:r>
            <w:r>
              <w:rPr>
                <w:rFonts w:ascii="Calibri" w:eastAsia="Calibri" w:hAnsi="Calibri" w:cs="Calibri"/>
                <w:sz w:val="22"/>
              </w:rPr>
              <w:t xml:space="preserve"> </w:t>
            </w:r>
          </w:p>
        </w:tc>
      </w:tr>
      <w:tr w:rsidR="007F750E">
        <w:trPr>
          <w:trHeight w:val="2295"/>
        </w:trPr>
        <w:tc>
          <w:tcPr>
            <w:tcW w:w="442" w:type="dxa"/>
            <w:tcBorders>
              <w:top w:val="single" w:sz="4" w:space="0" w:color="000000"/>
              <w:left w:val="single" w:sz="4" w:space="0" w:color="000000"/>
              <w:bottom w:val="single" w:sz="4" w:space="0" w:color="000000"/>
              <w:right w:val="single" w:sz="6" w:space="0" w:color="000000"/>
            </w:tcBorders>
          </w:tcPr>
          <w:p w:rsidR="007F750E" w:rsidRDefault="00780135">
            <w:pPr>
              <w:spacing w:after="0" w:line="259" w:lineRule="auto"/>
              <w:ind w:left="2" w:firstLine="0"/>
              <w:jc w:val="left"/>
            </w:pPr>
            <w:r>
              <w:rPr>
                <w:sz w:val="22"/>
              </w:rPr>
              <w:t xml:space="preserve">12 </w:t>
            </w:r>
          </w:p>
        </w:tc>
        <w:tc>
          <w:tcPr>
            <w:tcW w:w="3749" w:type="dxa"/>
            <w:tcBorders>
              <w:top w:val="single" w:sz="6" w:space="0" w:color="000000"/>
              <w:left w:val="single" w:sz="6" w:space="0" w:color="000000"/>
              <w:bottom w:val="single" w:sz="6" w:space="0" w:color="000000"/>
              <w:right w:val="single" w:sz="6" w:space="0" w:color="000000"/>
            </w:tcBorders>
          </w:tcPr>
          <w:p w:rsidR="007F750E" w:rsidRDefault="00780135">
            <w:pPr>
              <w:spacing w:after="36" w:line="243" w:lineRule="auto"/>
              <w:ind w:left="0" w:right="53" w:firstLine="0"/>
            </w:pPr>
            <w:r>
              <w:rPr>
                <w:sz w:val="22"/>
              </w:rPr>
              <w:t xml:space="preserve">Достигнуто повышение числа тромбоцитов по данным общего (клинического) анализа крови развернутого на фоне введения #иммуноглобулина человека нормального** и/или трансфузии концентрата тромбоцитов лейкоредуцированного при </w:t>
            </w:r>
          </w:p>
          <w:p w:rsidR="007F750E" w:rsidRDefault="00780135">
            <w:pPr>
              <w:spacing w:after="0" w:line="259" w:lineRule="auto"/>
              <w:ind w:left="0" w:firstLine="0"/>
              <w:jc w:val="left"/>
            </w:pPr>
            <w:r>
              <w:rPr>
                <w:sz w:val="22"/>
              </w:rPr>
              <w:t xml:space="preserve">иммунной тромбоцитопении </w:t>
            </w:r>
          </w:p>
        </w:tc>
        <w:tc>
          <w:tcPr>
            <w:tcW w:w="1772" w:type="dxa"/>
            <w:tcBorders>
              <w:top w:val="single" w:sz="4" w:space="0" w:color="000000"/>
              <w:left w:val="single" w:sz="6"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Не приме</w:t>
            </w:r>
            <w:r>
              <w:rPr>
                <w:sz w:val="22"/>
              </w:rPr>
              <w:t xml:space="preserve">нимо </w:t>
            </w:r>
          </w:p>
        </w:tc>
        <w:tc>
          <w:tcPr>
            <w:tcW w:w="1954"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rPr>
                <w:sz w:val="22"/>
              </w:rPr>
              <w:t xml:space="preserve">Не применимо </w:t>
            </w:r>
          </w:p>
        </w:tc>
        <w:tc>
          <w:tcPr>
            <w:tcW w:w="1428"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2" w:firstLine="0"/>
              <w:jc w:val="left"/>
            </w:pPr>
            <w:r>
              <w:rPr>
                <w:sz w:val="22"/>
              </w:rPr>
              <w:t xml:space="preserve">Да/Нет </w:t>
            </w:r>
          </w:p>
        </w:tc>
      </w:tr>
    </w:tbl>
    <w:p w:rsidR="007F750E" w:rsidRDefault="00780135">
      <w:pPr>
        <w:pStyle w:val="Heading1"/>
        <w:ind w:right="57"/>
      </w:pPr>
      <w:r>
        <w:t xml:space="preserve">Список литературы </w:t>
      </w:r>
    </w:p>
    <w:p w:rsidR="007F750E" w:rsidRDefault="00780135">
      <w:pPr>
        <w:numPr>
          <w:ilvl w:val="0"/>
          <w:numId w:val="19"/>
        </w:numPr>
        <w:spacing w:after="158" w:line="259" w:lineRule="auto"/>
        <w:ind w:right="49" w:firstLine="283"/>
      </w:pPr>
      <w:r>
        <w:t xml:space="preserve">Неонатология: национальное руководство: в 2т./под ред. Н.Н. Володина, Д.Н. </w:t>
      </w:r>
    </w:p>
    <w:p w:rsidR="007F750E" w:rsidRDefault="00780135">
      <w:pPr>
        <w:spacing w:after="115" w:line="259" w:lineRule="auto"/>
        <w:ind w:left="-5" w:right="49"/>
      </w:pPr>
      <w:r>
        <w:t xml:space="preserve">Дегтярева. – ГОЭТАР-Медиа.2023. </w:t>
      </w:r>
    </w:p>
    <w:p w:rsidR="007F750E" w:rsidRDefault="00780135">
      <w:pPr>
        <w:numPr>
          <w:ilvl w:val="0"/>
          <w:numId w:val="19"/>
        </w:numPr>
        <w:ind w:right="49" w:firstLine="283"/>
      </w:pPr>
      <w:r>
        <w:t xml:space="preserve">Alan T. Nurden and PaquitaNurden Inherited thrombocytopenias: history, advances and perspectivesHaematologica 2020 Volume 105(8):2004-2019 </w:t>
      </w:r>
    </w:p>
    <w:p w:rsidR="007F750E" w:rsidRDefault="00780135">
      <w:pPr>
        <w:numPr>
          <w:ilvl w:val="0"/>
          <w:numId w:val="19"/>
        </w:numPr>
        <w:spacing w:after="117" w:line="259" w:lineRule="auto"/>
        <w:ind w:right="49" w:firstLine="283"/>
      </w:pPr>
      <w:r>
        <w:t xml:space="preserve">Baer, V. L., Lambert, D. K., Henry, E., &amp; Christensen, R. D. (2009). Severe </w:t>
      </w:r>
    </w:p>
    <w:p w:rsidR="007F750E" w:rsidRDefault="00780135">
      <w:pPr>
        <w:ind w:left="-5" w:right="49"/>
      </w:pPr>
      <w:r>
        <w:t xml:space="preserve">Thrombocytopenia in the NICU. PEDIATRICS, 124(6), e1095–e1100. doi:10.1542/peds.20090582 </w:t>
      </w:r>
    </w:p>
    <w:p w:rsidR="007F750E" w:rsidRDefault="00780135">
      <w:pPr>
        <w:numPr>
          <w:ilvl w:val="0"/>
          <w:numId w:val="19"/>
        </w:numPr>
        <w:ind w:right="49" w:firstLine="283"/>
      </w:pPr>
      <w:r>
        <w:t>Ram R. Kalagiri, SaiaraChoudhury,  Timothy Carder, Vinayak Govande, Madhava R. Beeram, Nasir Uddin, Neonatal Thrombocytopenia as a Consequence of Maternal Preeclampsi</w:t>
      </w:r>
      <w:r>
        <w:t xml:space="preserve">a Am J Perinatol Rep 2016;6:e42–e47 </w:t>
      </w:r>
    </w:p>
    <w:p w:rsidR="007F750E" w:rsidRDefault="00780135">
      <w:pPr>
        <w:numPr>
          <w:ilvl w:val="0"/>
          <w:numId w:val="19"/>
        </w:numPr>
        <w:ind w:right="49" w:firstLine="283"/>
      </w:pPr>
      <w:r>
        <w:t xml:space="preserve">Donato H. Neonatal thrombocytopenia: A review. I. Definitions, differential diagnosis, causes, immune thrombocytopenias. Arch Argent Pediatr 2021;119(3):e202-e214 </w:t>
      </w:r>
    </w:p>
    <w:p w:rsidR="007F750E" w:rsidRDefault="00780135">
      <w:pPr>
        <w:numPr>
          <w:ilvl w:val="0"/>
          <w:numId w:val="19"/>
        </w:numPr>
        <w:ind w:right="49" w:firstLine="283"/>
      </w:pPr>
      <w:r>
        <w:t>Simon J. Stanworth and Andrew D. Mumford How I diagnose</w:t>
      </w:r>
      <w:r>
        <w:t xml:space="preserve"> and treat neonatal thrombocytopenia. Blood. 2686 1 JUNE 2023 | VOLUME 141, NUMBER 22. p 2685-2697 </w:t>
      </w:r>
    </w:p>
    <w:p w:rsidR="007F750E" w:rsidRDefault="00780135">
      <w:pPr>
        <w:numPr>
          <w:ilvl w:val="0"/>
          <w:numId w:val="19"/>
        </w:numPr>
        <w:spacing w:after="117" w:line="259" w:lineRule="auto"/>
        <w:ind w:right="49" w:firstLine="283"/>
      </w:pPr>
      <w:r>
        <w:t xml:space="preserve">Roberts I, Chakravorty S. Thrombocytopenia in the newborn. In: Platelets. 4th Ed.Academic </w:t>
      </w:r>
    </w:p>
    <w:p w:rsidR="007F750E" w:rsidRDefault="00780135">
      <w:pPr>
        <w:spacing w:after="112" w:line="259" w:lineRule="auto"/>
        <w:ind w:left="-5" w:right="49"/>
      </w:pPr>
      <w:r>
        <w:t xml:space="preserve">Press; 2019:813-831 </w:t>
      </w:r>
    </w:p>
    <w:p w:rsidR="007F750E" w:rsidRDefault="00780135">
      <w:pPr>
        <w:numPr>
          <w:ilvl w:val="0"/>
          <w:numId w:val="19"/>
        </w:numPr>
        <w:ind w:right="49" w:firstLine="283"/>
      </w:pPr>
      <w:r>
        <w:t>Mishra S, Jaiswar S, Saad S, et al. Platelet</w:t>
      </w:r>
      <w:r>
        <w:t xml:space="preserve"> indices as a predictive marker in neonatal sepsis and respiratory distress in preterm prelabor rupture of membranes. Int J Hematol. 2021;113(2):199-206 </w:t>
      </w:r>
    </w:p>
    <w:p w:rsidR="007F750E" w:rsidRDefault="00780135">
      <w:pPr>
        <w:numPr>
          <w:ilvl w:val="0"/>
          <w:numId w:val="19"/>
        </w:numPr>
        <w:ind w:right="49" w:firstLine="283"/>
      </w:pPr>
      <w:r>
        <w:t>Boskabadi H, Mafinezhad S, Bagher F, Bozorgnia Y. Incidence of Thrombocytopenia in Idiopathic Hyperbil</w:t>
      </w:r>
      <w:r>
        <w:t xml:space="preserve">irubinemic Newborns. OA Maced J Med Sci. 2014 Jun 15; 2(2):261-264. http://dx.doi.org/oamjms.2014.043   </w:t>
      </w:r>
    </w:p>
    <w:p w:rsidR="007F750E" w:rsidRDefault="00780135">
      <w:pPr>
        <w:numPr>
          <w:ilvl w:val="0"/>
          <w:numId w:val="19"/>
        </w:numPr>
        <w:ind w:right="49" w:firstLine="283"/>
      </w:pPr>
      <w:r>
        <w:t>EzgiUlusoy,  ÖzlemTüfekçi,  NurayDuman,  Abdullah Kumral,  Gülersuİrken, Hale Ören, Thrombocytopenia in neonates: causes and outcomes Ann Hematol (2013</w:t>
      </w:r>
      <w:r>
        <w:t xml:space="preserve">) 92:961–967 DOI 10.1007/s00277-013-1726-0 </w:t>
      </w:r>
    </w:p>
    <w:p w:rsidR="007F750E" w:rsidRDefault="00780135">
      <w:pPr>
        <w:ind w:left="-15" w:right="49" w:firstLine="283"/>
      </w:pPr>
      <w:r>
        <w:t>11 Zdravic, D., Yougbare, I., Vadasz, B., Li, C., Marshall, A. H., Chen, P., Ni, H. (2016). Fetal and neonatal alloimmune thrombocytopenia. Seminars in Fetal and Neonatal Medicine, 21(1), 19–</w:t>
      </w:r>
    </w:p>
    <w:p w:rsidR="007F750E" w:rsidRDefault="00780135">
      <w:pPr>
        <w:spacing w:after="113" w:line="259" w:lineRule="auto"/>
        <w:ind w:left="-5" w:right="49"/>
      </w:pPr>
      <w:r>
        <w:t>27. doi:10.1016/j.si</w:t>
      </w:r>
      <w:r>
        <w:t xml:space="preserve">ny.2015.12.00 </w:t>
      </w:r>
    </w:p>
    <w:p w:rsidR="007F750E" w:rsidRDefault="00780135">
      <w:pPr>
        <w:numPr>
          <w:ilvl w:val="0"/>
          <w:numId w:val="20"/>
        </w:numPr>
        <w:spacing w:after="27"/>
        <w:ind w:right="49" w:firstLine="283"/>
      </w:pPr>
      <w:r>
        <w:t xml:space="preserve">Василевский И.В. Вторичные (симптоматические) тромбоцитопении у детей и подростков / И.В. Василевский // Медицинская панорама. — 2009. — № 4. — С.5—10). </w:t>
      </w:r>
    </w:p>
    <w:p w:rsidR="007F750E" w:rsidRDefault="00780135">
      <w:pPr>
        <w:numPr>
          <w:ilvl w:val="0"/>
          <w:numId w:val="20"/>
        </w:numPr>
        <w:ind w:right="49" w:firstLine="283"/>
      </w:pPr>
      <w:r>
        <w:t>Sola-Visner M, Sallmon H, Brown R. New insights into the mechanisms of nonimmune thromb</w:t>
      </w:r>
      <w:r>
        <w:t xml:space="preserve">ocytopenia in neonates. Seminars in Perinatology. 2009;33:43.   </w:t>
      </w:r>
    </w:p>
    <w:p w:rsidR="007F750E" w:rsidRDefault="00780135">
      <w:pPr>
        <w:numPr>
          <w:ilvl w:val="0"/>
          <w:numId w:val="20"/>
        </w:numPr>
        <w:spacing w:after="117" w:line="259" w:lineRule="auto"/>
        <w:ind w:right="49" w:firstLine="283"/>
      </w:pPr>
      <w:r>
        <w:t xml:space="preserve">Arnold DA. Drug-induced immune thrombocytopenia. UpToDate. 2020. Available from: </w:t>
      </w:r>
    </w:p>
    <w:p w:rsidR="007F750E" w:rsidRDefault="00780135">
      <w:pPr>
        <w:spacing w:line="259" w:lineRule="auto"/>
        <w:ind w:left="-5" w:right="49"/>
      </w:pPr>
      <w:r>
        <w:t xml:space="preserve">https://www.uptodate. com/contents/drug-induced-immunethrombocytopenia).  </w:t>
      </w:r>
    </w:p>
    <w:p w:rsidR="007F750E" w:rsidRDefault="00780135">
      <w:pPr>
        <w:numPr>
          <w:ilvl w:val="0"/>
          <w:numId w:val="20"/>
        </w:numPr>
        <w:ind w:right="49" w:firstLine="283"/>
      </w:pPr>
      <w:r>
        <w:t xml:space="preserve">Reese JA, Nguyen LP, Buchanan </w:t>
      </w:r>
      <w:r>
        <w:t xml:space="preserve">GR, et al. Drug-induced thrombocytopenia in children. Pediatric Blood &amp; Cancer. 2013;60:1975). </w:t>
      </w:r>
    </w:p>
    <w:p w:rsidR="007F750E" w:rsidRDefault="00780135">
      <w:pPr>
        <w:numPr>
          <w:ilvl w:val="0"/>
          <w:numId w:val="20"/>
        </w:numPr>
        <w:ind w:right="49" w:firstLine="283"/>
      </w:pPr>
      <w:r>
        <w:t>Mella M.T., Eddleman K.A. Neonatal alloimmune thrombocytopenia // International Journal of Clinical Transfusion Medicine. 8 June 2015 Volume 2015:3 Pages 29-40.</w:t>
      </w:r>
      <w:r>
        <w:t xml:space="preserve"> </w:t>
      </w:r>
    </w:p>
    <w:p w:rsidR="007F750E" w:rsidRDefault="00780135">
      <w:pPr>
        <w:numPr>
          <w:ilvl w:val="0"/>
          <w:numId w:val="20"/>
        </w:numPr>
        <w:ind w:right="49" w:firstLine="283"/>
      </w:pPr>
      <w:r>
        <w:t xml:space="preserve">Goel R, Josephson CD. Recent advances in transfusions in neonates/infants. F1000Res. 2018;7;F1000 Faculty Rev-609 Faculty Rev-609.  </w:t>
      </w:r>
    </w:p>
    <w:p w:rsidR="007F750E" w:rsidRDefault="00780135">
      <w:pPr>
        <w:numPr>
          <w:ilvl w:val="0"/>
          <w:numId w:val="20"/>
        </w:numPr>
        <w:spacing w:after="117" w:line="259" w:lineRule="auto"/>
        <w:ind w:right="49" w:firstLine="283"/>
      </w:pPr>
      <w:r>
        <w:t xml:space="preserve">Neonatal Hematology, Pathogenesis, Diagnosis, and Management of Hematologic </w:t>
      </w:r>
    </w:p>
    <w:p w:rsidR="007F750E" w:rsidRDefault="00780135">
      <w:pPr>
        <w:spacing w:after="156" w:line="259" w:lineRule="auto"/>
        <w:ind w:left="-5" w:right="49"/>
      </w:pPr>
      <w:r>
        <w:t>Problems, 3rd edition, ed. Pedro A. de Alarc</w:t>
      </w:r>
      <w:r>
        <w:t xml:space="preserve">ón, Eric J. Werner, Robert D. Christensen, and Martha </w:t>
      </w:r>
    </w:p>
    <w:p w:rsidR="007F750E" w:rsidRDefault="00780135">
      <w:pPr>
        <w:spacing w:after="115" w:line="259" w:lineRule="auto"/>
        <w:ind w:left="-5" w:right="49"/>
      </w:pPr>
      <w:r>
        <w:t xml:space="preserve">C. Sola-Visner. Published by Cambridge University Press. © Cambridge University Press 2021. </w:t>
      </w:r>
    </w:p>
    <w:p w:rsidR="007F750E" w:rsidRDefault="00780135">
      <w:pPr>
        <w:numPr>
          <w:ilvl w:val="0"/>
          <w:numId w:val="21"/>
        </w:numPr>
        <w:ind w:right="49" w:firstLine="283"/>
      </w:pPr>
      <w:r>
        <w:t xml:space="preserve">Roberts I., Murray N.A. Neonatal thrombocytopenia: causes and management. Arch Dis Child Fetal Neonatal Ed. </w:t>
      </w:r>
      <w:r>
        <w:t xml:space="preserve">2003; 88: 359–64.Roberts I.A.G </w:t>
      </w:r>
    </w:p>
    <w:p w:rsidR="007F750E" w:rsidRDefault="00780135">
      <w:pPr>
        <w:numPr>
          <w:ilvl w:val="0"/>
          <w:numId w:val="21"/>
        </w:numPr>
        <w:ind w:right="49" w:firstLine="283"/>
      </w:pPr>
      <w:r>
        <w:t xml:space="preserve">Chakravotny S. Thrombocytopenia in the newborn. Platelets. (Michelson AD, editor). Amsterdam, Boston, Heidelberg et al. Elsivier.: Academic Press. 2013: 929–52.  </w:t>
      </w:r>
    </w:p>
    <w:p w:rsidR="007F750E" w:rsidRDefault="00780135">
      <w:pPr>
        <w:numPr>
          <w:ilvl w:val="0"/>
          <w:numId w:val="21"/>
        </w:numPr>
        <w:ind w:right="49" w:firstLine="283"/>
      </w:pPr>
      <w:r>
        <w:t>Webert K.E., Mittal R., Sigouin C.A., et al. retrospective 11</w:t>
      </w:r>
      <w:r>
        <w:t xml:space="preserve">-year analysis of obstetric patients with idiopathic thrombocytopenic purpura. Blood. 2003; 102: 4306–11.  </w:t>
      </w:r>
    </w:p>
    <w:p w:rsidR="007F750E" w:rsidRDefault="00780135">
      <w:pPr>
        <w:numPr>
          <w:ilvl w:val="0"/>
          <w:numId w:val="21"/>
        </w:numPr>
        <w:ind w:right="49" w:firstLine="283"/>
      </w:pPr>
      <w:r>
        <w:t>Koyama S., Tomimatsu T., Kanagawa T., et al. Reliable predictors of neonatal immune thrombocytopenia in pregnant women with idiopathic thrombocytope</w:t>
      </w:r>
      <w:r>
        <w:t xml:space="preserve">nic purpura. Am. J. Hematol. 2012; 87: 15–21 </w:t>
      </w:r>
    </w:p>
    <w:p w:rsidR="007F750E" w:rsidRDefault="00780135">
      <w:pPr>
        <w:numPr>
          <w:ilvl w:val="0"/>
          <w:numId w:val="22"/>
        </w:numPr>
        <w:ind w:right="49" w:firstLine="283"/>
      </w:pPr>
      <w:r>
        <w:t>Beiner ME, Simchen MJ, Sivan E, Chetrit A, Kuint J, Schiff E. Risk factors for neonatal thrombocytopenia in preterm infants. Am J Perinatol. 2003;20(1):49-54.20.</w:t>
      </w:r>
      <w:r>
        <w:rPr>
          <w:b/>
        </w:rPr>
        <w:t xml:space="preserve"> </w:t>
      </w:r>
    </w:p>
    <w:p w:rsidR="007F750E" w:rsidRDefault="00780135">
      <w:pPr>
        <w:numPr>
          <w:ilvl w:val="0"/>
          <w:numId w:val="22"/>
        </w:numPr>
        <w:ind w:right="49" w:firstLine="283"/>
      </w:pPr>
      <w:r>
        <w:t>Kush ML, Gortner L, Harman CR, Baschat AA. Sust</w:t>
      </w:r>
      <w:r>
        <w:t>ained hematological consequences in the first week of neonatal life secondary to placental dysfunction. Early Hum Dev. 2006;82(1):67-</w:t>
      </w:r>
    </w:p>
    <w:p w:rsidR="007F750E" w:rsidRDefault="00780135">
      <w:pPr>
        <w:spacing w:after="115" w:line="259" w:lineRule="auto"/>
        <w:ind w:left="-5" w:right="49"/>
      </w:pPr>
      <w:r>
        <w:t xml:space="preserve">72. </w:t>
      </w:r>
    </w:p>
    <w:p w:rsidR="007F750E" w:rsidRDefault="00780135">
      <w:pPr>
        <w:numPr>
          <w:ilvl w:val="0"/>
          <w:numId w:val="23"/>
        </w:numPr>
        <w:ind w:right="49" w:firstLine="283"/>
      </w:pPr>
      <w:r>
        <w:t>Murray NA, Roberts IA. Circulating megakaryocytes and their progenitors in early thrombocytopenia in preterm neonates</w:t>
      </w:r>
      <w:r>
        <w:t xml:space="preserve">. Pediatr Res. 1996;40(1):112-119.]  </w:t>
      </w:r>
    </w:p>
    <w:p w:rsidR="007F750E" w:rsidRDefault="00780135">
      <w:pPr>
        <w:numPr>
          <w:ilvl w:val="0"/>
          <w:numId w:val="23"/>
        </w:numPr>
        <w:ind w:right="49" w:firstLine="283"/>
      </w:pPr>
      <w:r>
        <w:t xml:space="preserve">Rodeghiero F., Stasi R., Gernsheimer T., et al. Standardization of terminology, definitions </w:t>
      </w:r>
      <w:r>
        <w:t xml:space="preserve">and outcome criteria in immune thrombocytopenic purpura of adults and children: report from an international working group. Blood. 2009113: 2386–93. </w:t>
      </w:r>
    </w:p>
    <w:p w:rsidR="007F750E" w:rsidRDefault="00780135">
      <w:pPr>
        <w:numPr>
          <w:ilvl w:val="0"/>
          <w:numId w:val="23"/>
        </w:numPr>
        <w:spacing w:after="117" w:line="259" w:lineRule="auto"/>
        <w:ind w:right="49" w:firstLine="283"/>
      </w:pPr>
      <w:r>
        <w:t xml:space="preserve">Veneri D., Franchini M., Randon F., et al. Thrombocytopenias: a clinical point of view. </w:t>
      </w:r>
    </w:p>
    <w:p w:rsidR="007F750E" w:rsidRDefault="00780135">
      <w:pPr>
        <w:spacing w:after="113" w:line="259" w:lineRule="auto"/>
        <w:ind w:left="-5" w:right="49"/>
      </w:pPr>
      <w:r>
        <w:t>Blood Transfus. 2</w:t>
      </w:r>
      <w:r>
        <w:t xml:space="preserve">009; 7: 75–85.   </w:t>
      </w:r>
    </w:p>
    <w:p w:rsidR="007F750E" w:rsidRDefault="00780135">
      <w:pPr>
        <w:numPr>
          <w:ilvl w:val="0"/>
          <w:numId w:val="23"/>
        </w:numPr>
        <w:ind w:right="49" w:firstLine="283"/>
      </w:pPr>
      <w:r>
        <w:t xml:space="preserve">Psaila B., Bussel J.B. Immune thrombocytopenia (ITP). Platelets. (Michelson AD, ed.). Amsterdam, Boston, Heidelberg et al: Academic Press, Elsevier Inc. 2013: 819–33]. </w:t>
      </w:r>
    </w:p>
    <w:p w:rsidR="007F750E" w:rsidRDefault="00780135">
      <w:pPr>
        <w:numPr>
          <w:ilvl w:val="0"/>
          <w:numId w:val="23"/>
        </w:numPr>
        <w:ind w:right="49" w:firstLine="283"/>
      </w:pPr>
      <w:hyperlink r:id="rId16">
        <w:r>
          <w:rPr>
            <w:shd w:val="clear" w:color="auto" w:fill="F5F6F7"/>
          </w:rPr>
          <w:t>Roganović</w:t>
        </w:r>
      </w:hyperlink>
      <w:hyperlink r:id="rId17">
        <w:r>
          <w:t xml:space="preserve"> </w:t>
        </w:r>
      </w:hyperlink>
      <w:r>
        <w:t xml:space="preserve">J. Neonatal thrombocytopenia: a common clinical problem.Paediatrics Today 2015;11(2):115-125 </w:t>
      </w:r>
    </w:p>
    <w:p w:rsidR="007F750E" w:rsidRDefault="00780135">
      <w:pPr>
        <w:numPr>
          <w:ilvl w:val="0"/>
          <w:numId w:val="23"/>
        </w:numPr>
        <w:spacing w:after="117" w:line="259" w:lineRule="auto"/>
        <w:ind w:right="49" w:firstLine="283"/>
      </w:pPr>
      <w:r>
        <w:t>Mehta P, Vasa R, Neumann L, Karpatkin M. Thrombocytop</w:t>
      </w:r>
      <w:r>
        <w:t xml:space="preserve">enia in the high-risk infant. The </w:t>
      </w:r>
    </w:p>
    <w:p w:rsidR="007F750E" w:rsidRDefault="00780135">
      <w:pPr>
        <w:spacing w:after="113" w:line="259" w:lineRule="auto"/>
        <w:ind w:left="-5" w:right="49"/>
      </w:pPr>
      <w:r>
        <w:t xml:space="preserve">Journal of Pediatrics. 1980;97:791-794 </w:t>
      </w:r>
    </w:p>
    <w:p w:rsidR="007F750E" w:rsidRDefault="00780135">
      <w:pPr>
        <w:numPr>
          <w:ilvl w:val="0"/>
          <w:numId w:val="23"/>
        </w:numPr>
        <w:ind w:right="49" w:firstLine="283"/>
      </w:pPr>
      <w:r>
        <w:t xml:space="preserve">Muthukumar P, Venkatesh V, Curley A et al.  Severe thrombocytopenia and patterns of bleeding in neonates: results from a prospective observational study and implications for use of </w:t>
      </w:r>
      <w:r>
        <w:t xml:space="preserve">platelet transfusions. TransfusMed .2012 Oct;22(5):338-43. doi: 10.1111/j.1365-3148.2012.01171 </w:t>
      </w:r>
    </w:p>
    <w:p w:rsidR="007F750E" w:rsidRDefault="00780135">
      <w:pPr>
        <w:numPr>
          <w:ilvl w:val="0"/>
          <w:numId w:val="23"/>
        </w:numPr>
        <w:ind w:right="49" w:firstLine="283"/>
      </w:pPr>
      <w:r>
        <w:t>Ting Peng, Yuanyuan Shan, Peng Zhang et al. Bleeding in neonates with severe thrombocytopenia: a retrospective cohort study. BMC Pediatrics (2022) 22:730 https:</w:t>
      </w:r>
      <w:r>
        <w:t xml:space="preserve">//doi.org/10.1186/s12887-022-03802-4. </w:t>
      </w:r>
    </w:p>
    <w:p w:rsidR="007F750E" w:rsidRDefault="00780135">
      <w:pPr>
        <w:numPr>
          <w:ilvl w:val="0"/>
          <w:numId w:val="23"/>
        </w:numPr>
        <w:spacing w:after="117" w:line="259" w:lineRule="auto"/>
        <w:ind w:right="49" w:firstLine="283"/>
      </w:pPr>
      <w:r>
        <w:t xml:space="preserve">Thrombocytopenia </w:t>
      </w:r>
      <w:r>
        <w:tab/>
        <w:t xml:space="preserve">in </w:t>
      </w:r>
      <w:r>
        <w:tab/>
        <w:t xml:space="preserve">the </w:t>
      </w:r>
      <w:r>
        <w:tab/>
        <w:t xml:space="preserve">Newborn </w:t>
      </w:r>
      <w:r>
        <w:tab/>
        <w:t xml:space="preserve">Kerry </w:t>
      </w:r>
      <w:r>
        <w:tab/>
        <w:t xml:space="preserve">Morrone, </w:t>
      </w:r>
      <w:r>
        <w:tab/>
        <w:t xml:space="preserve">Downloaded </w:t>
      </w:r>
      <w:r>
        <w:tab/>
        <w:t xml:space="preserve">from </w:t>
      </w:r>
    </w:p>
    <w:p w:rsidR="007F750E" w:rsidRDefault="00780135">
      <w:pPr>
        <w:spacing w:after="112" w:line="259" w:lineRule="auto"/>
        <w:ind w:left="-5" w:right="49"/>
      </w:pPr>
      <w:r>
        <w:t xml:space="preserve">http://neoreviews.aappublications.org/ by guest on January 19, 2019;  </w:t>
      </w:r>
    </w:p>
    <w:p w:rsidR="007F750E" w:rsidRDefault="00780135">
      <w:pPr>
        <w:numPr>
          <w:ilvl w:val="0"/>
          <w:numId w:val="23"/>
        </w:numPr>
        <w:ind w:right="49" w:firstLine="283"/>
      </w:pPr>
      <w:r>
        <w:t>Christensen RD. Platelet transfusion in the neonatal intensive care unit: B</w:t>
      </w:r>
      <w:r>
        <w:t xml:space="preserve">enefits, risks, alternatives. Neonatology. 2011;100:311-318] </w:t>
      </w:r>
    </w:p>
    <w:p w:rsidR="007F750E" w:rsidRDefault="00780135">
      <w:pPr>
        <w:numPr>
          <w:ilvl w:val="0"/>
          <w:numId w:val="23"/>
        </w:numPr>
        <w:ind w:right="49" w:firstLine="283"/>
      </w:pPr>
      <w:r>
        <w:t xml:space="preserve">Hasan R., Saifee N.H. Benefits of lower neonatal platelet transfusion thresholds.Transfusion. 2021 Jun;61(6):1672-1675. doi: 10.1111/trf.16386 </w:t>
      </w:r>
    </w:p>
    <w:p w:rsidR="007F750E" w:rsidRDefault="00780135">
      <w:pPr>
        <w:numPr>
          <w:ilvl w:val="0"/>
          <w:numId w:val="23"/>
        </w:numPr>
        <w:ind w:right="49" w:firstLine="283"/>
      </w:pPr>
      <w:r>
        <w:t>Murphy M. F., Simon I. R., Stanworth J. et al.  Pr</w:t>
      </w:r>
      <w:r>
        <w:t xml:space="preserve">ospective, Observational Study of Outcomes in Neonates With Severe Thrombocytopenia. Pediatrics 2009;124;e826 </w:t>
      </w:r>
    </w:p>
    <w:p w:rsidR="007F750E" w:rsidRDefault="00780135">
      <w:pPr>
        <w:numPr>
          <w:ilvl w:val="0"/>
          <w:numId w:val="23"/>
        </w:numPr>
        <w:ind w:right="49" w:firstLine="283"/>
      </w:pPr>
      <w:r>
        <w:t>Botero P. J, Reese JA, George JN, McIntosh JJ. Severe thrombocytopenia and microangiopathic hemolytic anaemia in pregnancy. A guide for the consu</w:t>
      </w:r>
      <w:r>
        <w:t xml:space="preserve">lting hematologist. Am </w:t>
      </w:r>
    </w:p>
    <w:p w:rsidR="007F750E" w:rsidRDefault="00780135">
      <w:pPr>
        <w:spacing w:after="115" w:line="259" w:lineRule="auto"/>
        <w:ind w:left="-5" w:right="49"/>
      </w:pPr>
      <w:r>
        <w:t xml:space="preserve">J Hematol, (2021) 96, 1655–1665 </w:t>
      </w:r>
    </w:p>
    <w:p w:rsidR="007F750E" w:rsidRDefault="00780135">
      <w:pPr>
        <w:numPr>
          <w:ilvl w:val="0"/>
          <w:numId w:val="24"/>
        </w:numPr>
        <w:spacing w:after="117" w:line="259" w:lineRule="auto"/>
        <w:ind w:right="49" w:firstLine="283"/>
      </w:pPr>
      <w:r>
        <w:t xml:space="preserve">Christensen R. D., Baer V.L., Henry E. et al.  Thrombocytopenia in Small for Gestational </w:t>
      </w:r>
    </w:p>
    <w:p w:rsidR="007F750E" w:rsidRDefault="00780135">
      <w:pPr>
        <w:spacing w:after="115" w:line="259" w:lineRule="auto"/>
        <w:ind w:left="-5" w:right="49"/>
      </w:pPr>
      <w:r>
        <w:t xml:space="preserve">Age Infants Pediatrics. 2015 August ; 136(2): e361–e370. doi:10.1542/peds.2014-4182,  </w:t>
      </w:r>
    </w:p>
    <w:p w:rsidR="007F750E" w:rsidRDefault="00780135">
      <w:pPr>
        <w:numPr>
          <w:ilvl w:val="0"/>
          <w:numId w:val="24"/>
        </w:numPr>
        <w:ind w:right="49" w:firstLine="283"/>
      </w:pPr>
      <w:r>
        <w:t>Fustolo-</w:t>
      </w:r>
      <w:r>
        <w:t xml:space="preserve">Gunnink S. F., Vlug R. D., Smits-Wintjens V. E. H. et al. Early-Onset Thrombocytopenia in Small-For-Gestational-Age Neonates: A Retrospective Cohort Study. (2016). PLOS ONE, 11(5), e0154853. doi:10.1371/journal.pone.0154853] </w:t>
      </w:r>
    </w:p>
    <w:p w:rsidR="007F750E" w:rsidRDefault="00780135">
      <w:pPr>
        <w:numPr>
          <w:ilvl w:val="0"/>
          <w:numId w:val="24"/>
        </w:numPr>
        <w:ind w:right="49" w:firstLine="283"/>
      </w:pPr>
      <w:r>
        <w:t>Christensen R. D., Baer V. L.,</w:t>
      </w:r>
      <w:r>
        <w:t xml:space="preserve"> &amp;Yaish, H. M. Thrombocytopenia in late preterm and term neonates after perinatal asphyxia. Transfusion, (2014),  55(1), 187–196. doi:10.1111/trf.12777. </w:t>
      </w:r>
    </w:p>
    <w:p w:rsidR="007F750E" w:rsidRDefault="00780135">
      <w:pPr>
        <w:numPr>
          <w:ilvl w:val="0"/>
          <w:numId w:val="24"/>
        </w:numPr>
        <w:ind w:right="49" w:firstLine="283"/>
      </w:pPr>
      <w:r>
        <w:t>Haley K.M. Neonatal venous thromboembolism. Front. Pediatr. 2017;5:136. doi:10.3389/fped.2017.00136. [</w:t>
      </w:r>
      <w:r>
        <w:t xml:space="preserve">PMC free article] [PubMed] [CrossRef] [Google Scholar] </w:t>
      </w:r>
    </w:p>
    <w:p w:rsidR="007F750E" w:rsidRDefault="00780135">
      <w:pPr>
        <w:numPr>
          <w:ilvl w:val="0"/>
          <w:numId w:val="24"/>
        </w:numPr>
        <w:spacing w:after="38"/>
        <w:ind w:right="49" w:firstLine="283"/>
      </w:pPr>
      <w:r>
        <w:t>Bhat R., Kumar R., Kwon S., Murthy K., Liem R.I. Risk Factors for Neonatal Venous and Arterial Thromboembolism in the Neonatal Intensive Care Unit—A Case Control Study. J. Pediatr. 2018;195:28–32. doi</w:t>
      </w:r>
      <w:r>
        <w:t xml:space="preserve">: 10.1016/j.jpeds.2017.12.015. [PubMed] [CrossRef] [Google Scholar] </w:t>
      </w:r>
    </w:p>
    <w:p w:rsidR="007F750E" w:rsidRDefault="00780135">
      <w:pPr>
        <w:numPr>
          <w:ilvl w:val="0"/>
          <w:numId w:val="24"/>
        </w:numPr>
        <w:ind w:right="49" w:firstLine="283"/>
      </w:pPr>
      <w:r>
        <w:t xml:space="preserve">van Ommen C.H., Heijboer H., Büller H.R., Hirasing R.A., Heijmans H.S., Peters M. Venous thromboembolism in childhood: A prospective two-year registry in The Netherlands. J. </w:t>
      </w:r>
    </w:p>
    <w:p w:rsidR="007F750E" w:rsidRDefault="00780135">
      <w:pPr>
        <w:ind w:left="-5" w:right="49"/>
      </w:pPr>
      <w:r>
        <w:t>Pediatr. 200</w:t>
      </w:r>
      <w:r>
        <w:t xml:space="preserve">1;139:676–681. doi: 10.1067/mpd.2001.118192. [PubMed] [CrossRef] [Google Scholar] </w:t>
      </w:r>
    </w:p>
    <w:p w:rsidR="007F750E" w:rsidRDefault="00780135">
      <w:pPr>
        <w:numPr>
          <w:ilvl w:val="0"/>
          <w:numId w:val="24"/>
        </w:numPr>
        <w:ind w:right="49" w:firstLine="283"/>
      </w:pPr>
      <w:r>
        <w:t xml:space="preserve">Chalmers E.A. Neonatal thrombosis. J. Clin. Pathol. 2000;53:419–423. doi: 10.1136/jcp.53.6.419. [PMC free article] [PubMed] [CrossRef] [Google Scholar] </w:t>
      </w:r>
    </w:p>
    <w:p w:rsidR="007F750E" w:rsidRDefault="00780135">
      <w:pPr>
        <w:numPr>
          <w:ilvl w:val="0"/>
          <w:numId w:val="24"/>
        </w:numPr>
        <w:ind w:right="49" w:firstLine="283"/>
      </w:pPr>
      <w:r>
        <w:t>Kauzar M., Salahuddi</w:t>
      </w:r>
      <w:r>
        <w:t xml:space="preserve">n I., Naveed A. Examine the Frequency of Thrombocytopenia in Newborns with Neonatal Sepsis P J M H S Vol. 14, NO. 2, APR – JUN 2020658 </w:t>
      </w:r>
    </w:p>
    <w:p w:rsidR="007F750E" w:rsidRDefault="00780135">
      <w:pPr>
        <w:numPr>
          <w:ilvl w:val="0"/>
          <w:numId w:val="24"/>
        </w:numPr>
        <w:ind w:right="49" w:firstLine="283"/>
      </w:pPr>
      <w:r>
        <w:t xml:space="preserve">Kaplan C. Foetal and neonatal alloimmune thrombocytopaeniaOrphanet Journal of Rare Diseases 2006, 1:39 </w:t>
      </w:r>
    </w:p>
    <w:p w:rsidR="007F750E" w:rsidRDefault="00780135">
      <w:pPr>
        <w:numPr>
          <w:ilvl w:val="0"/>
          <w:numId w:val="24"/>
        </w:numPr>
        <w:ind w:right="49" w:firstLine="283"/>
      </w:pPr>
      <w:r>
        <w:t>Chiurazzi F, Vil</w:t>
      </w:r>
      <w:r>
        <w:t xml:space="preserve">la MR, Rotoli B.  Transplacental transmission of EDTAdependentpseudothrombocytopenia. Haematologica, (1999) </w:t>
      </w:r>
      <w:r>
        <w:rPr>
          <w:b/>
        </w:rPr>
        <w:t>84</w:t>
      </w:r>
      <w:r>
        <w:t xml:space="preserve">, 664–665 </w:t>
      </w:r>
    </w:p>
    <w:p w:rsidR="007F750E" w:rsidRDefault="00780135">
      <w:pPr>
        <w:numPr>
          <w:ilvl w:val="0"/>
          <w:numId w:val="24"/>
        </w:numPr>
        <w:ind w:right="49" w:firstLine="283"/>
      </w:pPr>
      <w:r>
        <w:t>Ohno N, Kobayashi M, Hayakawa S, Utsonomiya A and Karakawa S (2012) Transient pseudothrombocytopenia in a neonate: transmission of a ma</w:t>
      </w:r>
      <w:r>
        <w:t xml:space="preserve">ternal EDTAdependent anticoagulant. Platelets, </w:t>
      </w:r>
      <w:r>
        <w:rPr>
          <w:b/>
        </w:rPr>
        <w:t>23</w:t>
      </w:r>
      <w:r>
        <w:t xml:space="preserve">, 399–400;  </w:t>
      </w:r>
    </w:p>
    <w:p w:rsidR="007F750E" w:rsidRDefault="00780135">
      <w:pPr>
        <w:numPr>
          <w:ilvl w:val="0"/>
          <w:numId w:val="24"/>
        </w:numPr>
        <w:spacing w:after="117" w:line="259" w:lineRule="auto"/>
        <w:ind w:right="49" w:firstLine="283"/>
      </w:pPr>
      <w:r>
        <w:t xml:space="preserve">Christensen R, Sola MC, Rimsza LM, McMahan MJ and Calhoun DA (2004) </w:t>
      </w:r>
    </w:p>
    <w:p w:rsidR="007F750E" w:rsidRDefault="00780135">
      <w:pPr>
        <w:spacing w:after="118" w:line="259" w:lineRule="auto"/>
        <w:ind w:left="-5" w:right="49"/>
      </w:pPr>
      <w:r>
        <w:t xml:space="preserve">Pseudothrombocytopenia in a preterm neonate. Pediatrics, </w:t>
      </w:r>
      <w:r>
        <w:rPr>
          <w:b/>
        </w:rPr>
        <w:t>114</w:t>
      </w:r>
      <w:r>
        <w:t xml:space="preserve">, 273–275. ] </w:t>
      </w:r>
    </w:p>
    <w:p w:rsidR="007F750E" w:rsidRDefault="00780135">
      <w:pPr>
        <w:numPr>
          <w:ilvl w:val="0"/>
          <w:numId w:val="24"/>
        </w:numPr>
        <w:ind w:right="49" w:firstLine="283"/>
      </w:pPr>
      <w:r>
        <w:t>Ault KA, Knowles C. In vivo biotinylation demonstra</w:t>
      </w:r>
      <w:r>
        <w:t xml:space="preserve">tes that reticulated platelets are the youngest platelets in circulation. Exp Hematol 1995;23(9):996–1001 </w:t>
      </w:r>
    </w:p>
    <w:p w:rsidR="007F750E" w:rsidRDefault="00780135">
      <w:pPr>
        <w:numPr>
          <w:ilvl w:val="0"/>
          <w:numId w:val="24"/>
        </w:numPr>
        <w:ind w:right="49" w:firstLine="283"/>
      </w:pPr>
      <w:r>
        <w:t xml:space="preserve">Ault KA, Rinder HM, Mitchell J, et al. The significance of platelets with increased RNA content (reticulated platelets). A measure of the rate of thrombopoiesis. Am J Clin Path 1992;98 :637–46.  </w:t>
      </w:r>
    </w:p>
    <w:p w:rsidR="007F750E" w:rsidRDefault="00780135">
      <w:pPr>
        <w:numPr>
          <w:ilvl w:val="0"/>
          <w:numId w:val="24"/>
        </w:numPr>
        <w:ind w:right="49" w:firstLine="283"/>
      </w:pPr>
      <w:r>
        <w:t>Peterec SM, Brennan SA, Rinder HM, Wnek JL, Beardsley DS. Re</w:t>
      </w:r>
      <w:r>
        <w:t xml:space="preserve">ticulated platelet values in normal and thrombocytopenic neonates. J Pediatr 1996;129(2):269–74. </w:t>
      </w:r>
    </w:p>
    <w:p w:rsidR="007F750E" w:rsidRDefault="00780135">
      <w:pPr>
        <w:numPr>
          <w:ilvl w:val="0"/>
          <w:numId w:val="24"/>
        </w:numPr>
        <w:spacing w:after="40"/>
        <w:ind w:right="49" w:firstLine="283"/>
      </w:pPr>
      <w:r>
        <w:t>MacQueen BC, Christensen RD, Henry E, et al. The immature platelet fraction: Creating neonatal reference intervals and using these to categorize neonatal thro</w:t>
      </w:r>
      <w:r>
        <w:t xml:space="preserve">mbocytopenias. J Perinatol 2017;37 (7):834–8 </w:t>
      </w:r>
    </w:p>
    <w:p w:rsidR="007F750E" w:rsidRDefault="00780135">
      <w:pPr>
        <w:numPr>
          <w:ilvl w:val="0"/>
          <w:numId w:val="24"/>
        </w:numPr>
        <w:ind w:right="49" w:firstLine="283"/>
      </w:pPr>
      <w:r>
        <w:t xml:space="preserve">Хаспекова С. Г., Шустова О. Н., Головкина Л. Л., Мазуров А. В. Диагностические маркеры и предикторы неонатальной иммунной тромбоцитопении // Гематология и трансфузиология. – 2019. – Т. 64. – № 2. – С. 198-210. </w:t>
      </w:r>
    </w:p>
    <w:p w:rsidR="007F750E" w:rsidRDefault="00780135">
      <w:pPr>
        <w:numPr>
          <w:ilvl w:val="0"/>
          <w:numId w:val="24"/>
        </w:numPr>
        <w:ind w:right="49" w:firstLine="283"/>
      </w:pPr>
      <w:r>
        <w:t xml:space="preserve">Sola MC, Slayton WB, Rimsza LM, et al. A neonate  with severe hrombocytopenia and radio-ulnar synostosis. J Perinatol 2004;24(8):528–30. </w:t>
      </w:r>
    </w:p>
    <w:p w:rsidR="007F750E" w:rsidRDefault="00780135">
      <w:pPr>
        <w:numPr>
          <w:ilvl w:val="0"/>
          <w:numId w:val="24"/>
        </w:numPr>
        <w:ind w:right="49" w:firstLine="283"/>
      </w:pPr>
      <w:r>
        <w:t xml:space="preserve">Tighe P, Rimsza LM, Christensen RD, Lew J, Sola MC. Severe thrombocytopenia in a neonate with congenital HIV infection. J Pediatr 2005;146 (3):408–13. </w:t>
      </w:r>
    </w:p>
    <w:p w:rsidR="007F750E" w:rsidRDefault="00780135">
      <w:pPr>
        <w:numPr>
          <w:ilvl w:val="0"/>
          <w:numId w:val="24"/>
        </w:numPr>
        <w:ind w:right="49" w:firstLine="283"/>
      </w:pPr>
      <w:r>
        <w:t xml:space="preserve">Saxonhouse MA, Manco-Johnson MJ. The evaluation and management of neonatal coagulation disorders. Semin </w:t>
      </w:r>
      <w:r>
        <w:t xml:space="preserve">Perinatol 2009;33 (1):52–65. </w:t>
      </w:r>
    </w:p>
    <w:p w:rsidR="007F750E" w:rsidRDefault="00780135">
      <w:pPr>
        <w:numPr>
          <w:ilvl w:val="0"/>
          <w:numId w:val="24"/>
        </w:numPr>
        <w:ind w:right="49" w:firstLine="283"/>
      </w:pPr>
      <w:r>
        <w:t>Josephson CD, Su LL, Christensen RD, et al.Platelet transfusion practices among neonatologists in the United States and Canada:Results of a survey. Pediatrics 2009;123(1):278–</w:t>
      </w:r>
    </w:p>
    <w:p w:rsidR="007F750E" w:rsidRDefault="00780135">
      <w:pPr>
        <w:spacing w:after="118" w:line="259" w:lineRule="auto"/>
        <w:ind w:left="-5" w:right="49"/>
      </w:pPr>
      <w:r>
        <w:t xml:space="preserve">85. </w:t>
      </w:r>
    </w:p>
    <w:p w:rsidR="007F750E" w:rsidRDefault="00780135">
      <w:pPr>
        <w:numPr>
          <w:ilvl w:val="0"/>
          <w:numId w:val="24"/>
        </w:numPr>
        <w:ind w:right="49" w:firstLine="283"/>
      </w:pPr>
      <w:r>
        <w:t>Cremer M, Sola-Visner M, Roll S, et al. Plate</w:t>
      </w:r>
      <w:r>
        <w:t xml:space="preserve">let transfusions in neonates: Practices in the United States vary significantly from those in Austria, Germany, and Switzerland. Transfusion 2011;51 (12):2634–41. </w:t>
      </w:r>
    </w:p>
    <w:p w:rsidR="007F750E" w:rsidRDefault="00780135">
      <w:pPr>
        <w:numPr>
          <w:ilvl w:val="0"/>
          <w:numId w:val="24"/>
        </w:numPr>
        <w:ind w:right="49" w:firstLine="283"/>
      </w:pPr>
      <w:r>
        <w:t>Kahn DJ, Richardson DK, Billett HH. Inter-NICUvariation in rates and management of thrombocy</w:t>
      </w:r>
      <w:r>
        <w:t xml:space="preserve">topenia among very low birth-weight infants. J Perinatol 2003;23(4):312–16 </w:t>
      </w:r>
    </w:p>
    <w:p w:rsidR="007F750E" w:rsidRDefault="00780135">
      <w:pPr>
        <w:numPr>
          <w:ilvl w:val="0"/>
          <w:numId w:val="24"/>
        </w:numPr>
        <w:ind w:right="49" w:firstLine="283"/>
      </w:pPr>
      <w:r>
        <w:t>Del Vecchio A, Sola MC, Theriaque DW, et al. Platelet transfusions in the neonatal intensive care unit: Factors predicting which patients will require multiple transfusions. Transf</w:t>
      </w:r>
      <w:r>
        <w:t xml:space="preserve">usion 2001;41 (6):803–8 </w:t>
      </w:r>
    </w:p>
    <w:p w:rsidR="007F750E" w:rsidRDefault="00780135">
      <w:pPr>
        <w:numPr>
          <w:ilvl w:val="0"/>
          <w:numId w:val="24"/>
        </w:numPr>
        <w:ind w:right="49" w:firstLine="283"/>
      </w:pPr>
      <w:r>
        <w:t xml:space="preserve">Garcia MG, Duenas E, Sola MC, et al. Epidemiologic and outcome studies of patients who received platelet transfusions in the neonatal intensive care unit. J Perinatol 2001;21(7):415–20. </w:t>
      </w:r>
    </w:p>
    <w:p w:rsidR="007F750E" w:rsidRDefault="00780135">
      <w:pPr>
        <w:numPr>
          <w:ilvl w:val="0"/>
          <w:numId w:val="24"/>
        </w:numPr>
        <w:ind w:right="49" w:firstLine="283"/>
      </w:pPr>
      <w:r>
        <w:t>Murray NA, Howarth LJ, McCloy MP, Letsky EA,</w:t>
      </w:r>
      <w:r>
        <w:t xml:space="preserve"> Roberts IA. Platelet transfusion in the management of severe thrombocytopenia in neonatal intensive care unit patients. Transfus Med 2002;12(1):35–41.] </w:t>
      </w:r>
    </w:p>
    <w:p w:rsidR="007F750E" w:rsidRDefault="00780135">
      <w:pPr>
        <w:numPr>
          <w:ilvl w:val="0"/>
          <w:numId w:val="24"/>
        </w:numPr>
        <w:ind w:right="49" w:firstLine="283"/>
      </w:pPr>
      <w:r>
        <w:t>Ribeiro H.S. ,  Assunção A., Vieira R. J. , Soares P. Platelet transfusions in preterm infants: curren</w:t>
      </w:r>
      <w:r>
        <w:t xml:space="preserve">t concepts and controversies—a systematic review and meta-analysis  Received: 2 April 2023 / Revised: 10 May 2023 / Accepted: 17 May 2023 / Published online: 1 June 2023 </w:t>
      </w:r>
    </w:p>
    <w:p w:rsidR="007F750E" w:rsidRDefault="00780135">
      <w:pPr>
        <w:numPr>
          <w:ilvl w:val="0"/>
          <w:numId w:val="24"/>
        </w:numPr>
        <w:ind w:right="49" w:firstLine="283"/>
      </w:pPr>
      <w:r>
        <w:t>Fustolo-Gunnink S.F., Huisman E.J., van der Bom J.G. et. Al. Are thrombocytopenia and</w:t>
      </w:r>
      <w:r>
        <w:t xml:space="preserve"> platelet transfusions associated with major bleeding in preterm neonates? A systematic review. </w:t>
      </w:r>
    </w:p>
    <w:p w:rsidR="007F750E" w:rsidRDefault="00780135">
      <w:pPr>
        <w:spacing w:after="116" w:line="259" w:lineRule="auto"/>
        <w:ind w:left="-5" w:right="49"/>
      </w:pPr>
      <w:r>
        <w:t xml:space="preserve">Blood Reviews Volume 36, July 2019, Pages 1-² </w:t>
      </w:r>
    </w:p>
    <w:p w:rsidR="007F750E" w:rsidRDefault="00780135">
      <w:pPr>
        <w:numPr>
          <w:ilvl w:val="0"/>
          <w:numId w:val="24"/>
        </w:numPr>
        <w:spacing w:after="117" w:line="259" w:lineRule="auto"/>
        <w:ind w:right="49" w:firstLine="283"/>
      </w:pPr>
      <w:r>
        <w:t>Sparger K. A.,   Assmann S.F., Granger S.  Platelet Transfusion Practices Among Very-</w:t>
      </w:r>
    </w:p>
    <w:p w:rsidR="007F750E" w:rsidRDefault="00780135">
      <w:pPr>
        <w:tabs>
          <w:tab w:val="center" w:pos="2574"/>
          <w:tab w:val="center" w:pos="3677"/>
          <w:tab w:val="center" w:pos="4786"/>
          <w:tab w:val="center" w:pos="5808"/>
          <w:tab w:val="center" w:pos="6602"/>
          <w:tab w:val="center" w:pos="7249"/>
          <w:tab w:val="center" w:pos="8107"/>
          <w:tab w:val="right" w:pos="9412"/>
        </w:tabs>
        <w:spacing w:after="119" w:line="259" w:lineRule="auto"/>
        <w:ind w:left="-15" w:firstLine="0"/>
        <w:jc w:val="left"/>
      </w:pPr>
      <w:r>
        <w:t xml:space="preserve">Low-Birth-Weight </w:t>
      </w:r>
      <w:r>
        <w:tab/>
        <w:t>Infants.</w:t>
      </w:r>
      <w:r>
        <w:t xml:space="preserve"> </w:t>
      </w:r>
      <w:r>
        <w:tab/>
        <w:t xml:space="preserve">JAMA </w:t>
      </w:r>
      <w:r>
        <w:tab/>
        <w:t xml:space="preserve">Pediatr. </w:t>
      </w:r>
      <w:r>
        <w:tab/>
        <w:t xml:space="preserve">2016 </w:t>
      </w:r>
      <w:r>
        <w:tab/>
        <w:t xml:space="preserve">Jul </w:t>
      </w:r>
      <w:r>
        <w:tab/>
        <w:t xml:space="preserve">1; </w:t>
      </w:r>
      <w:r>
        <w:tab/>
        <w:t xml:space="preserve">170(7): </w:t>
      </w:r>
      <w:r>
        <w:tab/>
        <w:t>687–</w:t>
      </w:r>
    </w:p>
    <w:p w:rsidR="007F750E" w:rsidRDefault="00780135">
      <w:pPr>
        <w:spacing w:after="118" w:line="259" w:lineRule="auto"/>
        <w:ind w:left="-5" w:right="49"/>
      </w:pPr>
      <w:r>
        <w:t xml:space="preserve">694.doi: 10.1001/jamapediatrics.2016.0507].  </w:t>
      </w:r>
    </w:p>
    <w:p w:rsidR="007F750E" w:rsidRDefault="00780135">
      <w:pPr>
        <w:numPr>
          <w:ilvl w:val="0"/>
          <w:numId w:val="24"/>
        </w:numPr>
        <w:ind w:right="49" w:firstLine="283"/>
      </w:pPr>
      <w:r>
        <w:t xml:space="preserve">Sparger K., Deschmann E., Sola-Visner M. Platelet Transfusions in the ICU.ClinPerinatol. 2015 September ; 42(3): 613–623. doi:10.1016/j.clp.2015.04.009 </w:t>
      </w:r>
    </w:p>
    <w:p w:rsidR="007F750E" w:rsidRDefault="00780135">
      <w:pPr>
        <w:numPr>
          <w:ilvl w:val="0"/>
          <w:numId w:val="24"/>
        </w:numPr>
        <w:ind w:right="49" w:firstLine="283"/>
      </w:pPr>
      <w:r>
        <w:t xml:space="preserve">Provan D, </w:t>
      </w:r>
      <w:r>
        <w:t xml:space="preserve">Stasi R, Newland AC, Blanchette VS, BoltonMaggs P, Bussel J et al. (2010) International consensus report on the investigation and management of primary immune thrombocytopenia. Blood, 115, 168–186. </w:t>
      </w:r>
    </w:p>
    <w:p w:rsidR="007F750E" w:rsidRDefault="00780135">
      <w:pPr>
        <w:numPr>
          <w:ilvl w:val="0"/>
          <w:numId w:val="24"/>
        </w:numPr>
        <w:ind w:right="49" w:firstLine="283"/>
      </w:pPr>
      <w:r>
        <w:t>van der Lugt NM, van Kampen A, Walther FJ, Brand A and Lo</w:t>
      </w:r>
      <w:r>
        <w:t xml:space="preserve">priore E (2013) Outcome and management in neonatal thrombocytopenia due to maternal idiopathic thrombocytopenic purpura. Vox Sang, 105, 236–243. </w:t>
      </w:r>
    </w:p>
    <w:p w:rsidR="007F750E" w:rsidRDefault="00780135">
      <w:pPr>
        <w:numPr>
          <w:ilvl w:val="0"/>
          <w:numId w:val="24"/>
        </w:numPr>
        <w:ind w:right="49" w:firstLine="283"/>
      </w:pPr>
      <w:r>
        <w:t xml:space="preserve">Roberts I, Stanworth S, Murray NA Thrombocytopenia in the neonate. Blood Rev, 2008, 22, 173–186. </w:t>
      </w:r>
    </w:p>
    <w:p w:rsidR="007F750E" w:rsidRDefault="00780135">
      <w:pPr>
        <w:numPr>
          <w:ilvl w:val="0"/>
          <w:numId w:val="24"/>
        </w:numPr>
        <w:spacing w:after="28"/>
        <w:ind w:right="49" w:firstLine="283"/>
      </w:pPr>
      <w:r>
        <w:t xml:space="preserve">Румянцев А. Г. Основные свойства внутривенных иммуноглобулинов и показания к их применению //Вопросы гематологии/онкологии и иммунопатологии в педиатрии. – 2011. – Т. 10. – №. 2. – С. 39-50 </w:t>
      </w:r>
    </w:p>
    <w:p w:rsidR="007F750E" w:rsidRDefault="00780135">
      <w:pPr>
        <w:numPr>
          <w:ilvl w:val="0"/>
          <w:numId w:val="24"/>
        </w:numPr>
        <w:ind w:right="49" w:firstLine="283"/>
      </w:pPr>
      <w:r>
        <w:t>Третьякова О. С. и др. Иммунная тромбоцитопения у детей: стероидн</w:t>
      </w:r>
      <w:r>
        <w:t xml:space="preserve">ые гормоны или внутривенные иммуноглобулины? //Педиатрия. Восточная Европа. – 2015. – №. 2. – С. 130137 </w:t>
      </w:r>
    </w:p>
    <w:p w:rsidR="007F750E" w:rsidRDefault="00780135">
      <w:pPr>
        <w:numPr>
          <w:ilvl w:val="0"/>
          <w:numId w:val="24"/>
        </w:numPr>
        <w:spacing w:after="37"/>
        <w:ind w:right="49" w:firstLine="283"/>
      </w:pPr>
      <w:r>
        <w:t>Масчан А.А., Румянцев А.Г., Ковалева Л.Г., Афанасьев Б.В., Поспелова Т.И., Зарицкий А.Ю. и др. Рекомендации Российского совета экспертов по диагностике</w:t>
      </w:r>
      <w:r>
        <w:t xml:space="preserve"> и лечению больных первичной иммунной тробоцитопенией. Онкогематология. 2010; 3: 36-45 74.</w:t>
      </w:r>
      <w:r>
        <w:rPr>
          <w:rFonts w:ascii="Arial" w:eastAsia="Arial" w:hAnsi="Arial" w:cs="Arial"/>
        </w:rPr>
        <w:t xml:space="preserve"> </w:t>
      </w:r>
      <w:r>
        <w:t>British Committee for Standards in Haematology General Haematology Task Force. Guidelines for the investigation and management of idiopathic thrombocytopenic purpura</w:t>
      </w:r>
      <w:r>
        <w:t xml:space="preserve"> in adults, children and in pregnancy. Br. J. Haematol. 2003; 120(4): 574– 96; </w:t>
      </w:r>
    </w:p>
    <w:p w:rsidR="007F750E" w:rsidRDefault="00780135">
      <w:pPr>
        <w:numPr>
          <w:ilvl w:val="0"/>
          <w:numId w:val="26"/>
        </w:numPr>
        <w:ind w:right="49" w:firstLine="283"/>
      </w:pPr>
      <w:r>
        <w:t>Меликян А. Л. и др. Национальные клинические рекомендации по диагностике и лечению первичной иммунной тромбоцитопении (идиопатической тромбоцитопенической пурпуры) у взрослых /</w:t>
      </w:r>
      <w:r>
        <w:t xml:space="preserve">/Гематология и трансфузиология. – 2015. – Т. 60. – №. 1. – С. 44-56]. </w:t>
      </w:r>
    </w:p>
    <w:p w:rsidR="007F750E" w:rsidRDefault="00780135">
      <w:pPr>
        <w:numPr>
          <w:ilvl w:val="0"/>
          <w:numId w:val="26"/>
        </w:numPr>
        <w:ind w:right="49" w:firstLine="283"/>
      </w:pPr>
      <w:r>
        <w:t xml:space="preserve">Ming JY, Kathryn W, Kendall S. Maternal and Neonatal Idiopathic Thrombocytopenic Purpura. SOJ Pedia Clin Neonato. 2020;1(1):1–3. DOI: 10.53902/SOJPCN.2020.01.000504 </w:t>
      </w:r>
    </w:p>
    <w:p w:rsidR="007F750E" w:rsidRDefault="00780135">
      <w:pPr>
        <w:numPr>
          <w:ilvl w:val="0"/>
          <w:numId w:val="26"/>
        </w:numPr>
        <w:spacing w:after="38"/>
        <w:ind w:right="49" w:firstLine="283"/>
      </w:pPr>
      <w:r>
        <w:t xml:space="preserve">Yamada H, Kato EH, </w:t>
      </w:r>
      <w:r>
        <w:t xml:space="preserve">Kobashi G, et al. Passive immune thrombocytopenia in neonates of mothers with idiopathic thrombocytopenic purpura: incidence and risk factors. Semin </w:t>
      </w:r>
    </w:p>
    <w:p w:rsidR="007F750E" w:rsidRDefault="00780135">
      <w:pPr>
        <w:spacing w:after="160" w:line="259" w:lineRule="auto"/>
        <w:ind w:left="-5" w:right="49"/>
      </w:pPr>
      <w:r>
        <w:t xml:space="preserve">ThrombHemost. 1999;25(5):491‒496 </w:t>
      </w:r>
    </w:p>
    <w:p w:rsidR="007F750E" w:rsidRDefault="00780135">
      <w:pPr>
        <w:numPr>
          <w:ilvl w:val="0"/>
          <w:numId w:val="26"/>
        </w:numPr>
        <w:spacing w:after="155" w:line="259" w:lineRule="auto"/>
        <w:ind w:right="49" w:firstLine="283"/>
      </w:pPr>
      <w:r>
        <w:t xml:space="preserve">Шабалов Н.П. Неонатология: учебное пособие в 2т ГОЭТАР-Медиа, 2020- Т.2 </w:t>
      </w:r>
      <w:r>
        <w:t xml:space="preserve"> </w:t>
      </w:r>
    </w:p>
    <w:p w:rsidR="007F750E" w:rsidRDefault="00780135">
      <w:pPr>
        <w:numPr>
          <w:ilvl w:val="0"/>
          <w:numId w:val="26"/>
        </w:numPr>
        <w:spacing w:after="130" w:line="259" w:lineRule="auto"/>
        <w:ind w:right="49" w:firstLine="283"/>
      </w:pPr>
      <w:r>
        <w:t>Gomella T.L., Cunningham M.D. Gomella’s Neonatology, 8</w:t>
      </w:r>
      <w:r>
        <w:rPr>
          <w:vertAlign w:val="superscript"/>
        </w:rPr>
        <w:t>th</w:t>
      </w:r>
      <w:r>
        <w:t xml:space="preserve"> Edition, 2020, p.1472 </w:t>
      </w:r>
    </w:p>
    <w:p w:rsidR="007F750E" w:rsidRDefault="00780135">
      <w:pPr>
        <w:numPr>
          <w:ilvl w:val="0"/>
          <w:numId w:val="26"/>
        </w:numPr>
        <w:ind w:right="49" w:firstLine="283"/>
      </w:pPr>
      <w:r>
        <w:t>Baker JM, Shehata N, Bussel J, Murphy MF, Greinacher A, Bakchoul T et al. (2019) Postnatal intervention for the treatment of FNAIT: a systematic review. J Perinatol, 39, 1329</w:t>
      </w:r>
      <w:r>
        <w:t xml:space="preserve">– 1339. </w:t>
      </w:r>
    </w:p>
    <w:p w:rsidR="007F750E" w:rsidRDefault="00780135">
      <w:pPr>
        <w:numPr>
          <w:ilvl w:val="0"/>
          <w:numId w:val="26"/>
        </w:numPr>
        <w:ind w:right="49" w:firstLine="283"/>
      </w:pPr>
      <w:r>
        <w:t xml:space="preserve">Lieberman L, Greinacher A, Murphy MF, Bussel J, Bakchoul T, Corke S et al. (2019) Fetal and neonatal alloimmune thrombocytopenia: recommendations for evidencebased practice, an international approach. Br J Haematol, 185, 549–562. </w:t>
      </w:r>
    </w:p>
    <w:p w:rsidR="007F750E" w:rsidRDefault="00780135">
      <w:pPr>
        <w:numPr>
          <w:ilvl w:val="0"/>
          <w:numId w:val="26"/>
        </w:numPr>
        <w:ind w:right="49" w:firstLine="283"/>
      </w:pPr>
      <w:r>
        <w:t>De Vos TW, Winke</w:t>
      </w:r>
      <w:r>
        <w:t xml:space="preserve">lhorst D, de Haas M, Lopriore E and Oepkes D (2020) Epidemiology and management of fetal and neonatal alloimmune thrombocytopenia. TransfusApher Sci, 59, 102704. </w:t>
      </w:r>
    </w:p>
    <w:p w:rsidR="007F750E" w:rsidRDefault="00780135">
      <w:pPr>
        <w:numPr>
          <w:ilvl w:val="0"/>
          <w:numId w:val="26"/>
        </w:numPr>
        <w:ind w:right="49" w:firstLine="283"/>
      </w:pPr>
      <w:r>
        <w:t>Sola-Visner M., Leeman K. T., Stanworth S.J. Neonatal platelet transfusions: New evidence and</w:t>
      </w:r>
      <w:r>
        <w:t xml:space="preserve"> the challenges of translating evidence-based recommendations into clinical practice J ThrombHaemost. 2022;20:556–564.</w:t>
      </w:r>
      <w:r>
        <w:rPr>
          <w:color w:val="222222"/>
        </w:rPr>
        <w:t xml:space="preserve"> </w:t>
      </w:r>
    </w:p>
    <w:p w:rsidR="007F750E" w:rsidRDefault="00780135">
      <w:pPr>
        <w:numPr>
          <w:ilvl w:val="0"/>
          <w:numId w:val="26"/>
        </w:numPr>
        <w:spacing w:after="0" w:line="362" w:lineRule="auto"/>
        <w:ind w:right="49" w:firstLine="283"/>
      </w:pPr>
      <w:r>
        <w:rPr>
          <w:color w:val="222222"/>
        </w:rPr>
        <w:t>Ferrer-Marin F, Chavda C, Lampa M, Michelson AD, Frelinger AL 3rd, Sola-</w:t>
      </w:r>
      <w:r>
        <w:rPr>
          <w:color w:val="222222"/>
        </w:rPr>
        <w:t>Visner M. Effects of in vitro adult platelet transfusions on neonatal hemostasis.</w:t>
      </w:r>
      <w:r>
        <w:t>JThrombHaemost. 2011 May ; 9(5): 1020–1028</w:t>
      </w:r>
      <w:r>
        <w:rPr>
          <w:color w:val="222222"/>
        </w:rPr>
        <w:t xml:space="preserve"> </w:t>
      </w:r>
    </w:p>
    <w:p w:rsidR="007F750E" w:rsidRDefault="00780135">
      <w:pPr>
        <w:numPr>
          <w:ilvl w:val="0"/>
          <w:numId w:val="26"/>
        </w:numPr>
        <w:ind w:right="49" w:firstLine="283"/>
      </w:pPr>
      <w:r>
        <w:t>Hauschner H., Rosenberg N., Seligsohn U. et al. Persistent neonatal thrombocytopenia can be caused by IgA antiplatelet antibodies i</w:t>
      </w:r>
      <w:r>
        <w:t xml:space="preserve">n breast milk of immune thrombocytopenic mothers. </w:t>
      </w:r>
    </w:p>
    <w:p w:rsidR="007F750E" w:rsidRDefault="00780135">
      <w:pPr>
        <w:spacing w:after="116" w:line="259" w:lineRule="auto"/>
        <w:ind w:left="-5" w:right="49"/>
      </w:pPr>
      <w:r>
        <w:t>Blood. 2015;126(5):661-664</w:t>
      </w:r>
      <w:r>
        <w:rPr>
          <w:b/>
        </w:rPr>
        <w:t xml:space="preserve"> </w:t>
      </w:r>
    </w:p>
    <w:p w:rsidR="007F750E" w:rsidRDefault="00780135">
      <w:pPr>
        <w:numPr>
          <w:ilvl w:val="0"/>
          <w:numId w:val="26"/>
        </w:numPr>
        <w:ind w:right="49" w:firstLine="283"/>
      </w:pPr>
      <w:r>
        <w:t>Winkelhorst D., Murphy M.F., Greinacher A. et al. Antenatal management in fetal and neonatal alloimmune thrombocytopenia: a  systematic review. Blood. 2017; 129 (11): 1538– 1547</w:t>
      </w:r>
      <w:r>
        <w:t xml:space="preserve"> </w:t>
      </w:r>
    </w:p>
    <w:p w:rsidR="007F750E" w:rsidRDefault="00780135">
      <w:pPr>
        <w:numPr>
          <w:ilvl w:val="0"/>
          <w:numId w:val="26"/>
        </w:numPr>
        <w:ind w:right="49" w:firstLine="283"/>
      </w:pPr>
      <w:r>
        <w:t xml:space="preserve">Rayment R., Brunskill S.J., Soothill P.W. et  al. Antenatal interventions for fetomaternal alloimmune thrombocytopenia. Cochrane Database Syst. Rev. 2011 </w:t>
      </w:r>
    </w:p>
    <w:p w:rsidR="007F750E" w:rsidRDefault="00780135">
      <w:pPr>
        <w:numPr>
          <w:ilvl w:val="0"/>
          <w:numId w:val="26"/>
        </w:numPr>
        <w:ind w:right="49" w:firstLine="283"/>
      </w:pPr>
      <w:r>
        <w:t xml:space="preserve">Pacheco L.D., Berkowitz R.L., Moise K.J. Jr. et  al. Fetal and  </w:t>
      </w:r>
      <w:r>
        <w:t xml:space="preserve">neonatal alloimmune thrombocytopenia: a  management algorithm based on risk stratification. Obstet. Gynecol. 2011; 118 (5): 1157–1163 </w:t>
      </w:r>
    </w:p>
    <w:p w:rsidR="007F750E" w:rsidRDefault="00780135">
      <w:pPr>
        <w:numPr>
          <w:ilvl w:val="0"/>
          <w:numId w:val="26"/>
        </w:numPr>
        <w:ind w:right="49" w:firstLine="283"/>
      </w:pPr>
      <w:r>
        <w:t>Van den Akker E.S., Oepkes D., Lopriore E. et al. Noninvasive antenatal management of fetal and neonatal alloimmune throm</w:t>
      </w:r>
      <w:r>
        <w:t xml:space="preserve">bocytopenia: safe and  effective. BJOG. 2007; 114 (4): 469–473 </w:t>
      </w:r>
    </w:p>
    <w:p w:rsidR="007F750E" w:rsidRDefault="00780135">
      <w:pPr>
        <w:numPr>
          <w:ilvl w:val="0"/>
          <w:numId w:val="26"/>
        </w:numPr>
        <w:ind w:right="49" w:firstLine="283"/>
      </w:pPr>
      <w:r>
        <w:t>Althaus J., Weir E.G., Askin F. et al. Chronic villitis in untreated neonatal alloimmune thrombocytopenia: an etiology for severe early intrauterine growth restriction and the effect of intrav</w:t>
      </w:r>
      <w:r>
        <w:t xml:space="preserve">enous immunoglobulin therapy. Am. J. Obstet. Gynecol. 2005; 193 (3 Pt. 2): 1100–1104 </w:t>
      </w:r>
    </w:p>
    <w:p w:rsidR="007F750E" w:rsidRDefault="00780135">
      <w:pPr>
        <w:numPr>
          <w:ilvl w:val="0"/>
          <w:numId w:val="26"/>
        </w:numPr>
        <w:ind w:right="49" w:firstLine="283"/>
      </w:pPr>
      <w:r>
        <w:t>Bussel J.B., Berkowitz R.L., Hung C. et al. Intracranial hemorrhage in alloimmune thrombocytopenia: stratified management to prevent recurrence in  the subsequent affecte</w:t>
      </w:r>
      <w:r>
        <w:t xml:space="preserve">d fetus. Am. J. Obstet. Gynecol. 2010; 203 (2): 135.e1–14 </w:t>
      </w:r>
    </w:p>
    <w:p w:rsidR="007F750E" w:rsidRDefault="00780135">
      <w:pPr>
        <w:numPr>
          <w:ilvl w:val="0"/>
          <w:numId w:val="26"/>
        </w:numPr>
        <w:spacing w:after="40"/>
        <w:ind w:right="49" w:firstLine="283"/>
      </w:pPr>
      <w:r>
        <w:t xml:space="preserve">Berger M.  Adverse effects of  IgG therapy. J.  Allergy Clin. Immunol. Pract. 2013; 1 (6): 558–566 </w:t>
      </w:r>
    </w:p>
    <w:p w:rsidR="007F750E" w:rsidRDefault="00780135">
      <w:pPr>
        <w:numPr>
          <w:ilvl w:val="0"/>
          <w:numId w:val="26"/>
        </w:numPr>
        <w:spacing w:after="35"/>
        <w:ind w:right="49" w:firstLine="283"/>
      </w:pPr>
      <w:r>
        <w:t>Боровкова Е.И., Романовская В.В., Коблова А.А., Тимощук Е.Д. Неонатальная аллоиммунная тромбоцито</w:t>
      </w:r>
      <w:r>
        <w:t xml:space="preserve">пения: сложности диагностики и терапии. Актуальные вопросы женского здоровья. 2022; (1): 26–31. DOI 10.46393/2713122Х_2022_1_26    </w:t>
      </w:r>
    </w:p>
    <w:p w:rsidR="007F750E" w:rsidRDefault="00780135">
      <w:pPr>
        <w:numPr>
          <w:ilvl w:val="0"/>
          <w:numId w:val="26"/>
        </w:numPr>
        <w:spacing w:after="31"/>
        <w:ind w:right="49" w:firstLine="283"/>
      </w:pPr>
      <w:r>
        <w:t xml:space="preserve">Клинические рекомендации МЗ РФ. Идиопатическая тромбоцитопеническая пурупура (ИТП) у взрослых. 2021 </w:t>
      </w:r>
    </w:p>
    <w:p w:rsidR="007F750E" w:rsidRDefault="00780135">
      <w:pPr>
        <w:numPr>
          <w:ilvl w:val="0"/>
          <w:numId w:val="26"/>
        </w:numPr>
        <w:ind w:right="49" w:firstLine="283"/>
      </w:pPr>
      <w:r>
        <w:t>Khaspekova S. G., Shust</w:t>
      </w:r>
      <w:r>
        <w:t xml:space="preserve">ova O. N., Golubeva N. V., Naimushin Y. A., Larina L.E., Mazurov A. V. Circulating antiplatelet antibodies in pregnant women with immune thrombocytopenic purpura as predictors of thrombocytopenia in the newborns // Platelets. – 2019. – №7 – P 1-5 </w:t>
      </w:r>
    </w:p>
    <w:p w:rsidR="007F750E" w:rsidRDefault="00780135">
      <w:pPr>
        <w:numPr>
          <w:ilvl w:val="0"/>
          <w:numId w:val="26"/>
        </w:numPr>
        <w:ind w:right="49" w:firstLine="283"/>
      </w:pPr>
      <w:r>
        <w:t xml:space="preserve">Salamon </w:t>
      </w:r>
      <w:r>
        <w:t xml:space="preserve">DJ, Nusbacher J, Stroupe T, et al. Red cell and platelet-bound IgG penicillin antibodies in a patient with thrombocytopenia, Transfusion 1984;24:395-8. 8. </w:t>
      </w:r>
    </w:p>
    <w:p w:rsidR="007F750E" w:rsidRDefault="00780135">
      <w:pPr>
        <w:numPr>
          <w:ilvl w:val="0"/>
          <w:numId w:val="26"/>
        </w:numPr>
        <w:ind w:right="49" w:firstLine="283"/>
      </w:pPr>
      <w:r>
        <w:t>Murphy MF, Riordan T, Minchinton RM et al. Demonstration of an immune mediated mechanism of penicill</w:t>
      </w:r>
      <w:r>
        <w:t>in-induced neutropenia and thrombocytopenia. BrJHaematol1983;55:135-</w:t>
      </w:r>
    </w:p>
    <w:p w:rsidR="007F750E" w:rsidRDefault="00780135">
      <w:pPr>
        <w:spacing w:after="118" w:line="259" w:lineRule="auto"/>
        <w:ind w:left="-5" w:right="49"/>
      </w:pPr>
      <w:r>
        <w:t xml:space="preserve">60.9. </w:t>
      </w:r>
    </w:p>
    <w:p w:rsidR="007F750E" w:rsidRDefault="00780135">
      <w:pPr>
        <w:numPr>
          <w:ilvl w:val="0"/>
          <w:numId w:val="26"/>
        </w:numPr>
        <w:spacing w:after="117" w:line="259" w:lineRule="auto"/>
        <w:ind w:right="49" w:firstLine="283"/>
      </w:pPr>
      <w:r>
        <w:t xml:space="preserve">Parker CW. Hapten immunology and allergic reactions in humans. Arthr Rheum </w:t>
      </w:r>
    </w:p>
    <w:p w:rsidR="007F750E" w:rsidRDefault="00780135">
      <w:pPr>
        <w:spacing w:after="118" w:line="259" w:lineRule="auto"/>
        <w:ind w:left="-5" w:right="49"/>
      </w:pPr>
      <w:r>
        <w:t xml:space="preserve">1981;24:1024-36 </w:t>
      </w:r>
    </w:p>
    <w:p w:rsidR="007F750E" w:rsidRDefault="00780135">
      <w:pPr>
        <w:numPr>
          <w:ilvl w:val="0"/>
          <w:numId w:val="26"/>
        </w:numPr>
        <w:spacing w:after="112" w:line="259" w:lineRule="auto"/>
        <w:ind w:right="49" w:firstLine="283"/>
      </w:pPr>
      <w:r>
        <w:t xml:space="preserve">Aster RH. Drug-induced immune thrombocytopenia: an overview of pathogenesis. </w:t>
      </w:r>
    </w:p>
    <w:p w:rsidR="007F750E" w:rsidRDefault="00780135">
      <w:pPr>
        <w:spacing w:after="118" w:line="259" w:lineRule="auto"/>
        <w:ind w:left="293" w:right="49"/>
      </w:pPr>
      <w:r>
        <w:t xml:space="preserve">Semin Hematol 1999;36(1):2-6.]. </w:t>
      </w:r>
    </w:p>
    <w:p w:rsidR="007F750E" w:rsidRDefault="00780135">
      <w:pPr>
        <w:numPr>
          <w:ilvl w:val="0"/>
          <w:numId w:val="26"/>
        </w:numPr>
        <w:ind w:right="49" w:firstLine="283"/>
      </w:pPr>
      <w:r>
        <w:t xml:space="preserve">Cartis BR. Drug-induced immune thrombocytopenia: incidence, clinical features, laboratory testing, and pathogenic mechanisms. Immunohematology 2014;30:55-65, </w:t>
      </w:r>
    </w:p>
    <w:p w:rsidR="007F750E" w:rsidRDefault="00780135">
      <w:pPr>
        <w:numPr>
          <w:ilvl w:val="0"/>
          <w:numId w:val="26"/>
        </w:numPr>
        <w:ind w:right="49" w:firstLine="283"/>
      </w:pPr>
      <w:r>
        <w:t>Bougie D, Aster R. Immune thrombocytopenia resulting from sensit</w:t>
      </w:r>
      <w:r>
        <w:t xml:space="preserve">ivity to metabolites of naproxen and acetaminophen. Blood 2001;97:3846-50.].   </w:t>
      </w:r>
    </w:p>
    <w:p w:rsidR="007F750E" w:rsidRDefault="00780135">
      <w:pPr>
        <w:numPr>
          <w:ilvl w:val="0"/>
          <w:numId w:val="26"/>
        </w:numPr>
        <w:ind w:right="49" w:firstLine="283"/>
      </w:pPr>
      <w:r>
        <w:t xml:space="preserve">von dem Borne AE, Pegels JG, van der Stadt RJ, et al. Thrombocytopenia associated with gold therapy: a drug-induced autoimmune disease? Br J Haematol1986;63:509-16.]. </w:t>
      </w:r>
    </w:p>
    <w:p w:rsidR="007F750E" w:rsidRDefault="00780135">
      <w:pPr>
        <w:numPr>
          <w:ilvl w:val="0"/>
          <w:numId w:val="26"/>
        </w:numPr>
        <w:ind w:right="49" w:firstLine="283"/>
      </w:pPr>
      <w:r>
        <w:t>Aster RH</w:t>
      </w:r>
      <w:r>
        <w:t xml:space="preserve">. Immune thrombocytopenia caused by glycoprotein IIb/IIIa inhibitors. Chest 2005;127(2):535-98].  </w:t>
      </w:r>
    </w:p>
    <w:p w:rsidR="007F750E" w:rsidRDefault="00780135">
      <w:pPr>
        <w:numPr>
          <w:ilvl w:val="0"/>
          <w:numId w:val="26"/>
        </w:numPr>
        <w:spacing w:after="39"/>
        <w:ind w:right="49" w:firstLine="283"/>
      </w:pPr>
      <w:r>
        <w:t xml:space="preserve">Wade EE, Rebuck JA, Healy MA, et al. H2 Antagonist induced thrombocytopenia: is this real phenomenon? Intens Cite Med 2002;28:459-65 </w:t>
      </w:r>
    </w:p>
    <w:p w:rsidR="007F750E" w:rsidRDefault="00780135">
      <w:pPr>
        <w:numPr>
          <w:ilvl w:val="0"/>
          <w:numId w:val="26"/>
        </w:numPr>
        <w:ind w:right="49" w:firstLine="283"/>
      </w:pPr>
      <w:r>
        <w:t>Остроумова О. Д., Кравч</w:t>
      </w:r>
      <w:r>
        <w:t xml:space="preserve">енко Е. В., Кочетков А. И. Лекарственно-индуцированная тромбоцитопения //Клиническая фармакология и терапия. – 2019. – Т. 28. – №. 4. – С. 5664; </w:t>
      </w:r>
    </w:p>
    <w:p w:rsidR="007F750E" w:rsidRDefault="00780135">
      <w:pPr>
        <w:numPr>
          <w:ilvl w:val="0"/>
          <w:numId w:val="26"/>
        </w:numPr>
        <w:spacing w:after="118" w:line="259" w:lineRule="auto"/>
        <w:ind w:right="49" w:firstLine="283"/>
      </w:pPr>
      <w:r>
        <w:t xml:space="preserve">Manual of pediatric hematology and oncology / Philip Lanzkowsky  2005 </w:t>
      </w:r>
    </w:p>
    <w:p w:rsidR="007F750E" w:rsidRDefault="00780135">
      <w:pPr>
        <w:numPr>
          <w:ilvl w:val="0"/>
          <w:numId w:val="26"/>
        </w:numPr>
        <w:ind w:right="49" w:firstLine="283"/>
      </w:pPr>
      <w:r>
        <w:t>Van den Bemt PMLA, Meyboom RHB. Drug-in</w:t>
      </w:r>
      <w:r>
        <w:t xml:space="preserve">duced immune thrombocytopenia. Drug Saf 2004; 27:1243-52. </w:t>
      </w:r>
    </w:p>
    <w:p w:rsidR="007F750E" w:rsidRDefault="00780135">
      <w:pPr>
        <w:numPr>
          <w:ilvl w:val="0"/>
          <w:numId w:val="26"/>
        </w:numPr>
        <w:ind w:right="49" w:firstLine="283"/>
      </w:pPr>
      <w:r>
        <w:t xml:space="preserve">George JN, Raskob GE, Shah SR et al. Drug-induced thrombocytopenia a systematic review of published case reports. Ann Intern Med 1998;129:886-90. </w:t>
      </w:r>
    </w:p>
    <w:p w:rsidR="007F750E" w:rsidRDefault="00780135">
      <w:pPr>
        <w:numPr>
          <w:ilvl w:val="0"/>
          <w:numId w:val="26"/>
        </w:numPr>
        <w:ind w:right="49" w:firstLine="283"/>
      </w:pPr>
      <w:r>
        <w:t>AL-Nouri ZI, George JN. Drug-induced thrombocytope</w:t>
      </w:r>
      <w:r>
        <w:t xml:space="preserve">nia. An updated systematic review, 2012. Drug Saf 2012; 35:693-4. </w:t>
      </w:r>
    </w:p>
    <w:p w:rsidR="007F750E" w:rsidRDefault="00780135">
      <w:pPr>
        <w:numPr>
          <w:ilvl w:val="0"/>
          <w:numId w:val="26"/>
        </w:numPr>
        <w:ind w:right="49" w:firstLine="283"/>
      </w:pPr>
      <w:r>
        <w:t>Visentin GP, Newman PJ, Aster RH. Characteristics of quinine and quinidineinduced antibodies specific for platelet glycoproteins IIb and Illa. Blood1991;77:2668-76.</w:t>
      </w:r>
      <w:r>
        <w:rPr>
          <w:b/>
        </w:rPr>
        <w:t>,</w:t>
      </w:r>
      <w:r>
        <w:t xml:space="preserve"> </w:t>
      </w:r>
    </w:p>
    <w:p w:rsidR="007F750E" w:rsidRDefault="00780135">
      <w:pPr>
        <w:numPr>
          <w:ilvl w:val="0"/>
          <w:numId w:val="26"/>
        </w:numPr>
        <w:ind w:right="49" w:firstLine="283"/>
      </w:pPr>
      <w:r>
        <w:t>Conley EL, Coley KC, P</w:t>
      </w:r>
      <w:r>
        <w:t>ollock BG, et al. Prevalence and risk of thrombocytopenia with valproic acid: experience at a psychiatric teaching hospital.Pharmacotherapy 2001;21:1325-30 112.</w:t>
      </w:r>
      <w:r>
        <w:rPr>
          <w:rFonts w:ascii="Arial" w:eastAsia="Arial" w:hAnsi="Arial" w:cs="Arial"/>
        </w:rPr>
        <w:t xml:space="preserve"> </w:t>
      </w:r>
      <w:r>
        <w:t>Mailman JF, Stigant C, Martinusen D. Moxifloxacin-induced immune-mediated thrombocytopenia in a</w:t>
      </w:r>
      <w:r>
        <w:t xml:space="preserve"> chronic kidney disease patient receiving hemodialysis. Annal Pharmacother 2014; 48:919-22. </w:t>
      </w:r>
    </w:p>
    <w:p w:rsidR="007F750E" w:rsidRDefault="00780135">
      <w:pPr>
        <w:numPr>
          <w:ilvl w:val="0"/>
          <w:numId w:val="25"/>
        </w:numPr>
        <w:ind w:right="49" w:firstLine="283"/>
      </w:pPr>
      <w:r>
        <w:t xml:space="preserve">Ranieri </w:t>
      </w:r>
      <w:r>
        <w:tab/>
        <w:t xml:space="preserve">MM, </w:t>
      </w:r>
      <w:r>
        <w:tab/>
        <w:t xml:space="preserve">Bradley </w:t>
      </w:r>
      <w:r>
        <w:tab/>
        <w:t xml:space="preserve">EF, </w:t>
      </w:r>
      <w:r>
        <w:tab/>
        <w:t xml:space="preserve">Simon </w:t>
      </w:r>
      <w:r>
        <w:tab/>
        <w:t xml:space="preserve">AB. </w:t>
      </w:r>
      <w:r>
        <w:tab/>
        <w:t xml:space="preserve">Meloxicam-induced thrombocytopenia.Pharmacotherapy. 2014; 34:e14-17. </w:t>
      </w:r>
    </w:p>
    <w:p w:rsidR="007F750E" w:rsidRDefault="00780135">
      <w:pPr>
        <w:numPr>
          <w:ilvl w:val="0"/>
          <w:numId w:val="25"/>
        </w:numPr>
        <w:ind w:right="49" w:firstLine="283"/>
      </w:pPr>
      <w:r>
        <w:t>Agipakis DI, Massa EV. A case of fenofibrate-</w:t>
      </w:r>
      <w:r>
        <w:t xml:space="preserve">induced immune thrombocytopenia: first report. P R Health Sci J 2015; 34:170-3 </w:t>
      </w:r>
    </w:p>
    <w:p w:rsidR="007F750E" w:rsidRDefault="00780135">
      <w:pPr>
        <w:numPr>
          <w:ilvl w:val="0"/>
          <w:numId w:val="25"/>
        </w:numPr>
        <w:ind w:right="49" w:firstLine="283"/>
      </w:pPr>
      <w:r>
        <w:t xml:space="preserve">Tan MW, Sklar GE. Pentoxflline-induced thrombocytopenia: a case report. J PharmPract 2015; 28:572-6 </w:t>
      </w:r>
    </w:p>
    <w:p w:rsidR="007F750E" w:rsidRDefault="00780135">
      <w:pPr>
        <w:numPr>
          <w:ilvl w:val="0"/>
          <w:numId w:val="25"/>
        </w:numPr>
        <w:ind w:right="49" w:firstLine="283"/>
      </w:pPr>
      <w:r>
        <w:t>Del Vecchio A. Evaluation and management of thrombocytopenic neonates in th</w:t>
      </w:r>
      <w:r>
        <w:t>e intensive care unit. Early Human Development. 2014;</w:t>
      </w:r>
      <w:r>
        <w:rPr>
          <w:b/>
        </w:rPr>
        <w:t>90</w:t>
      </w:r>
      <w:r>
        <w:t xml:space="preserve">(S2):551-555 </w:t>
      </w:r>
    </w:p>
    <w:p w:rsidR="007F750E" w:rsidRDefault="00780135">
      <w:pPr>
        <w:numPr>
          <w:ilvl w:val="0"/>
          <w:numId w:val="25"/>
        </w:numPr>
        <w:spacing w:after="116" w:line="259" w:lineRule="auto"/>
        <w:ind w:right="49" w:firstLine="283"/>
      </w:pPr>
      <w:r>
        <w:t xml:space="preserve">Bernhard Resch Thrombocytopenia in Neonates DOI: </w:t>
      </w:r>
      <w:hyperlink r:id="rId18">
        <w:r>
          <w:t>10.5772/intechopen.92857</w:t>
        </w:r>
      </w:hyperlink>
      <w:hyperlink r:id="rId19">
        <w:r>
          <w:t xml:space="preserve"> </w:t>
        </w:r>
      </w:hyperlink>
    </w:p>
    <w:p w:rsidR="007F750E" w:rsidRDefault="00780135">
      <w:pPr>
        <w:numPr>
          <w:ilvl w:val="0"/>
          <w:numId w:val="25"/>
        </w:numPr>
        <w:spacing w:after="117" w:line="259" w:lineRule="auto"/>
        <w:ind w:right="49" w:firstLine="283"/>
      </w:pPr>
      <w:r>
        <w:t xml:space="preserve">SE Wiedmeier, E Henry, MC Sola-Visner and RD Christensen; Journal of Perinatology </w:t>
      </w:r>
    </w:p>
    <w:p w:rsidR="007F750E" w:rsidRDefault="00780135">
      <w:pPr>
        <w:spacing w:after="116" w:line="259" w:lineRule="auto"/>
        <w:ind w:left="-5" w:right="49"/>
      </w:pPr>
      <w:r>
        <w:t xml:space="preserve">(2009) 29, 130 –136  </w:t>
      </w:r>
    </w:p>
    <w:p w:rsidR="007F750E" w:rsidRDefault="00780135">
      <w:pPr>
        <w:numPr>
          <w:ilvl w:val="0"/>
          <w:numId w:val="27"/>
        </w:numPr>
        <w:ind w:right="47" w:firstLine="273"/>
      </w:pPr>
      <w:r>
        <w:t>Curley A, Stanworth SJ, Willoughby K, Fustolo-Gunnink SF, Venkatesh V, Hudson C, Deary A, Hodge R, Hopkins V, Lopez Santamaria B, Mora A, L</w:t>
      </w:r>
      <w:r>
        <w:t>lewelyn C, D'Amore A, Khan R, Onland W, Lopriore E, Fijnvandraat K, New H, Clarke P, Watts T; PlaNeT2 MATISSE Collaborators. Randomized Trial of Platelet-Transfusion Thresholds in Neonates. N Engl J Med. 2019 Jan 17;380(3):242-251. doi: 10.1056/NEJMoa18073</w:t>
      </w:r>
      <w:r>
        <w:t xml:space="preserve">20. </w:t>
      </w:r>
    </w:p>
    <w:p w:rsidR="007F750E" w:rsidRDefault="00780135">
      <w:pPr>
        <w:numPr>
          <w:ilvl w:val="0"/>
          <w:numId w:val="27"/>
        </w:numPr>
        <w:spacing w:after="43" w:line="358" w:lineRule="auto"/>
        <w:ind w:right="47" w:firstLine="273"/>
      </w:pPr>
      <w:r>
        <w:rPr>
          <w:color w:val="212121"/>
        </w:rPr>
        <w:t xml:space="preserve">de Vos TW, Winkelhorst D, de Haas M, Lopriore E, Oepkes D. Epidemiology and management of fetal and neonatal alloimmune thrombocytopenia. TransfusApher Sci. 2020 Feb;59(1):102704. doi: 10.1016/j.transci.2019.102704. </w:t>
      </w:r>
      <w:r>
        <w:t xml:space="preserve"> </w:t>
      </w:r>
    </w:p>
    <w:p w:rsidR="007F750E" w:rsidRDefault="00780135">
      <w:pPr>
        <w:numPr>
          <w:ilvl w:val="0"/>
          <w:numId w:val="27"/>
        </w:numPr>
        <w:spacing w:after="39" w:line="358" w:lineRule="auto"/>
        <w:ind w:right="47" w:firstLine="273"/>
      </w:pPr>
      <w:r>
        <w:rPr>
          <w:color w:val="212121"/>
        </w:rPr>
        <w:t xml:space="preserve">de Vos TW, Winkelhorst D, Árnadóttir V, van der Bom JG, Canals Surís C, CaramDeelder C, Deschmann E, Haysom HE, Hverven HBC, LozarKrivec J, McQuilten ZK, MuñizDiaz E, Nogués N, Oepkes D, Porcelijn L, van der Schoot CE, Saxonhouse M, Sola-Visner M, </w:t>
      </w:r>
    </w:p>
    <w:p w:rsidR="007F750E" w:rsidRDefault="00780135">
      <w:pPr>
        <w:spacing w:after="1" w:line="358" w:lineRule="auto"/>
        <w:ind w:left="-15" w:right="47" w:firstLine="0"/>
      </w:pPr>
      <w:r>
        <w:rPr>
          <w:color w:val="212121"/>
        </w:rPr>
        <w:t xml:space="preserve">Tiblad </w:t>
      </w:r>
      <w:r>
        <w:rPr>
          <w:color w:val="212121"/>
        </w:rPr>
        <w:t xml:space="preserve">E, Tiller H, Wood EM, Young V, Železnik M, de Haas M, Lopriore E. Postnatal treatment for children with fetal and neonatal alloimmune thrombocytopenia: a multicentre, retrospective, cohort study. Lancet Haematol. 2022 Nov;9(11):e844-e853. </w:t>
      </w:r>
      <w:r>
        <w:t xml:space="preserve"> </w:t>
      </w:r>
    </w:p>
    <w:p w:rsidR="007F750E" w:rsidRDefault="00780135">
      <w:pPr>
        <w:numPr>
          <w:ilvl w:val="0"/>
          <w:numId w:val="27"/>
        </w:numPr>
        <w:spacing w:after="1" w:line="358" w:lineRule="auto"/>
        <w:ind w:right="47" w:firstLine="273"/>
      </w:pPr>
      <w:r>
        <w:rPr>
          <w:color w:val="212121"/>
        </w:rPr>
        <w:t xml:space="preserve">Winkelhorst D, </w:t>
      </w:r>
      <w:r>
        <w:rPr>
          <w:color w:val="212121"/>
        </w:rPr>
        <w:t>Oostweegel M, Porcelijn L, Middelburg RA, Zwaginga JJ, Oepkes D, van der Bom JG, de Haas M, Lopriore E. Treatment and outcomes of fetal/neonatal alloimmune thrombocytopenia: a nationwide cohort study in newly detected cases. Br J Haematol. 2019 Mar;184(6):</w:t>
      </w:r>
      <w:r>
        <w:rPr>
          <w:color w:val="212121"/>
        </w:rPr>
        <w:t>1026-1029. doi: 10.1111/bjh.15216.</w:t>
      </w:r>
      <w:r>
        <w:t xml:space="preserve"> </w:t>
      </w:r>
    </w:p>
    <w:p w:rsidR="007F750E" w:rsidRDefault="00780135">
      <w:pPr>
        <w:numPr>
          <w:ilvl w:val="0"/>
          <w:numId w:val="27"/>
        </w:numPr>
        <w:spacing w:after="115" w:line="259" w:lineRule="auto"/>
        <w:ind w:right="47" w:firstLine="273"/>
      </w:pPr>
      <w:r>
        <w:rPr>
          <w:color w:val="212121"/>
        </w:rPr>
        <w:t xml:space="preserve">New HV, Berryman J, Bolton-Maggs PH, Cantwell C, Chalmers EA, Davies T, Gottstein </w:t>
      </w:r>
    </w:p>
    <w:p w:rsidR="007F750E" w:rsidRDefault="00780135">
      <w:pPr>
        <w:spacing w:after="1" w:line="358" w:lineRule="auto"/>
        <w:ind w:left="-15" w:right="47" w:firstLine="0"/>
      </w:pPr>
      <w:r>
        <w:rPr>
          <w:color w:val="212121"/>
        </w:rPr>
        <w:t xml:space="preserve">R, Kelleher A, Kumar S, Morley SL, Stanworth SJ; British Committee for Standards in </w:t>
      </w:r>
      <w:r>
        <w:rPr>
          <w:color w:val="212121"/>
        </w:rPr>
        <w:t>Haematology. Guidelines on transfusion for fetuses, neonates and older children. Br J Haematol. 2016 Dec;175(5):784-828. doi: 10.1111/bjh.14233.</w:t>
      </w:r>
      <w:r>
        <w:t xml:space="preserve"> </w:t>
      </w:r>
    </w:p>
    <w:p w:rsidR="007F750E" w:rsidRDefault="00780135">
      <w:pPr>
        <w:numPr>
          <w:ilvl w:val="0"/>
          <w:numId w:val="27"/>
        </w:numPr>
        <w:spacing w:after="1" w:line="358" w:lineRule="auto"/>
        <w:ind w:right="47" w:firstLine="273"/>
      </w:pPr>
      <w:r>
        <w:rPr>
          <w:color w:val="212121"/>
        </w:rPr>
        <w:t>Sparger K, Deschmann E, Sola-Visner M. Platelet Transfusions in the Neonatal Intensive Care Unit. ClinPerinato</w:t>
      </w:r>
      <w:r>
        <w:rPr>
          <w:color w:val="212121"/>
        </w:rPr>
        <w:t xml:space="preserve">l. 2015 Sep;42(3):613-23. doi: 10.1016/j.clp.2015.04.009. </w:t>
      </w:r>
      <w:r>
        <w:t xml:space="preserve"> </w:t>
      </w:r>
    </w:p>
    <w:p w:rsidR="007F750E" w:rsidRDefault="00780135">
      <w:pPr>
        <w:numPr>
          <w:ilvl w:val="0"/>
          <w:numId w:val="27"/>
        </w:numPr>
        <w:ind w:right="47" w:firstLine="273"/>
      </w:pPr>
      <w:r>
        <w:t xml:space="preserve">Batton E, Leibel SL. Immune-Mediated Neonatal Thrombocytopenia. Neoreviews. 2022 Jul 1;23(7):e462-e471. </w:t>
      </w:r>
      <w:r>
        <w:rPr>
          <w:noProof/>
        </w:rPr>
        <w:drawing>
          <wp:inline distT="0" distB="0" distL="0" distR="0">
            <wp:extent cx="240792" cy="169164"/>
            <wp:effectExtent l="0" t="0" r="0" b="0"/>
            <wp:docPr id="5068" name="Picture 5068"/>
            <wp:cNvGraphicFramePr/>
            <a:graphic xmlns:a="http://schemas.openxmlformats.org/drawingml/2006/main">
              <a:graphicData uri="http://schemas.openxmlformats.org/drawingml/2006/picture">
                <pic:pic xmlns:pic="http://schemas.openxmlformats.org/drawingml/2006/picture">
                  <pic:nvPicPr>
                    <pic:cNvPr id="5068" name="Picture 5068"/>
                    <pic:cNvPicPr/>
                  </pic:nvPicPr>
                  <pic:blipFill>
                    <a:blip r:embed="rId20"/>
                    <a:stretch>
                      <a:fillRect/>
                    </a:stretch>
                  </pic:blipFill>
                  <pic:spPr>
                    <a:xfrm>
                      <a:off x="0" y="0"/>
                      <a:ext cx="240792" cy="169164"/>
                    </a:xfrm>
                    <a:prstGeom prst="rect">
                      <a:avLst/>
                    </a:prstGeom>
                  </pic:spPr>
                </pic:pic>
              </a:graphicData>
            </a:graphic>
          </wp:inline>
        </w:drawing>
      </w:r>
      <w:r>
        <w:t xml:space="preserve"> </w:t>
      </w:r>
    </w:p>
    <w:p w:rsidR="007F750E" w:rsidRDefault="00780135">
      <w:pPr>
        <w:spacing w:after="1" w:line="358" w:lineRule="auto"/>
        <w:ind w:left="-15" w:right="47" w:firstLine="273"/>
      </w:pPr>
      <w:r>
        <w:rPr>
          <w:color w:val="212121"/>
        </w:rPr>
        <w:t xml:space="preserve">126.Venkatesh V, Curley A, Khan R, et al.. A novel approach to standardised recording of </w:t>
      </w:r>
      <w:r>
        <w:rPr>
          <w:color w:val="212121"/>
        </w:rPr>
        <w:t xml:space="preserve">bleeding in a high risk neonatal population. </w:t>
      </w:r>
      <w:r>
        <w:rPr>
          <w:i/>
          <w:color w:val="212121"/>
        </w:rPr>
        <w:t>Arch Dis Child Fetal Neonatal Ed</w:t>
      </w:r>
      <w:r>
        <w:rPr>
          <w:color w:val="212121"/>
        </w:rPr>
        <w:t>. 2013;98(3):F260-</w:t>
      </w:r>
    </w:p>
    <w:p w:rsidR="007F750E" w:rsidRDefault="00780135">
      <w:pPr>
        <w:spacing w:after="115" w:line="259" w:lineRule="auto"/>
        <w:ind w:left="-15" w:right="47" w:firstLine="0"/>
      </w:pPr>
      <w:r>
        <w:rPr>
          <w:color w:val="212121"/>
        </w:rPr>
        <w:t xml:space="preserve">F263. doi: 10.1136/archdischild-2012-302443 </w:t>
      </w:r>
    </w:p>
    <w:p w:rsidR="007F750E" w:rsidRDefault="00780135">
      <w:pPr>
        <w:numPr>
          <w:ilvl w:val="0"/>
          <w:numId w:val="28"/>
        </w:numPr>
        <w:spacing w:after="38" w:line="358" w:lineRule="auto"/>
        <w:ind w:right="47" w:firstLine="273"/>
      </w:pPr>
      <w:r>
        <w:rPr>
          <w:color w:val="212121"/>
        </w:rPr>
        <w:t>Неонатальная гематология: практическое руководство/ И. Робертс, Б.Дж. Бейн; пер. с англ. под ред. Е.Н. Балашовой, -</w:t>
      </w:r>
      <w:r>
        <w:rPr>
          <w:color w:val="212121"/>
        </w:rPr>
        <w:t xml:space="preserve"> Москва: ГЭОТАР-Медиа, 2024. – 248 с. </w:t>
      </w:r>
    </w:p>
    <w:p w:rsidR="007F750E" w:rsidRDefault="00780135">
      <w:pPr>
        <w:numPr>
          <w:ilvl w:val="0"/>
          <w:numId w:val="28"/>
        </w:numPr>
        <w:spacing w:after="1" w:line="358" w:lineRule="auto"/>
        <w:ind w:right="47" w:firstLine="273"/>
      </w:pPr>
      <w:r>
        <w:rPr>
          <w:color w:val="212121"/>
        </w:rPr>
        <w:t>Sokou R, Gounari EA, Lianou A, Tsantes AG, Piovani D, Bonovas S, Iacovidou N, Tsantes AE. Rethinking Platelet and Plasma Transfusion Strategies for Neonates: Evidence, Guidelines, and Unanswered Questions. Semin Throm</w:t>
      </w:r>
      <w:r>
        <w:rPr>
          <w:color w:val="212121"/>
        </w:rPr>
        <w:t xml:space="preserve">b Hemost. 2026 Feb;52(1):56-79. </w:t>
      </w:r>
    </w:p>
    <w:p w:rsidR="007F750E" w:rsidRDefault="00780135">
      <w:pPr>
        <w:numPr>
          <w:ilvl w:val="0"/>
          <w:numId w:val="28"/>
        </w:numPr>
        <w:spacing w:after="1" w:line="358" w:lineRule="auto"/>
        <w:ind w:right="47" w:firstLine="273"/>
      </w:pPr>
      <w:r>
        <w:rPr>
          <w:color w:val="212121"/>
        </w:rPr>
        <w:t xml:space="preserve">Beltrami-Moreira M, Sharma A, Bussel JB. Immune thrombocytopenia and pregnancy: challenges and opportunities in diagnosis and management. Expert Rev Hematol. 2024 Sep;17(9):595-607. </w:t>
      </w:r>
    </w:p>
    <w:p w:rsidR="007F750E" w:rsidRDefault="00780135">
      <w:pPr>
        <w:numPr>
          <w:ilvl w:val="0"/>
          <w:numId w:val="28"/>
        </w:numPr>
        <w:spacing w:after="1" w:line="358" w:lineRule="auto"/>
        <w:ind w:right="47" w:firstLine="273"/>
      </w:pPr>
      <w:r>
        <w:rPr>
          <w:color w:val="212121"/>
        </w:rPr>
        <w:t>Winkelhorst D, Kamphuis MM, Steggerda SJ</w:t>
      </w:r>
      <w:r>
        <w:rPr>
          <w:color w:val="212121"/>
        </w:rPr>
        <w:t xml:space="preserve">, Rijken M, Oepkes D, Lopriore E, van Klink JMM. Perinatal Outcome and Long-Term Neurodevelopment after Intracranial Haemorrhage due to Fetal and Neonatal Alloimmune Thrombocytopenia. Fetal Diagn Ther. 2019;45(3):184-191. </w:t>
      </w:r>
    </w:p>
    <w:p w:rsidR="007F750E" w:rsidRDefault="00780135">
      <w:pPr>
        <w:numPr>
          <w:ilvl w:val="0"/>
          <w:numId w:val="28"/>
        </w:numPr>
        <w:spacing w:after="1" w:line="358" w:lineRule="auto"/>
        <w:ind w:right="47" w:firstLine="273"/>
      </w:pPr>
      <w:r>
        <w:rPr>
          <w:color w:val="212121"/>
        </w:rPr>
        <w:t>Mohila CA, Kubicka ZJ, Ornvold KT</w:t>
      </w:r>
      <w:r>
        <w:rPr>
          <w:color w:val="212121"/>
        </w:rPr>
        <w:t xml:space="preserve">, Harris BT. Cerebellar loss and brain-stem atrophy associated with neonatal alloimmune thrombocytopenia in a discordant twin. Pediatr Dev Pathol. 2010 Jan-Feb;13(1):55-62. </w:t>
      </w:r>
    </w:p>
    <w:p w:rsidR="007F750E" w:rsidRDefault="00780135">
      <w:pPr>
        <w:numPr>
          <w:ilvl w:val="0"/>
          <w:numId w:val="28"/>
        </w:numPr>
        <w:spacing w:after="28"/>
        <w:ind w:right="47" w:firstLine="273"/>
      </w:pPr>
      <w:r>
        <w:t xml:space="preserve">Kaplan C. Immune thrombocytopenia in the foetus and the newborn: diagnosis and therapy. Transfus Clin Biol. 2001 Jun;8(3):311-4. </w:t>
      </w:r>
    </w:p>
    <w:p w:rsidR="007F750E" w:rsidRDefault="00780135">
      <w:pPr>
        <w:numPr>
          <w:ilvl w:val="0"/>
          <w:numId w:val="28"/>
        </w:numPr>
        <w:spacing w:after="117" w:line="259" w:lineRule="auto"/>
        <w:ind w:right="47" w:firstLine="273"/>
      </w:pPr>
      <w:r>
        <w:t xml:space="preserve">Кривошеина Л., Кольцова С. Ю., Рябцев А. А. [и др.] Неонатальные </w:t>
      </w:r>
    </w:p>
    <w:p w:rsidR="007F750E" w:rsidRDefault="00780135">
      <w:pPr>
        <w:ind w:left="-5" w:right="49"/>
      </w:pPr>
      <w:r>
        <w:t xml:space="preserve">тромбоцитопении (обзор литературы и клинические наблюдения) </w:t>
      </w:r>
      <w:r>
        <w:t xml:space="preserve">/ Е. // Верхневолжский медицинский журнал. – 2021. – Т. 20, № 4. – С. 23-30. </w:t>
      </w:r>
    </w:p>
    <w:p w:rsidR="007F750E" w:rsidRDefault="00780135">
      <w:pPr>
        <w:spacing w:after="0" w:line="400" w:lineRule="auto"/>
        <w:ind w:left="2895" w:hanging="2621"/>
        <w:jc w:val="left"/>
      </w:pPr>
      <w:r>
        <w:rPr>
          <w:b/>
          <w:sz w:val="28"/>
        </w:rPr>
        <w:t xml:space="preserve">Приложение А1. Состав рабочей группы по разработке и пересмотру </w:t>
      </w:r>
    </w:p>
    <w:p w:rsidR="007F750E" w:rsidRDefault="00780135">
      <w:pPr>
        <w:pStyle w:val="Heading1"/>
        <w:spacing w:after="0" w:line="400" w:lineRule="auto"/>
        <w:ind w:left="2895" w:right="0" w:hanging="2621"/>
        <w:jc w:val="left"/>
      </w:pPr>
      <w:r>
        <w:t xml:space="preserve">клинических рекомендаций </w:t>
      </w:r>
    </w:p>
    <w:p w:rsidR="007F750E" w:rsidRDefault="00780135">
      <w:pPr>
        <w:spacing w:after="140" w:line="259" w:lineRule="auto"/>
        <w:ind w:left="16" w:firstLine="0"/>
        <w:jc w:val="center"/>
      </w:pPr>
      <w:r>
        <w:rPr>
          <w:b/>
          <w:sz w:val="28"/>
        </w:rPr>
        <w:t xml:space="preserve"> </w:t>
      </w:r>
    </w:p>
    <w:p w:rsidR="007F750E" w:rsidRDefault="00780135">
      <w:pPr>
        <w:numPr>
          <w:ilvl w:val="0"/>
          <w:numId w:val="29"/>
        </w:numPr>
        <w:spacing w:after="37"/>
        <w:ind w:right="49" w:hanging="425"/>
      </w:pPr>
      <w:r>
        <w:rPr>
          <w:b/>
        </w:rPr>
        <w:t>Иванов Дмитрий Олегович</w:t>
      </w:r>
      <w:r>
        <w:t xml:space="preserve">- доктор медицинских наук, профессор, ректор ФГБОУ ВО СПбГПМУ </w:t>
      </w:r>
      <w:r>
        <w:t xml:space="preserve">МЗ РФ, заведующий кафедрой неонатологии с курсами неврологии и акушерства-гинекологии факультета послевузовского образования ФГБОУ ВО СПбГПМУ Минздрава России, главный внештатный специалист неонатолог Министерства здравоохранения Российской Федерации  </w:t>
      </w:r>
    </w:p>
    <w:p w:rsidR="007F750E" w:rsidRDefault="00780135">
      <w:pPr>
        <w:numPr>
          <w:ilvl w:val="0"/>
          <w:numId w:val="29"/>
        </w:numPr>
        <w:ind w:right="49" w:hanging="425"/>
      </w:pPr>
      <w:r>
        <w:rPr>
          <w:b/>
        </w:rPr>
        <w:t>Бал</w:t>
      </w:r>
      <w:r>
        <w:rPr>
          <w:b/>
        </w:rPr>
        <w:t>ашова Екатерина Николаевна</w:t>
      </w:r>
      <w:r>
        <w:t xml:space="preserve"> – к.м.н., ведущий научный сотрудник ОРИТ и м</w:t>
      </w:r>
    </w:p>
    <w:p w:rsidR="007F750E" w:rsidRDefault="00780135">
      <w:pPr>
        <w:spacing w:after="2" w:line="397" w:lineRule="auto"/>
        <w:ind w:left="703" w:right="8469"/>
        <w:jc w:val="left"/>
      </w:pPr>
      <w:r>
        <w:t>е н и</w:t>
      </w:r>
    </w:p>
    <w:p w:rsidR="007F750E" w:rsidRDefault="00780135">
      <w:pPr>
        <w:spacing w:after="163" w:line="259" w:lineRule="auto"/>
        <w:ind w:left="708" w:firstLine="0"/>
        <w:jc w:val="left"/>
      </w:pPr>
      <w:r>
        <w:t xml:space="preserve"> </w:t>
      </w:r>
    </w:p>
    <w:p w:rsidR="007F750E" w:rsidRDefault="00780135">
      <w:pPr>
        <w:numPr>
          <w:ilvl w:val="0"/>
          <w:numId w:val="29"/>
        </w:numPr>
        <w:spacing w:after="36"/>
        <w:ind w:right="49" w:hanging="425"/>
      </w:pPr>
      <w:r>
        <w:t>п</w:t>
      </w:r>
      <w:r>
        <w:rPr>
          <w:b/>
        </w:rPr>
        <w:t xml:space="preserve">Белоусова Тамара Владимировна </w:t>
      </w:r>
      <w:r>
        <w:t xml:space="preserve">– </w:t>
      </w:r>
      <w:r>
        <w:t xml:space="preserve">д.м.н., профессор, заведующая кафедрой рпедиатрии и неонатологии педиатрического факультета ФГБОУ ВО о«Новосибирский государственный медицинский университет» Минздрава России.  </w:t>
      </w:r>
    </w:p>
    <w:p w:rsidR="007F750E" w:rsidRDefault="00780135">
      <w:pPr>
        <w:numPr>
          <w:ilvl w:val="0"/>
          <w:numId w:val="29"/>
        </w:numPr>
        <w:spacing w:after="32"/>
        <w:ind w:right="49" w:hanging="425"/>
      </w:pPr>
      <w:r>
        <w:t>ф</w:t>
      </w:r>
      <w:r>
        <w:rPr>
          <w:b/>
        </w:rPr>
        <w:t xml:space="preserve">Бем Елена Венедиктовна </w:t>
      </w:r>
      <w:r>
        <w:t>– к.м.н., ассистент кафедры неонатологии с курсами .не</w:t>
      </w:r>
      <w:r>
        <w:t xml:space="preserve">врологии и акушерства-гинекологии ФП и ДПО  </w:t>
      </w:r>
    </w:p>
    <w:p w:rsidR="007F750E" w:rsidRDefault="00780135">
      <w:pPr>
        <w:numPr>
          <w:ilvl w:val="0"/>
          <w:numId w:val="29"/>
        </w:numPr>
        <w:spacing w:after="33"/>
        <w:ind w:right="49" w:hanging="425"/>
      </w:pPr>
      <w:r>
        <w:rPr>
          <w:b/>
        </w:rPr>
        <w:t>Казанцева Анастасия Юрьевна</w:t>
      </w:r>
      <w:r>
        <w:t xml:space="preserve"> - врач-гематолог отделения онкогематологии Аклиники ФГБОУ ВО СПбГПМУ Минздрава России </w:t>
      </w:r>
    </w:p>
    <w:p w:rsidR="007F750E" w:rsidRDefault="00780135">
      <w:pPr>
        <w:numPr>
          <w:ilvl w:val="0"/>
          <w:numId w:val="29"/>
        </w:numPr>
        <w:spacing w:after="121" w:line="259" w:lineRule="auto"/>
        <w:ind w:right="49" w:hanging="425"/>
      </w:pPr>
      <w:r>
        <w:t>.</w:t>
      </w:r>
      <w:r>
        <w:rPr>
          <w:b/>
        </w:rPr>
        <w:t xml:space="preserve">Мызникова </w:t>
      </w:r>
      <w:r>
        <w:rPr>
          <w:b/>
        </w:rPr>
        <w:tab/>
        <w:t xml:space="preserve">Ирина </w:t>
      </w:r>
      <w:r>
        <w:rPr>
          <w:b/>
        </w:rPr>
        <w:tab/>
        <w:t>Владимировна</w:t>
      </w:r>
      <w:r>
        <w:t xml:space="preserve"> </w:t>
      </w:r>
      <w:r>
        <w:tab/>
        <w:t xml:space="preserve">заведующая </w:t>
      </w:r>
      <w:r>
        <w:tab/>
        <w:t xml:space="preserve">отделением </w:t>
      </w:r>
      <w:r>
        <w:tab/>
        <w:t xml:space="preserve">патологии </w:t>
      </w:r>
    </w:p>
    <w:p w:rsidR="007F750E" w:rsidRDefault="00780135">
      <w:pPr>
        <w:spacing w:after="35"/>
        <w:ind w:left="718" w:right="49"/>
      </w:pPr>
      <w:r>
        <w:t>Гноворожденных и недоношенны</w:t>
      </w:r>
      <w:r>
        <w:t xml:space="preserve">х детей перинатального центра ФГБОУ ВО .СПбГПМУ Минздрава России </w:t>
      </w:r>
    </w:p>
    <w:p w:rsidR="007F750E" w:rsidRDefault="00780135">
      <w:pPr>
        <w:numPr>
          <w:ilvl w:val="0"/>
          <w:numId w:val="29"/>
        </w:numPr>
        <w:spacing w:after="33"/>
        <w:ind w:right="49" w:hanging="425"/>
      </w:pPr>
      <w:r>
        <w:rPr>
          <w:b/>
        </w:rPr>
        <w:t>Павлова Светлана Евгеньевна</w:t>
      </w:r>
      <w:r>
        <w:t xml:space="preserve">- ассистент кафедры неонатологии с курсами Аневрологии и акушерства-гинекологии ФП и ДПО ФГБОУ ВО СПбГПМУ нМинздрава России </w:t>
      </w:r>
    </w:p>
    <w:p w:rsidR="007F750E" w:rsidRDefault="00780135">
      <w:pPr>
        <w:numPr>
          <w:ilvl w:val="0"/>
          <w:numId w:val="29"/>
        </w:numPr>
        <w:spacing w:after="2" w:line="397" w:lineRule="auto"/>
        <w:ind w:right="49" w:hanging="425"/>
      </w:pPr>
      <w:r>
        <w:t>т</w:t>
      </w:r>
      <w:r>
        <w:rPr>
          <w:b/>
        </w:rPr>
        <w:t xml:space="preserve">Панченко Александра Сергеевна </w:t>
      </w:r>
      <w:r>
        <w:t xml:space="preserve">- </w:t>
      </w:r>
      <w:r>
        <w:t xml:space="preserve">доктор медицинских наук, профессор кафедры онеонатологии с курсами неврологии и акушерства-гинекологии ФП и ДПО, ФГБОУ нВО СПбГПМУ Минздрава России. </w:t>
      </w:r>
    </w:p>
    <w:p w:rsidR="007F750E" w:rsidRDefault="00780135">
      <w:pPr>
        <w:numPr>
          <w:ilvl w:val="0"/>
          <w:numId w:val="29"/>
        </w:numPr>
        <w:spacing w:after="31"/>
        <w:ind w:right="49" w:hanging="425"/>
      </w:pPr>
      <w:r>
        <w:t>о</w:t>
      </w:r>
      <w:r>
        <w:rPr>
          <w:b/>
        </w:rPr>
        <w:t xml:space="preserve">Пшеничная Ксения Ивановна- </w:t>
      </w:r>
      <w:r>
        <w:t>доктор медицинских наук, профессор кафедры вдетских болезней им. профессора И.</w:t>
      </w:r>
      <w:r>
        <w:t xml:space="preserve"> М. Воронцова ФП и ДПО, ФГБОУ ВО аСПбГПМУ Минздрава России. </w:t>
      </w:r>
    </w:p>
    <w:p w:rsidR="007F750E" w:rsidRDefault="00780135">
      <w:pPr>
        <w:ind w:left="718" w:right="49"/>
      </w:pPr>
      <w:r>
        <w:t>Института неонатологии и педиатрии, доцент кафедры неонатологии Института профессионального образования ФГБУ «НМИЦ АГП имени В.И. Кулакова» Минздрава России, доцент кафедры неонатологии Клиническ</w:t>
      </w:r>
      <w:r>
        <w:t xml:space="preserve">ого института детского здоровья им. Н.Ф. Филатова ФГАОУ ВО Первый МГМУ им. И.М. Сеченова МЗ РФ </w:t>
      </w:r>
    </w:p>
    <w:p w:rsidR="007F750E" w:rsidRDefault="00780135">
      <w:pPr>
        <w:numPr>
          <w:ilvl w:val="0"/>
          <w:numId w:val="29"/>
        </w:numPr>
        <w:spacing w:after="34"/>
        <w:ind w:right="49" w:hanging="425"/>
      </w:pPr>
      <w:r>
        <w:rPr>
          <w:b/>
        </w:rPr>
        <w:t xml:space="preserve">Романова Лариса Андреевна - </w:t>
      </w:r>
      <w:r>
        <w:t>кандидат медицинских наук, доцент кафедры неонатологии с курсами неврологии и акушерства-гинекологии ФП и ДПО, ФГБОУ ВО СПбГПМУ Минз</w:t>
      </w:r>
      <w:r>
        <w:t xml:space="preserve">драва России. </w:t>
      </w:r>
    </w:p>
    <w:p w:rsidR="007F750E" w:rsidRDefault="00780135">
      <w:pPr>
        <w:numPr>
          <w:ilvl w:val="0"/>
          <w:numId w:val="29"/>
        </w:numPr>
        <w:spacing w:after="35"/>
        <w:ind w:right="49" w:hanging="425"/>
      </w:pPr>
      <w:r>
        <w:rPr>
          <w:b/>
        </w:rPr>
        <w:t>Субора Нина Владимировна</w:t>
      </w:r>
      <w:r>
        <w:t xml:space="preserve"> врач-гематолог отделения онкогематологии клиники ФГБОУ ВО СПбГПМУ Минздрава России </w:t>
      </w:r>
    </w:p>
    <w:p w:rsidR="007F750E" w:rsidRDefault="00780135">
      <w:pPr>
        <w:numPr>
          <w:ilvl w:val="0"/>
          <w:numId w:val="29"/>
        </w:numPr>
        <w:spacing w:after="32"/>
        <w:ind w:right="49" w:hanging="425"/>
      </w:pPr>
      <w:r>
        <w:rPr>
          <w:b/>
        </w:rPr>
        <w:t>Федорова Лариса Арзумановна</w:t>
      </w:r>
      <w:r>
        <w:t>– кандидат медицинских наук, доцент кафедры неонатологии с курсами неврологии и акушерства-гинекологии ФП</w:t>
      </w:r>
      <w:r>
        <w:t xml:space="preserve"> и ДПО, ФГБОУ ВО СПбГПМУ Минздрава России. </w:t>
      </w:r>
    </w:p>
    <w:p w:rsidR="007F750E" w:rsidRDefault="00780135">
      <w:pPr>
        <w:numPr>
          <w:ilvl w:val="0"/>
          <w:numId w:val="29"/>
        </w:numPr>
        <w:spacing w:after="35"/>
        <w:ind w:right="49" w:hanging="425"/>
      </w:pPr>
      <w:r>
        <w:rPr>
          <w:b/>
        </w:rPr>
        <w:t xml:space="preserve">Чумакова Галина Николаевна - </w:t>
      </w:r>
      <w:r>
        <w:t xml:space="preserve">доктор медицинских наук, профессор кафедры неонатологии с курсами неврологии и акушерства-гинекологии ФП и ДПО, ФГБОУ ВО СПбГПМУ Минздрава России. </w:t>
      </w:r>
    </w:p>
    <w:p w:rsidR="007F750E" w:rsidRDefault="00780135">
      <w:pPr>
        <w:numPr>
          <w:ilvl w:val="0"/>
          <w:numId w:val="29"/>
        </w:numPr>
        <w:spacing w:after="32"/>
        <w:ind w:right="49" w:hanging="425"/>
      </w:pPr>
      <w:r>
        <w:rPr>
          <w:b/>
        </w:rPr>
        <w:t>Яковлева Екатерина Евгеньевна</w:t>
      </w:r>
      <w:r>
        <w:t xml:space="preserve"> – </w:t>
      </w:r>
      <w:r>
        <w:t xml:space="preserve">кандидат медицинских наук, заведующий отделением клинической фармакологии, доцент кафедры фармакологии с курсом клинической фармакологии и фармакоэкономики ФГБОУ ВО СПбГПМУ </w:t>
      </w:r>
    </w:p>
    <w:p w:rsidR="007F750E" w:rsidRDefault="00780135">
      <w:pPr>
        <w:spacing w:after="115" w:line="259" w:lineRule="auto"/>
        <w:ind w:left="718" w:right="49"/>
      </w:pPr>
      <w:r>
        <w:t xml:space="preserve">Минздрава России. </w:t>
      </w:r>
    </w:p>
    <w:p w:rsidR="007F750E" w:rsidRDefault="00780135">
      <w:pPr>
        <w:spacing w:after="112" w:line="259" w:lineRule="auto"/>
        <w:ind w:left="708" w:firstLine="0"/>
        <w:jc w:val="left"/>
      </w:pPr>
      <w:r>
        <w:t xml:space="preserve"> </w:t>
      </w:r>
    </w:p>
    <w:p w:rsidR="007F750E" w:rsidRDefault="00780135">
      <w:pPr>
        <w:spacing w:after="161" w:line="259" w:lineRule="auto"/>
        <w:ind w:left="708" w:firstLine="0"/>
        <w:jc w:val="left"/>
      </w:pPr>
      <w:r>
        <w:t xml:space="preserve"> </w:t>
      </w:r>
    </w:p>
    <w:p w:rsidR="007F750E" w:rsidRDefault="00780135">
      <w:pPr>
        <w:spacing w:line="259" w:lineRule="auto"/>
        <w:ind w:left="1438" w:right="49"/>
      </w:pPr>
      <w:r>
        <w:t xml:space="preserve">Конфликт интересов отсутствует </w:t>
      </w:r>
    </w:p>
    <w:p w:rsidR="007F750E" w:rsidRDefault="00780135">
      <w:pPr>
        <w:pStyle w:val="Heading1"/>
        <w:spacing w:after="93"/>
        <w:ind w:left="165" w:right="0"/>
        <w:jc w:val="left"/>
      </w:pPr>
      <w:r>
        <w:t xml:space="preserve">Приложение А2. Методология </w:t>
      </w:r>
      <w:r>
        <w:t xml:space="preserve">разработки клинических рекомендаций </w:t>
      </w:r>
    </w:p>
    <w:p w:rsidR="007F750E" w:rsidRDefault="00780135">
      <w:pPr>
        <w:spacing w:after="29"/>
        <w:ind w:left="-15" w:right="49" w:firstLine="708"/>
      </w:pPr>
      <w:r>
        <w:t xml:space="preserve">Методы, использованные для сбора/селекции доказательств: поиск в электронных базах данных. </w:t>
      </w:r>
    </w:p>
    <w:p w:rsidR="007F750E" w:rsidRDefault="00780135">
      <w:pPr>
        <w:tabs>
          <w:tab w:val="center" w:pos="1212"/>
          <w:tab w:val="center" w:pos="2488"/>
          <w:tab w:val="center" w:pos="4102"/>
          <w:tab w:val="center" w:pos="5444"/>
          <w:tab w:val="center" w:pos="6736"/>
          <w:tab w:val="right" w:pos="9412"/>
        </w:tabs>
        <w:spacing w:after="119" w:line="259" w:lineRule="auto"/>
        <w:ind w:left="0" w:firstLine="0"/>
        <w:jc w:val="left"/>
      </w:pPr>
      <w:r>
        <w:rPr>
          <w:rFonts w:ascii="Calibri" w:eastAsia="Calibri" w:hAnsi="Calibri" w:cs="Calibri"/>
          <w:sz w:val="22"/>
        </w:rPr>
        <w:tab/>
      </w:r>
      <w:r>
        <w:t xml:space="preserve">Описание </w:t>
      </w:r>
      <w:r>
        <w:tab/>
        <w:t xml:space="preserve">методов, </w:t>
      </w:r>
      <w:r>
        <w:tab/>
        <w:t xml:space="preserve">использованных </w:t>
      </w:r>
      <w:r>
        <w:tab/>
        <w:t xml:space="preserve">для </w:t>
      </w:r>
      <w:r>
        <w:tab/>
        <w:t xml:space="preserve">сбора/селекции </w:t>
      </w:r>
      <w:r>
        <w:tab/>
        <w:t xml:space="preserve">доказательств: </w:t>
      </w:r>
    </w:p>
    <w:p w:rsidR="007F750E" w:rsidRDefault="00780135">
      <w:pPr>
        <w:spacing w:after="36"/>
        <w:ind w:left="-5" w:right="49"/>
      </w:pPr>
      <w:r>
        <w:t>доказательной базой для рекомендаций являлись публика</w:t>
      </w:r>
      <w:r>
        <w:t>ции, вошедшие в Кохрановскую библиотеку, базы данных PubMed, EMBASE и MEDLINE, Scopus, Web of Science, e-library, clinicaltrial.gov, электронные библиотеки, клинические рекомендации, размещенные на ресурсах The National Institute for Health and Care Excell</w:t>
      </w:r>
      <w:r>
        <w:t xml:space="preserve">ence, The European Association of Perinatal Medicine, The European Society for Pediatric Research, The European Foundation for the Care of Newborn Infants, The European Society for Neonatology. Глубина поиска составляла 39 лет.  </w:t>
      </w:r>
    </w:p>
    <w:p w:rsidR="007F750E" w:rsidRDefault="00780135">
      <w:pPr>
        <w:spacing w:after="178" w:line="259" w:lineRule="auto"/>
        <w:ind w:left="718" w:right="49"/>
      </w:pPr>
      <w:r>
        <w:t xml:space="preserve">Методы, использованные для оценки качества и силы доказательств:  </w:t>
      </w:r>
    </w:p>
    <w:p w:rsidR="007F750E" w:rsidRDefault="00780135">
      <w:pPr>
        <w:numPr>
          <w:ilvl w:val="0"/>
          <w:numId w:val="30"/>
        </w:numPr>
        <w:spacing w:after="138" w:line="259" w:lineRule="auto"/>
        <w:ind w:right="49" w:hanging="360"/>
      </w:pPr>
      <w:r>
        <w:t xml:space="preserve">консенсус экспертов;  </w:t>
      </w:r>
    </w:p>
    <w:p w:rsidR="007F750E" w:rsidRDefault="00780135">
      <w:pPr>
        <w:numPr>
          <w:ilvl w:val="0"/>
          <w:numId w:val="30"/>
        </w:numPr>
        <w:spacing w:after="69" w:line="259" w:lineRule="auto"/>
        <w:ind w:right="49" w:hanging="360"/>
      </w:pPr>
      <w:r>
        <w:t xml:space="preserve">оценка значимости в соответствии с рейтинговой схемой. </w:t>
      </w:r>
    </w:p>
    <w:p w:rsidR="007F750E" w:rsidRDefault="00780135">
      <w:pPr>
        <w:spacing w:after="35"/>
        <w:ind w:left="-15" w:right="49" w:firstLine="708"/>
      </w:pPr>
      <w:r>
        <w:t>Шкалы оценки уровней достоверности доказательств (УДД) (Таблица 1,2) для методов диагностики, профилактики, ле</w:t>
      </w:r>
      <w:r>
        <w:t>чения и реабилитации (диагностических, профилактических, лечебных, реабилитационных вмешательств) с расшифровкой и шкала оценки уровней убедительности рекомендаций (УУР) (Таблица 3) для методов профилактики, диагностики, лечения и реабилитации (профилактич</w:t>
      </w:r>
      <w:r>
        <w:t xml:space="preserve">еских, диагностических, лечебных, реабилитационных вмешательств). </w:t>
      </w:r>
    </w:p>
    <w:p w:rsidR="007F750E" w:rsidRDefault="00780135">
      <w:pPr>
        <w:spacing w:after="181" w:line="259" w:lineRule="auto"/>
        <w:ind w:left="718" w:right="49"/>
      </w:pPr>
      <w:r>
        <w:t xml:space="preserve">Методы, использованные для анализа доказательств:  </w:t>
      </w:r>
    </w:p>
    <w:p w:rsidR="007F750E" w:rsidRDefault="00780135">
      <w:pPr>
        <w:numPr>
          <w:ilvl w:val="0"/>
          <w:numId w:val="30"/>
        </w:numPr>
        <w:spacing w:after="135" w:line="259" w:lineRule="auto"/>
        <w:ind w:right="49" w:hanging="360"/>
      </w:pPr>
      <w:r>
        <w:t xml:space="preserve">обзоры опубликованных метаанализов;  </w:t>
      </w:r>
    </w:p>
    <w:p w:rsidR="007F750E" w:rsidRDefault="00780135">
      <w:pPr>
        <w:numPr>
          <w:ilvl w:val="0"/>
          <w:numId w:val="30"/>
        </w:numPr>
        <w:spacing w:after="118" w:line="259" w:lineRule="auto"/>
        <w:ind w:right="49" w:hanging="360"/>
      </w:pPr>
      <w:r>
        <w:t xml:space="preserve">систематические обзоры с таблицами доказательств.  </w:t>
      </w:r>
    </w:p>
    <w:p w:rsidR="007F750E" w:rsidRDefault="00780135">
      <w:pPr>
        <w:spacing w:after="115" w:line="259" w:lineRule="auto"/>
        <w:ind w:left="718" w:right="49"/>
      </w:pPr>
      <w:r>
        <w:t>Описание методов, использованных для анализа до</w:t>
      </w:r>
      <w:r>
        <w:t xml:space="preserve">казательств.  </w:t>
      </w:r>
    </w:p>
    <w:p w:rsidR="007F750E" w:rsidRDefault="00780135">
      <w:pPr>
        <w:ind w:left="-15" w:right="49" w:firstLine="708"/>
      </w:pPr>
      <w:r>
        <w:t>При отборе публикаций, как потенциальных источников доказательств, использованная в каждом исследовании методология изучалась для того, чтобы убедиться в её валидности. Методологическое изучение базировалось на вопросах, которые сфокусирован</w:t>
      </w:r>
      <w:r>
        <w:t xml:space="preserve">ы на тех особенностях дизайна исследований, которые оказывают существенное влияние на валидность результатов и выводов.   </w:t>
      </w:r>
    </w:p>
    <w:p w:rsidR="007F750E" w:rsidRDefault="00780135">
      <w:pPr>
        <w:spacing w:after="33"/>
        <w:ind w:left="-15" w:right="49" w:firstLine="708"/>
      </w:pPr>
      <w:r>
        <w:t>Для минимизации потенциальных ошибок субъективного характера каждое исследование оценивалось независимо, по меньшей мере, двумя члена</w:t>
      </w:r>
      <w:r>
        <w:t xml:space="preserve">ми рабочей группы. Какие-либо различия в оценках обсуждались всей группой в полном составе. При невозможности достижения консенсуса привлекался независимый эксперт. </w:t>
      </w:r>
    </w:p>
    <w:p w:rsidR="007F750E" w:rsidRDefault="00780135">
      <w:pPr>
        <w:spacing w:line="259" w:lineRule="auto"/>
        <w:ind w:left="718" w:right="49"/>
      </w:pPr>
      <w:r>
        <w:t xml:space="preserve">Экономический анализ:  </w:t>
      </w:r>
    </w:p>
    <w:p w:rsidR="007F750E" w:rsidRDefault="00780135">
      <w:pPr>
        <w:spacing w:after="31"/>
        <w:ind w:left="-15" w:right="49" w:firstLine="708"/>
      </w:pPr>
      <w:r>
        <w:t xml:space="preserve">Анализ стоимости не проводился, и публикации по фармакоэкономике не анализировались </w:t>
      </w:r>
    </w:p>
    <w:p w:rsidR="007F750E" w:rsidRDefault="00780135">
      <w:pPr>
        <w:spacing w:after="180" w:line="259" w:lineRule="auto"/>
        <w:ind w:left="718" w:right="49"/>
      </w:pPr>
      <w:r>
        <w:t xml:space="preserve">Метод валидизации рекомендаций:  </w:t>
      </w:r>
    </w:p>
    <w:p w:rsidR="007F750E" w:rsidRDefault="00780135">
      <w:pPr>
        <w:numPr>
          <w:ilvl w:val="0"/>
          <w:numId w:val="31"/>
        </w:numPr>
        <w:spacing w:after="137" w:line="259" w:lineRule="auto"/>
        <w:ind w:right="49" w:hanging="360"/>
      </w:pPr>
      <w:r>
        <w:t xml:space="preserve">внешняя экспертная оценка;  </w:t>
      </w:r>
    </w:p>
    <w:p w:rsidR="007F750E" w:rsidRDefault="00780135">
      <w:pPr>
        <w:numPr>
          <w:ilvl w:val="0"/>
          <w:numId w:val="31"/>
        </w:numPr>
        <w:spacing w:after="115" w:line="259" w:lineRule="auto"/>
        <w:ind w:right="49" w:hanging="360"/>
      </w:pPr>
      <w:r>
        <w:t xml:space="preserve">внутренняя экспертная оценка.  </w:t>
      </w:r>
    </w:p>
    <w:p w:rsidR="007F750E" w:rsidRDefault="00780135">
      <w:pPr>
        <w:spacing w:after="115" w:line="259" w:lineRule="auto"/>
        <w:ind w:left="718" w:right="49"/>
      </w:pPr>
      <w:r>
        <w:t xml:space="preserve"> Описание метода валидизации рекомендаций:  </w:t>
      </w:r>
    </w:p>
    <w:p w:rsidR="007F750E" w:rsidRDefault="00780135">
      <w:pPr>
        <w:ind w:left="-15" w:right="49" w:firstLine="708"/>
      </w:pPr>
      <w:r>
        <w:t>Настоящие рекомендации в предва</w:t>
      </w:r>
      <w:r>
        <w:t xml:space="preserve">рительной версии были рецензированы независимыми экспертами, которых попросили прокомментировать, прежде всего, то, насколько интерпретация доказательств, лежащих в основе рекомендаций, доступна для понимания.  </w:t>
      </w:r>
    </w:p>
    <w:p w:rsidR="007F750E" w:rsidRDefault="00780135">
      <w:pPr>
        <w:ind w:left="-15" w:right="49" w:firstLine="708"/>
      </w:pPr>
      <w:r>
        <w:t>Получены комментарии со стороны врачей перви</w:t>
      </w:r>
      <w:r>
        <w:t xml:space="preserve">чного звена и участковых педиатров в отношении доходчивости изложения рекомендаций и их оценки важности рекомендаций, как рабочего инструмента повседневной практики.  </w:t>
      </w:r>
    </w:p>
    <w:p w:rsidR="007F750E" w:rsidRDefault="00780135">
      <w:pPr>
        <w:ind w:left="-15" w:right="49" w:firstLine="708"/>
      </w:pPr>
      <w:r>
        <w:t>Предварительная версия была также направлена рецензенту, не имеющему медицинского образо</w:t>
      </w:r>
      <w:r>
        <w:t xml:space="preserve">вания, для получения комментариев, с точки зрения перспектив пациентов.  </w:t>
      </w:r>
    </w:p>
    <w:p w:rsidR="007F750E" w:rsidRDefault="00780135">
      <w:pPr>
        <w:spacing w:after="36"/>
        <w:ind w:left="-15" w:right="49" w:firstLine="708"/>
      </w:pPr>
      <w:r>
        <w:t>Комментарии, полученные от экспертов, тщательно систематизировались, и обсуждались председателем и членами рабочей группы. Каждый пункт обсуждался, и вносимые в результате этого изме</w:t>
      </w:r>
      <w:r>
        <w:t xml:space="preserve">нения в рекомендации регистрировались. Если же изменения не вносились, то регистрировались причины отказа от внесения изменений.  </w:t>
      </w:r>
    </w:p>
    <w:p w:rsidR="007F750E" w:rsidRDefault="00780135">
      <w:pPr>
        <w:spacing w:after="112" w:line="259" w:lineRule="auto"/>
        <w:ind w:left="718" w:right="49"/>
      </w:pPr>
      <w:r>
        <w:t xml:space="preserve"> Консультация и экспертная оценка:  </w:t>
      </w:r>
    </w:p>
    <w:p w:rsidR="007F750E" w:rsidRDefault="00780135">
      <w:pPr>
        <w:ind w:left="-15" w:right="49" w:firstLine="708"/>
      </w:pPr>
      <w:r>
        <w:t>Последние изменения в настоящих рекомендациях представлены для дискуссии в предварительн</w:t>
      </w:r>
      <w:r>
        <w:t xml:space="preserve">ой версии. Обновленная версия для широкого обсуждения была размещена на сайте Российского общества неонатологов (РОН)  </w:t>
      </w:r>
      <w:hyperlink r:id="rId21">
        <w:r>
          <w:rPr>
            <w:u w:val="single" w:color="000000"/>
          </w:rPr>
          <w:t>www</w:t>
        </w:r>
      </w:hyperlink>
      <w:hyperlink r:id="rId22">
        <w:r>
          <w:rPr>
            <w:u w:val="single" w:color="000000"/>
          </w:rPr>
          <w:t>.</w:t>
        </w:r>
      </w:hyperlink>
      <w:hyperlink r:id="rId23">
        <w:r>
          <w:rPr>
            <w:u w:val="single" w:color="000000"/>
          </w:rPr>
          <w:t>neonatology</w:t>
        </w:r>
      </w:hyperlink>
      <w:hyperlink r:id="rId24">
        <w:r>
          <w:rPr>
            <w:u w:val="single" w:color="000000"/>
          </w:rPr>
          <w:t>.</w:t>
        </w:r>
      </w:hyperlink>
      <w:hyperlink r:id="rId25">
        <w:r>
          <w:rPr>
            <w:u w:val="single" w:color="000000"/>
          </w:rPr>
          <w:t>pro</w:t>
        </w:r>
      </w:hyperlink>
      <w:hyperlink r:id="rId26">
        <w:r>
          <w:t>,</w:t>
        </w:r>
      </w:hyperlink>
      <w:r>
        <w:t>·</w:t>
      </w:r>
      <w:r>
        <w:rPr>
          <w:color w:val="0000FF"/>
        </w:rPr>
        <w:t xml:space="preserve"> </w:t>
      </w:r>
      <w:r>
        <w:rPr>
          <w:color w:val="0000FF"/>
          <w:u w:val="single" w:color="0000FF"/>
        </w:rPr>
        <w:t>https://portalcr.minzdrav.gov.ru/</w:t>
      </w:r>
      <w:r>
        <w:t xml:space="preserve"> для того, чтобы вс</w:t>
      </w:r>
      <w:r>
        <w:t xml:space="preserve">е заинтересованные лица имели возможность принять участие в обсуждении и совершенствовании рекомендаций.   </w:t>
      </w:r>
    </w:p>
    <w:p w:rsidR="007F750E" w:rsidRDefault="00780135">
      <w:pPr>
        <w:ind w:left="-15" w:right="49" w:firstLine="708"/>
      </w:pPr>
      <w:r>
        <w:t>Проект рекомендаций рецензирован независимыми экспертами, которых попросили прокомментировать, прежде всего, доходчивость и точность интерпретации д</w:t>
      </w:r>
      <w:r>
        <w:t xml:space="preserve">оказательной базы, лежащей в основе рекомендаций.  </w:t>
      </w:r>
    </w:p>
    <w:p w:rsidR="007F750E" w:rsidRDefault="00780135">
      <w:pPr>
        <w:spacing w:after="45"/>
        <w:ind w:left="-15" w:right="49" w:firstLine="708"/>
      </w:pPr>
      <w:r>
        <w:t>Для окончательной редакции и контроля качества рекомендации были повторно проанализированы членами рабочей группы, которые пришли к заключению, что все замечания и комментарии экспертов приняты во внимание, риск систематических ошибок при разработке рекоме</w:t>
      </w:r>
      <w:r>
        <w:t xml:space="preserve">ндаций сведен к минимуму.  </w:t>
      </w:r>
    </w:p>
    <w:p w:rsidR="007F750E" w:rsidRDefault="00780135">
      <w:pPr>
        <w:spacing w:after="144" w:line="264" w:lineRule="auto"/>
        <w:ind w:left="703" w:right="47"/>
      </w:pPr>
      <w:r>
        <w:rPr>
          <w:b/>
          <w:u w:val="single" w:color="000000"/>
        </w:rPr>
        <w:t>Целевая аудитория данных клинических рекомендаций:</w:t>
      </w:r>
      <w:r>
        <w:rPr>
          <w:b/>
        </w:rPr>
        <w:t xml:space="preserve"> </w:t>
      </w:r>
    </w:p>
    <w:p w:rsidR="007F750E" w:rsidRDefault="00780135">
      <w:pPr>
        <w:numPr>
          <w:ilvl w:val="0"/>
          <w:numId w:val="32"/>
        </w:numPr>
        <w:spacing w:line="259" w:lineRule="auto"/>
        <w:ind w:right="49" w:hanging="708"/>
      </w:pPr>
      <w:r>
        <w:t xml:space="preserve">Врачи-педиатры,  </w:t>
      </w:r>
    </w:p>
    <w:p w:rsidR="007F750E" w:rsidRDefault="00780135">
      <w:pPr>
        <w:numPr>
          <w:ilvl w:val="0"/>
          <w:numId w:val="32"/>
        </w:numPr>
        <w:spacing w:after="166" w:line="259" w:lineRule="auto"/>
        <w:ind w:right="49" w:hanging="708"/>
      </w:pPr>
      <w:r>
        <w:t xml:space="preserve">Врачи-неонатологи;  </w:t>
      </w:r>
    </w:p>
    <w:p w:rsidR="007F750E" w:rsidRDefault="00780135">
      <w:pPr>
        <w:numPr>
          <w:ilvl w:val="0"/>
          <w:numId w:val="32"/>
        </w:numPr>
        <w:spacing w:after="163" w:line="259" w:lineRule="auto"/>
        <w:ind w:right="49" w:hanging="708"/>
      </w:pPr>
      <w:r>
        <w:t xml:space="preserve">Врачи-анестезиологи - реаниматологи; </w:t>
      </w:r>
    </w:p>
    <w:p w:rsidR="007F750E" w:rsidRDefault="00780135">
      <w:pPr>
        <w:numPr>
          <w:ilvl w:val="0"/>
          <w:numId w:val="32"/>
        </w:numPr>
        <w:spacing w:after="164" w:line="259" w:lineRule="auto"/>
        <w:ind w:right="49" w:hanging="708"/>
      </w:pPr>
      <w:r>
        <w:t xml:space="preserve">Врачи -акушеры-гинекологи; </w:t>
      </w:r>
    </w:p>
    <w:p w:rsidR="007F750E" w:rsidRDefault="00780135">
      <w:pPr>
        <w:numPr>
          <w:ilvl w:val="0"/>
          <w:numId w:val="32"/>
        </w:numPr>
        <w:spacing w:after="167" w:line="259" w:lineRule="auto"/>
        <w:ind w:right="49" w:hanging="708"/>
      </w:pPr>
      <w:r>
        <w:t xml:space="preserve">Врачи-гематологи; </w:t>
      </w:r>
    </w:p>
    <w:p w:rsidR="007F750E" w:rsidRDefault="00780135">
      <w:pPr>
        <w:numPr>
          <w:ilvl w:val="0"/>
          <w:numId w:val="32"/>
        </w:numPr>
        <w:spacing w:after="168" w:line="259" w:lineRule="auto"/>
        <w:ind w:right="49" w:hanging="708"/>
      </w:pPr>
      <w:r>
        <w:t xml:space="preserve">Врачи общей практики (семейные врачи); </w:t>
      </w:r>
    </w:p>
    <w:p w:rsidR="007F750E" w:rsidRDefault="00780135">
      <w:pPr>
        <w:numPr>
          <w:ilvl w:val="0"/>
          <w:numId w:val="32"/>
        </w:numPr>
        <w:spacing w:after="167" w:line="259" w:lineRule="auto"/>
        <w:ind w:right="49" w:hanging="708"/>
      </w:pPr>
      <w:r>
        <w:t>Студенты мед</w:t>
      </w:r>
      <w:r>
        <w:t xml:space="preserve">ицинских ВУЗов; </w:t>
      </w:r>
    </w:p>
    <w:p w:rsidR="007F750E" w:rsidRDefault="00780135">
      <w:pPr>
        <w:numPr>
          <w:ilvl w:val="0"/>
          <w:numId w:val="32"/>
        </w:numPr>
        <w:spacing w:after="168" w:line="259" w:lineRule="auto"/>
        <w:ind w:right="49" w:hanging="708"/>
      </w:pPr>
      <w:r>
        <w:t xml:space="preserve">Обучающиеся в ординатуре и интернатуре. </w:t>
      </w:r>
    </w:p>
    <w:p w:rsidR="007F750E" w:rsidRDefault="00780135">
      <w:pPr>
        <w:spacing w:line="259" w:lineRule="auto"/>
        <w:ind w:left="-15" w:right="49" w:firstLine="708"/>
      </w:pPr>
      <w:r>
        <w:rPr>
          <w:b/>
        </w:rPr>
        <w:t>Таблица 1.</w:t>
      </w:r>
      <w:r>
        <w:t xml:space="preserve">Шкала оценки уровней достоверности доказательств (УДД) для методов диагностики (диагностических вмешательств) </w:t>
      </w:r>
    </w:p>
    <w:tbl>
      <w:tblPr>
        <w:tblStyle w:val="TableGrid"/>
        <w:tblW w:w="9347" w:type="dxa"/>
        <w:tblInd w:w="5" w:type="dxa"/>
        <w:tblCellMar>
          <w:top w:w="9" w:type="dxa"/>
          <w:left w:w="106" w:type="dxa"/>
          <w:bottom w:w="0" w:type="dxa"/>
          <w:right w:w="51" w:type="dxa"/>
        </w:tblCellMar>
        <w:tblLook w:val="04A0" w:firstRow="1" w:lastRow="0" w:firstColumn="1" w:lastColumn="0" w:noHBand="0" w:noVBand="1"/>
      </w:tblPr>
      <w:tblGrid>
        <w:gridCol w:w="799"/>
        <w:gridCol w:w="8548"/>
      </w:tblGrid>
      <w:tr w:rsidR="007F750E">
        <w:trPr>
          <w:trHeight w:val="326"/>
        </w:trPr>
        <w:tc>
          <w:tcPr>
            <w:tcW w:w="799"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41" w:firstLine="0"/>
              <w:jc w:val="left"/>
            </w:pPr>
            <w:r>
              <w:rPr>
                <w:b/>
              </w:rPr>
              <w:t xml:space="preserve">УДД </w:t>
            </w:r>
          </w:p>
        </w:tc>
        <w:tc>
          <w:tcPr>
            <w:tcW w:w="8548"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63" w:firstLine="0"/>
              <w:jc w:val="center"/>
            </w:pPr>
            <w:r>
              <w:rPr>
                <w:b/>
              </w:rPr>
              <w:t xml:space="preserve">Расшифровка </w:t>
            </w:r>
          </w:p>
        </w:tc>
      </w:tr>
      <w:tr w:rsidR="007F750E">
        <w:trPr>
          <w:trHeight w:val="963"/>
        </w:trPr>
        <w:tc>
          <w:tcPr>
            <w:tcW w:w="799"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57" w:firstLine="0"/>
              <w:jc w:val="center"/>
            </w:pPr>
            <w:r>
              <w:t xml:space="preserve">1 </w:t>
            </w:r>
          </w:p>
        </w:tc>
        <w:tc>
          <w:tcPr>
            <w:tcW w:w="8548"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59" w:firstLine="0"/>
            </w:pPr>
            <w:r>
              <w:t xml:space="preserve">Систематические обзоры исследований с контролем референсным методом или систематический обзор рандомизированных клинических исследований с применением мета-анализа </w:t>
            </w:r>
          </w:p>
        </w:tc>
      </w:tr>
      <w:tr w:rsidR="007F750E">
        <w:trPr>
          <w:trHeight w:val="1279"/>
        </w:trPr>
        <w:tc>
          <w:tcPr>
            <w:tcW w:w="799"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57" w:firstLine="0"/>
              <w:jc w:val="center"/>
            </w:pPr>
            <w:r>
              <w:t xml:space="preserve">2 </w:t>
            </w:r>
          </w:p>
        </w:tc>
        <w:tc>
          <w:tcPr>
            <w:tcW w:w="8548" w:type="dxa"/>
            <w:tcBorders>
              <w:top w:val="single" w:sz="4" w:space="0" w:color="000000"/>
              <w:left w:val="single" w:sz="4" w:space="0" w:color="000000"/>
              <w:bottom w:val="single" w:sz="4" w:space="0" w:color="000000"/>
              <w:right w:val="single" w:sz="4" w:space="0" w:color="000000"/>
            </w:tcBorders>
          </w:tcPr>
          <w:p w:rsidR="007F750E" w:rsidRDefault="00780135">
            <w:pPr>
              <w:spacing w:after="45" w:line="274" w:lineRule="auto"/>
              <w:ind w:left="0" w:right="62" w:firstLine="0"/>
            </w:pPr>
            <w:r>
              <w:t xml:space="preserve">Отдельные исследования с контролем референсным методом или отдельные рандомизированные клинические исследования и систематические обзоры исследований любого дизайна, за исключением рандомизированных </w:t>
            </w:r>
          </w:p>
          <w:p w:rsidR="007F750E" w:rsidRDefault="00780135">
            <w:pPr>
              <w:spacing w:after="0" w:line="259" w:lineRule="auto"/>
              <w:ind w:left="0" w:firstLine="0"/>
              <w:jc w:val="left"/>
            </w:pPr>
            <w:r>
              <w:t xml:space="preserve">клинических исследований, с применением мета-анализа </w:t>
            </w:r>
          </w:p>
        </w:tc>
      </w:tr>
      <w:tr w:rsidR="007F750E">
        <w:trPr>
          <w:trHeight w:val="1279"/>
        </w:trPr>
        <w:tc>
          <w:tcPr>
            <w:tcW w:w="799"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57" w:firstLine="0"/>
              <w:jc w:val="center"/>
            </w:pPr>
            <w:r>
              <w:t>3</w:t>
            </w:r>
            <w:r>
              <w:t xml:space="preserve"> </w:t>
            </w:r>
          </w:p>
        </w:tc>
        <w:tc>
          <w:tcPr>
            <w:tcW w:w="8548"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57" w:firstLine="0"/>
            </w:pPr>
            <w:r>
              <w:t xml:space="preserve">Исследования без последовательного контроля референсным методом или исследования с референсным методом, не являющимся независимым от исследуемого метода или нерандомизированные сравнительные исследования, в том числе когортные исследования </w:t>
            </w:r>
          </w:p>
        </w:tc>
      </w:tr>
      <w:tr w:rsidR="007F750E">
        <w:trPr>
          <w:trHeight w:val="329"/>
        </w:trPr>
        <w:tc>
          <w:tcPr>
            <w:tcW w:w="799"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57" w:firstLine="0"/>
              <w:jc w:val="center"/>
            </w:pPr>
            <w:r>
              <w:t xml:space="preserve">4 </w:t>
            </w:r>
          </w:p>
        </w:tc>
        <w:tc>
          <w:tcPr>
            <w:tcW w:w="8548"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t>Несравнит</w:t>
            </w:r>
            <w:r>
              <w:t xml:space="preserve">ельные исследования, описание клинического случая </w:t>
            </w:r>
          </w:p>
        </w:tc>
      </w:tr>
      <w:tr w:rsidR="007F750E">
        <w:trPr>
          <w:trHeight w:val="326"/>
        </w:trPr>
        <w:tc>
          <w:tcPr>
            <w:tcW w:w="799"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57" w:firstLine="0"/>
              <w:jc w:val="center"/>
            </w:pPr>
            <w:r>
              <w:t xml:space="preserve">5 </w:t>
            </w:r>
          </w:p>
        </w:tc>
        <w:tc>
          <w:tcPr>
            <w:tcW w:w="8548"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t xml:space="preserve">Имеется лишь обоснование механизма действия или мнение экспертов </w:t>
            </w:r>
          </w:p>
        </w:tc>
      </w:tr>
    </w:tbl>
    <w:p w:rsidR="007F750E" w:rsidRDefault="00780135">
      <w:pPr>
        <w:spacing w:after="157" w:line="259" w:lineRule="auto"/>
        <w:ind w:left="0" w:firstLine="0"/>
        <w:jc w:val="left"/>
      </w:pPr>
      <w:r>
        <w:rPr>
          <w:b/>
        </w:rPr>
        <w:t xml:space="preserve"> </w:t>
      </w:r>
    </w:p>
    <w:p w:rsidR="007F750E" w:rsidRDefault="00780135">
      <w:pPr>
        <w:spacing w:line="259" w:lineRule="auto"/>
        <w:ind w:left="-15" w:right="49" w:firstLine="708"/>
      </w:pPr>
      <w:r>
        <w:rPr>
          <w:b/>
        </w:rPr>
        <w:t>Таблица 2.</w:t>
      </w:r>
      <w:r>
        <w:t xml:space="preserve">Шкала оценки уровней достоверности доказательств </w:t>
      </w:r>
      <w:r>
        <w:t xml:space="preserve">(УДД) для методов профилактики, лечения, медицинской реабилитации, в том числе основанных на использовании природных лечебных факторов (профилактических, лечебных, реабилитационных вмешательств) </w:t>
      </w:r>
    </w:p>
    <w:tbl>
      <w:tblPr>
        <w:tblStyle w:val="TableGrid"/>
        <w:tblW w:w="9484" w:type="dxa"/>
        <w:tblInd w:w="5" w:type="dxa"/>
        <w:tblCellMar>
          <w:top w:w="7" w:type="dxa"/>
          <w:left w:w="108" w:type="dxa"/>
          <w:bottom w:w="0" w:type="dxa"/>
          <w:right w:w="48" w:type="dxa"/>
        </w:tblCellMar>
        <w:tblLook w:val="04A0" w:firstRow="1" w:lastRow="0" w:firstColumn="1" w:lastColumn="0" w:noHBand="0" w:noVBand="1"/>
      </w:tblPr>
      <w:tblGrid>
        <w:gridCol w:w="722"/>
        <w:gridCol w:w="8762"/>
      </w:tblGrid>
      <w:tr w:rsidR="007F750E">
        <w:trPr>
          <w:trHeight w:val="286"/>
        </w:trPr>
        <w:tc>
          <w:tcPr>
            <w:tcW w:w="72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pPr>
            <w:r>
              <w:rPr>
                <w:b/>
              </w:rPr>
              <w:t xml:space="preserve">УДД </w:t>
            </w:r>
          </w:p>
        </w:tc>
        <w:tc>
          <w:tcPr>
            <w:tcW w:w="876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61" w:firstLine="0"/>
              <w:jc w:val="center"/>
            </w:pPr>
            <w:r>
              <w:rPr>
                <w:b/>
              </w:rPr>
              <w:t xml:space="preserve">Расшифровка  </w:t>
            </w:r>
          </w:p>
        </w:tc>
      </w:tr>
      <w:tr w:rsidR="007F750E">
        <w:trPr>
          <w:trHeight w:val="286"/>
        </w:trPr>
        <w:tc>
          <w:tcPr>
            <w:tcW w:w="72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62" w:firstLine="0"/>
              <w:jc w:val="center"/>
            </w:pPr>
            <w:r>
              <w:t xml:space="preserve">1 </w:t>
            </w:r>
          </w:p>
        </w:tc>
        <w:tc>
          <w:tcPr>
            <w:tcW w:w="876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t>Систематический обзор РКИ с применени</w:t>
            </w:r>
            <w:r>
              <w:t xml:space="preserve">ем мета-анализа </w:t>
            </w:r>
          </w:p>
        </w:tc>
      </w:tr>
      <w:tr w:rsidR="007F750E">
        <w:trPr>
          <w:trHeight w:val="562"/>
        </w:trPr>
        <w:tc>
          <w:tcPr>
            <w:tcW w:w="72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62" w:firstLine="0"/>
              <w:jc w:val="center"/>
            </w:pPr>
            <w:r>
              <w:t xml:space="preserve">2 </w:t>
            </w:r>
          </w:p>
        </w:tc>
        <w:tc>
          <w:tcPr>
            <w:tcW w:w="876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pPr>
            <w:r>
              <w:t xml:space="preserve">Отдельные РКИ и систематические обзоры исследований любого дизайна, за исключением РКИ, с применением мета-анализа </w:t>
            </w:r>
          </w:p>
        </w:tc>
      </w:tr>
      <w:tr w:rsidR="007F750E">
        <w:trPr>
          <w:trHeight w:val="562"/>
        </w:trPr>
        <w:tc>
          <w:tcPr>
            <w:tcW w:w="72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62" w:firstLine="0"/>
              <w:jc w:val="center"/>
            </w:pPr>
            <w:r>
              <w:t xml:space="preserve">3 </w:t>
            </w:r>
          </w:p>
        </w:tc>
        <w:tc>
          <w:tcPr>
            <w:tcW w:w="876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jc w:val="left"/>
            </w:pPr>
            <w:r>
              <w:t xml:space="preserve">Нерандомизированные </w:t>
            </w:r>
            <w:r>
              <w:tab/>
              <w:t xml:space="preserve">сравнительные </w:t>
            </w:r>
            <w:r>
              <w:tab/>
              <w:t xml:space="preserve">исследования, </w:t>
            </w:r>
            <w:r>
              <w:tab/>
              <w:t xml:space="preserve">в </w:t>
            </w:r>
            <w:r>
              <w:tab/>
              <w:t xml:space="preserve">т.ч. </w:t>
            </w:r>
            <w:r>
              <w:tab/>
              <w:t xml:space="preserve">когортные исследования </w:t>
            </w:r>
          </w:p>
        </w:tc>
      </w:tr>
      <w:tr w:rsidR="007F750E">
        <w:trPr>
          <w:trHeight w:val="565"/>
        </w:trPr>
        <w:tc>
          <w:tcPr>
            <w:tcW w:w="72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62" w:firstLine="0"/>
              <w:jc w:val="center"/>
            </w:pPr>
            <w:r>
              <w:t xml:space="preserve">4 </w:t>
            </w:r>
          </w:p>
        </w:tc>
        <w:tc>
          <w:tcPr>
            <w:tcW w:w="876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pPr>
            <w:r>
              <w:t xml:space="preserve">Несравнительные исследования, описание клинического случая или серии случаев, исследования «случай-контроль» </w:t>
            </w:r>
          </w:p>
        </w:tc>
      </w:tr>
      <w:tr w:rsidR="007F750E">
        <w:trPr>
          <w:trHeight w:val="562"/>
        </w:trPr>
        <w:tc>
          <w:tcPr>
            <w:tcW w:w="72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62" w:firstLine="0"/>
              <w:jc w:val="center"/>
            </w:pPr>
            <w:r>
              <w:t xml:space="preserve">5 </w:t>
            </w:r>
          </w:p>
        </w:tc>
        <w:tc>
          <w:tcPr>
            <w:tcW w:w="876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firstLine="0"/>
            </w:pPr>
            <w:r>
              <w:t xml:space="preserve">Имеется лишь обоснование механизма действия вмешательства (доклинические исследования) или мнение экспертов </w:t>
            </w:r>
          </w:p>
        </w:tc>
      </w:tr>
    </w:tbl>
    <w:p w:rsidR="007F750E" w:rsidRDefault="00780135">
      <w:pPr>
        <w:spacing w:after="108" w:line="259" w:lineRule="auto"/>
        <w:ind w:left="0" w:firstLine="0"/>
        <w:jc w:val="left"/>
      </w:pPr>
      <w:r>
        <w:rPr>
          <w:b/>
        </w:rPr>
        <w:t xml:space="preserve"> </w:t>
      </w:r>
    </w:p>
    <w:p w:rsidR="007F750E" w:rsidRDefault="00780135">
      <w:pPr>
        <w:spacing w:after="32"/>
        <w:ind w:left="-15" w:right="49" w:firstLine="708"/>
      </w:pPr>
      <w:r>
        <w:rPr>
          <w:b/>
        </w:rPr>
        <w:t xml:space="preserve">Таблица 3. </w:t>
      </w:r>
      <w:r>
        <w:t>Шкала оценки уровней убедительности рекомендаций (УУР) для методов профилактики, диагностики, лечения, медицинской реабилитации в том числе основанных на использовании природных лечебных факторов (профилактических, диагностических, лечебных, реабилитационн</w:t>
      </w:r>
      <w:r>
        <w:t xml:space="preserve">ых вмешательств) </w:t>
      </w:r>
    </w:p>
    <w:tbl>
      <w:tblPr>
        <w:tblStyle w:val="TableGrid"/>
        <w:tblW w:w="9347" w:type="dxa"/>
        <w:tblInd w:w="5" w:type="dxa"/>
        <w:tblCellMar>
          <w:top w:w="7" w:type="dxa"/>
          <w:left w:w="106" w:type="dxa"/>
          <w:bottom w:w="0" w:type="dxa"/>
          <w:right w:w="55" w:type="dxa"/>
        </w:tblCellMar>
        <w:tblLook w:val="04A0" w:firstRow="1" w:lastRow="0" w:firstColumn="1" w:lastColumn="0" w:noHBand="0" w:noVBand="1"/>
      </w:tblPr>
      <w:tblGrid>
        <w:gridCol w:w="1332"/>
        <w:gridCol w:w="8015"/>
      </w:tblGrid>
      <w:tr w:rsidR="007F750E">
        <w:trPr>
          <w:trHeight w:val="288"/>
        </w:trPr>
        <w:tc>
          <w:tcPr>
            <w:tcW w:w="133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53" w:firstLine="0"/>
              <w:jc w:val="center"/>
            </w:pPr>
            <w:r>
              <w:rPr>
                <w:b/>
              </w:rPr>
              <w:t xml:space="preserve">УУР </w:t>
            </w:r>
          </w:p>
        </w:tc>
        <w:tc>
          <w:tcPr>
            <w:tcW w:w="8015"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59" w:firstLine="0"/>
              <w:jc w:val="center"/>
            </w:pPr>
            <w:r>
              <w:rPr>
                <w:b/>
              </w:rPr>
              <w:t xml:space="preserve">Расшифровка </w:t>
            </w:r>
          </w:p>
        </w:tc>
      </w:tr>
      <w:tr w:rsidR="007F750E">
        <w:trPr>
          <w:trHeight w:val="1114"/>
        </w:trPr>
        <w:tc>
          <w:tcPr>
            <w:tcW w:w="133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53" w:firstLine="0"/>
              <w:jc w:val="center"/>
            </w:pPr>
            <w:r>
              <w:t xml:space="preserve">A </w:t>
            </w:r>
          </w:p>
        </w:tc>
        <w:tc>
          <w:tcPr>
            <w:tcW w:w="8015"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58" w:firstLine="0"/>
            </w:pPr>
            <w:r>
              <w:t xml:space="preserve">Сильная рекомендация (все рассматриваемые критерии эффективности (исходы) являются важными, все исследования имеют высокое или удовлетворительное методологическое качество, их выводы по интересующим исходам являются </w:t>
            </w:r>
            <w:r>
              <w:t xml:space="preserve">согласованными)  </w:t>
            </w:r>
          </w:p>
        </w:tc>
      </w:tr>
      <w:tr w:rsidR="007F750E">
        <w:trPr>
          <w:trHeight w:val="1114"/>
        </w:trPr>
        <w:tc>
          <w:tcPr>
            <w:tcW w:w="133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51" w:firstLine="0"/>
              <w:jc w:val="center"/>
            </w:pPr>
            <w:r>
              <w:t xml:space="preserve">B </w:t>
            </w:r>
          </w:p>
        </w:tc>
        <w:tc>
          <w:tcPr>
            <w:tcW w:w="8015" w:type="dxa"/>
            <w:tcBorders>
              <w:top w:val="single" w:sz="4" w:space="0" w:color="000000"/>
              <w:left w:val="single" w:sz="4" w:space="0" w:color="000000"/>
              <w:bottom w:val="single" w:sz="4" w:space="0" w:color="000000"/>
              <w:right w:val="single" w:sz="4" w:space="0" w:color="000000"/>
            </w:tcBorders>
          </w:tcPr>
          <w:p w:rsidR="007F750E" w:rsidRDefault="00780135">
            <w:pPr>
              <w:spacing w:after="47" w:line="238" w:lineRule="auto"/>
              <w:ind w:left="0" w:right="62" w:firstLine="0"/>
            </w:pPr>
            <w:r>
              <w:t xml:space="preserve">Условная рекомендация (не все рассматриваемые критерии эффективности (исходы) являются важными, не все исследования имеют высокое или удовлетворительное методологическое качество и/или их выводы по </w:t>
            </w:r>
          </w:p>
          <w:p w:rsidR="007F750E" w:rsidRDefault="00780135">
            <w:pPr>
              <w:spacing w:after="0" w:line="259" w:lineRule="auto"/>
              <w:ind w:left="0" w:firstLine="0"/>
              <w:jc w:val="left"/>
            </w:pPr>
            <w:r>
              <w:t xml:space="preserve">интересующим исходам не являются согласованными)  </w:t>
            </w:r>
          </w:p>
        </w:tc>
      </w:tr>
      <w:tr w:rsidR="007F750E">
        <w:trPr>
          <w:trHeight w:val="1114"/>
        </w:trPr>
        <w:tc>
          <w:tcPr>
            <w:tcW w:w="1332"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51" w:firstLine="0"/>
              <w:jc w:val="center"/>
            </w:pPr>
            <w:r>
              <w:t xml:space="preserve">C </w:t>
            </w:r>
          </w:p>
        </w:tc>
        <w:tc>
          <w:tcPr>
            <w:tcW w:w="8015" w:type="dxa"/>
            <w:tcBorders>
              <w:top w:val="single" w:sz="4" w:space="0" w:color="000000"/>
              <w:left w:val="single" w:sz="4" w:space="0" w:color="000000"/>
              <w:bottom w:val="single" w:sz="4" w:space="0" w:color="000000"/>
              <w:right w:val="single" w:sz="4" w:space="0" w:color="000000"/>
            </w:tcBorders>
          </w:tcPr>
          <w:p w:rsidR="007F750E" w:rsidRDefault="00780135">
            <w:pPr>
              <w:spacing w:after="0" w:line="259" w:lineRule="auto"/>
              <w:ind w:left="0" w:right="60" w:firstLine="0"/>
            </w:pPr>
            <w:r>
              <w:t xml:space="preserve">Слабая рекомендация (отсутствие доказательств надлежащего качества (все рассматриваемые критерии эффективности (исходы) являются неважными, все исследования имеют низкое методологическое качество и их </w:t>
            </w:r>
            <w:r>
              <w:t xml:space="preserve">выводы по интересующим исходам не являются согласованными)  </w:t>
            </w:r>
          </w:p>
        </w:tc>
      </w:tr>
    </w:tbl>
    <w:p w:rsidR="007F750E" w:rsidRDefault="00780135">
      <w:pPr>
        <w:spacing w:after="157" w:line="259" w:lineRule="auto"/>
        <w:ind w:left="708" w:firstLine="0"/>
        <w:jc w:val="left"/>
      </w:pPr>
      <w:r>
        <w:rPr>
          <w:b/>
        </w:rPr>
        <w:t xml:space="preserve"> </w:t>
      </w:r>
    </w:p>
    <w:p w:rsidR="007F750E" w:rsidRDefault="00780135">
      <w:pPr>
        <w:spacing w:after="112" w:line="259" w:lineRule="auto"/>
        <w:ind w:left="718" w:right="49"/>
      </w:pPr>
      <w:r>
        <w:t xml:space="preserve">Порядок обновления клинических рекомендаций. </w:t>
      </w:r>
    </w:p>
    <w:p w:rsidR="007F750E" w:rsidRDefault="00780135">
      <w:pPr>
        <w:ind w:left="-15" w:right="49" w:firstLine="708"/>
      </w:pPr>
      <w:r>
        <w:t xml:space="preserve">Механизм обновления клинических рекомендаций предусматривает их систематическую актуализацию – </w:t>
      </w:r>
      <w:r>
        <w:t>не реже чем один раз в три года, а также при появлении новых данных с позиции доказательной медицины по вопросам диагностики, лечения, профилактики и реабилитации конкретных заболеваний, наличии обоснованных дополнений/замечаний к ранее утверждённым КР, но</w:t>
      </w:r>
      <w:r>
        <w:t xml:space="preserve"> не чаще 1 раза в 6 месяцев. </w:t>
      </w:r>
      <w:r>
        <w:br w:type="page"/>
      </w:r>
    </w:p>
    <w:p w:rsidR="007F750E" w:rsidRDefault="00780135">
      <w:pPr>
        <w:pStyle w:val="Heading1"/>
        <w:spacing w:after="0" w:line="386" w:lineRule="auto"/>
        <w:ind w:right="0"/>
      </w:pPr>
      <w:r>
        <w:t xml:space="preserve">Приложение А3. Справочные материалы, включая соответствие показаний к применению и противопоказаний, способов применения и доз лекарственных препаратов, инструкции по применению лекарственного препарата </w:t>
      </w:r>
    </w:p>
    <w:p w:rsidR="007F750E" w:rsidRDefault="00780135">
      <w:pPr>
        <w:spacing w:after="157" w:line="259" w:lineRule="auto"/>
        <w:ind w:left="715"/>
        <w:jc w:val="left"/>
      </w:pPr>
      <w:r>
        <w:rPr>
          <w:b/>
        </w:rPr>
        <w:t>Приложение А3.1 Связа</w:t>
      </w:r>
      <w:r>
        <w:rPr>
          <w:b/>
        </w:rPr>
        <w:t xml:space="preserve">нные документы </w:t>
      </w:r>
    </w:p>
    <w:p w:rsidR="007F750E" w:rsidRDefault="00780135">
      <w:pPr>
        <w:spacing w:after="35"/>
        <w:ind w:left="-15" w:right="49" w:firstLine="708"/>
      </w:pPr>
      <w:r>
        <w:t xml:space="preserve">Данные клинические рекомендации разработаны с учетом следующих нормативноправовых документов и электронных ресурсов: </w:t>
      </w:r>
    </w:p>
    <w:p w:rsidR="007F750E" w:rsidRDefault="00780135">
      <w:pPr>
        <w:numPr>
          <w:ilvl w:val="0"/>
          <w:numId w:val="33"/>
        </w:numPr>
        <w:spacing w:after="34"/>
        <w:ind w:right="49" w:hanging="360"/>
      </w:pPr>
      <w:r>
        <w:t xml:space="preserve">Федеральный закон от 21.11.2011 № 323 Ф3 «Об основах охраны здоровья граждан в Российской Федерации». </w:t>
      </w:r>
    </w:p>
    <w:p w:rsidR="007F750E" w:rsidRDefault="00780135">
      <w:pPr>
        <w:numPr>
          <w:ilvl w:val="0"/>
          <w:numId w:val="33"/>
        </w:numPr>
        <w:spacing w:after="35"/>
        <w:ind w:right="49" w:hanging="360"/>
      </w:pPr>
      <w:r>
        <w:t>Приказ Минздрава Ро</w:t>
      </w:r>
      <w:r>
        <w:t xml:space="preserve">ссии от 14.04.2025 № 203н «Об утверждении критериев оценки качества медицинской помощи». </w:t>
      </w:r>
    </w:p>
    <w:p w:rsidR="007F750E" w:rsidRDefault="00780135">
      <w:pPr>
        <w:numPr>
          <w:ilvl w:val="0"/>
          <w:numId w:val="33"/>
        </w:numPr>
        <w:spacing w:after="36"/>
        <w:ind w:right="49" w:hanging="360"/>
      </w:pPr>
      <w:r>
        <w:t xml:space="preserve">Международная статистическая классификация болезней и проблем, связанных со здоровьем (10-й пересмотр). URL: </w:t>
      </w:r>
      <w:hyperlink r:id="rId27">
        <w:r>
          <w:rPr>
            <w:color w:val="0000FF"/>
            <w:u w:val="single" w:color="0000FF"/>
          </w:rPr>
          <w:t>https://nsi.rosminzdrav.ru/dictionaries/1.2.643.5.1.13.13.11.1005/passport/2.27</w:t>
        </w:r>
      </w:hyperlink>
      <w:hyperlink r:id="rId28">
        <w:r>
          <w:t>.</w:t>
        </w:r>
      </w:hyperlink>
      <w:r>
        <w:t xml:space="preserve"> </w:t>
      </w:r>
    </w:p>
    <w:p w:rsidR="007F750E" w:rsidRDefault="00780135">
      <w:pPr>
        <w:numPr>
          <w:ilvl w:val="0"/>
          <w:numId w:val="33"/>
        </w:numPr>
        <w:spacing w:after="32"/>
        <w:ind w:right="49" w:hanging="360"/>
      </w:pPr>
      <w:r>
        <w:t>Приказ Минздрава России от 13.10.</w:t>
      </w:r>
      <w:r>
        <w:t xml:space="preserve">2017 № 804н «Об утверждении номенклатуры медицинских услуг». </w:t>
      </w:r>
    </w:p>
    <w:p w:rsidR="007F750E" w:rsidRDefault="00780135">
      <w:pPr>
        <w:numPr>
          <w:ilvl w:val="0"/>
          <w:numId w:val="33"/>
        </w:numPr>
        <w:spacing w:after="32"/>
        <w:ind w:right="49" w:hanging="360"/>
      </w:pPr>
      <w:r>
        <w:t xml:space="preserve">Приказ Минздрава России от 17.04.2025 N 222н «Об утверждении Порядка оказания медицинской помощи по профилю «неонатология». </w:t>
      </w:r>
    </w:p>
    <w:p w:rsidR="007F750E" w:rsidRDefault="00780135">
      <w:pPr>
        <w:numPr>
          <w:ilvl w:val="0"/>
          <w:numId w:val="33"/>
        </w:numPr>
        <w:spacing w:after="39"/>
        <w:ind w:right="49" w:hanging="360"/>
      </w:pPr>
      <w:r>
        <w:t>Распоряжение Правительства РФ от 18.12.2025 № 3867-</w:t>
      </w:r>
      <w:r>
        <w:t xml:space="preserve">р &lt;Об утверждении перечня жизненно необходимых и важнейших лекарственных препаратов, а также перечней лекарственных препаратов для медицинского применения и минимального ассортимента лекарственных препаратов, необходимых для оказания медицинской помощи&gt;. </w:t>
      </w:r>
    </w:p>
    <w:p w:rsidR="007F750E" w:rsidRDefault="00780135">
      <w:pPr>
        <w:numPr>
          <w:ilvl w:val="0"/>
          <w:numId w:val="33"/>
        </w:numPr>
        <w:spacing w:after="30"/>
        <w:ind w:right="49" w:hanging="360"/>
      </w:pPr>
      <w:r>
        <w:t xml:space="preserve">Письмо&gt; Минздрава России от 04.03.2020 N 15-4/И/2-2570 &lt;О направлении методического письма "Реанимация и стабилизация состояния новорожденных детей в родильном зале"&gt;.. </w:t>
      </w:r>
    </w:p>
    <w:p w:rsidR="007F750E" w:rsidRDefault="00780135">
      <w:pPr>
        <w:numPr>
          <w:ilvl w:val="0"/>
          <w:numId w:val="33"/>
        </w:numPr>
        <w:ind w:right="49" w:hanging="360"/>
      </w:pPr>
      <w:r>
        <w:t xml:space="preserve">Государственный </w:t>
      </w:r>
      <w:r>
        <w:tab/>
        <w:t xml:space="preserve">реестр </w:t>
      </w:r>
      <w:r>
        <w:tab/>
        <w:t xml:space="preserve">лекарственных </w:t>
      </w:r>
      <w:r>
        <w:tab/>
        <w:t xml:space="preserve">средств. </w:t>
      </w:r>
      <w:r>
        <w:tab/>
        <w:t>URL: https://grls.rosminzdrav.ru/def</w:t>
      </w:r>
      <w:r>
        <w:t xml:space="preserve">ault.aspx. </w:t>
      </w:r>
    </w:p>
    <w:p w:rsidR="007F750E" w:rsidRDefault="007F750E">
      <w:pPr>
        <w:sectPr w:rsidR="007F750E">
          <w:footerReference w:type="even" r:id="rId29"/>
          <w:footerReference w:type="default" r:id="rId30"/>
          <w:footerReference w:type="first" r:id="rId31"/>
          <w:pgSz w:w="11906" w:h="16838"/>
          <w:pgMar w:top="1137" w:right="793" w:bottom="0" w:left="1702" w:header="720" w:footer="350" w:gutter="0"/>
          <w:cols w:space="720"/>
        </w:sectPr>
      </w:pPr>
    </w:p>
    <w:p w:rsidR="007F750E" w:rsidRDefault="00780135">
      <w:pPr>
        <w:pStyle w:val="Heading1"/>
        <w:spacing w:after="0" w:line="400" w:lineRule="auto"/>
        <w:ind w:left="3658" w:right="0" w:hanging="2770"/>
        <w:jc w:val="left"/>
      </w:pPr>
      <w:r>
        <w:t xml:space="preserve">Приложение А3.2 Номограммы показателей тромбоцитов у новорожденных </w:t>
      </w:r>
    </w:p>
    <w:p w:rsidR="007F750E" w:rsidRDefault="00780135">
      <w:pPr>
        <w:spacing w:after="2" w:line="395" w:lineRule="auto"/>
        <w:jc w:val="left"/>
      </w:pPr>
      <w:r>
        <w:rPr>
          <w:b/>
        </w:rPr>
        <w:t xml:space="preserve">Приложение А3.2.1. Число тромбоцитов, у новорожденных первых 3 дней жизни при гестационном возрасте от 22 до 42 недель. [118] </w:t>
      </w:r>
    </w:p>
    <w:p w:rsidR="007F750E" w:rsidRDefault="00780135">
      <w:pPr>
        <w:spacing w:after="48" w:line="259" w:lineRule="auto"/>
        <w:ind w:left="0" w:right="350" w:firstLine="0"/>
        <w:jc w:val="right"/>
      </w:pPr>
      <w:r>
        <w:rPr>
          <w:noProof/>
        </w:rPr>
        <w:drawing>
          <wp:inline distT="0" distB="0" distL="0" distR="0">
            <wp:extent cx="5507736" cy="2628900"/>
            <wp:effectExtent l="0" t="0" r="0" b="0"/>
            <wp:docPr id="6245" name="Picture 6245"/>
            <wp:cNvGraphicFramePr/>
            <a:graphic xmlns:a="http://schemas.openxmlformats.org/drawingml/2006/main">
              <a:graphicData uri="http://schemas.openxmlformats.org/drawingml/2006/picture">
                <pic:pic xmlns:pic="http://schemas.openxmlformats.org/drawingml/2006/picture">
                  <pic:nvPicPr>
                    <pic:cNvPr id="6245" name="Picture 6245"/>
                    <pic:cNvPicPr/>
                  </pic:nvPicPr>
                  <pic:blipFill>
                    <a:blip r:embed="rId32"/>
                    <a:stretch>
                      <a:fillRect/>
                    </a:stretch>
                  </pic:blipFill>
                  <pic:spPr>
                    <a:xfrm>
                      <a:off x="0" y="0"/>
                      <a:ext cx="5507736" cy="2628900"/>
                    </a:xfrm>
                    <a:prstGeom prst="rect">
                      <a:avLst/>
                    </a:prstGeom>
                  </pic:spPr>
                </pic:pic>
              </a:graphicData>
            </a:graphic>
          </wp:inline>
        </w:drawing>
      </w:r>
      <w:r>
        <w:rPr>
          <w:sz w:val="20"/>
        </w:rPr>
        <w:t xml:space="preserve"> </w:t>
      </w:r>
    </w:p>
    <w:p w:rsidR="007F750E" w:rsidRDefault="00780135">
      <w:pPr>
        <w:spacing w:after="174" w:line="259" w:lineRule="auto"/>
        <w:ind w:left="708" w:firstLine="0"/>
        <w:jc w:val="left"/>
      </w:pPr>
      <w:r>
        <w:rPr>
          <w:sz w:val="20"/>
        </w:rPr>
        <w:t xml:space="preserve"> </w:t>
      </w:r>
    </w:p>
    <w:p w:rsidR="007F750E" w:rsidRDefault="00780135">
      <w:pPr>
        <w:ind w:left="-15" w:right="452" w:firstLine="708"/>
      </w:pPr>
      <w:r>
        <w:t>Wiedmeier S.</w:t>
      </w:r>
      <w:r>
        <w:t>E. с соавторами обследовали более 47 000 новорожденных с целью создания номограмм референсных значений числа тромбоцитов у детей различного хронологического и гестационного возраста.   В группы обследованных детей включены стационарные и амбулаторные пацие</w:t>
      </w:r>
      <w:r>
        <w:t xml:space="preserve">нты. Использование в практической медицине этих номограмм позволит оценить является ли показатель числа тромбоцитов в крови слишком высоким (выше верхнего референсного интервала&gt; р95) или слишком низким (ниже нижнего референсного интервала &lt;р5). </w:t>
      </w:r>
    </w:p>
    <w:p w:rsidR="007F750E" w:rsidRDefault="00780135">
      <w:pPr>
        <w:ind w:left="-15" w:right="49" w:firstLine="708"/>
      </w:pPr>
      <w:r>
        <w:t>Нижняя граница нормы у недоношенных новорожденных ГВ менее 32 недель в первые 72 часа жизни составляет 104*10</w:t>
      </w:r>
      <w:r>
        <w:rPr>
          <w:vertAlign w:val="superscript"/>
        </w:rPr>
        <w:t>9</w:t>
      </w:r>
      <w:r>
        <w:t>/л, у новорожденных ГВ более 32 недель 123*10</w:t>
      </w:r>
      <w:r>
        <w:rPr>
          <w:vertAlign w:val="superscript"/>
        </w:rPr>
        <w:t>9</w:t>
      </w:r>
      <w:r>
        <w:t xml:space="preserve">/л </w:t>
      </w:r>
      <w:r>
        <w:rPr>
          <w:b/>
        </w:rPr>
        <w:t>Приложение А.3.2.2. Средний объем тромбоцита (MPV) у новорожденных первых 3 дней жизни при гестац</w:t>
      </w:r>
      <w:r>
        <w:rPr>
          <w:b/>
        </w:rPr>
        <w:t>ионном возрасте от 22 до 42 недель [118].</w:t>
      </w:r>
      <w:r>
        <w:rPr>
          <w:b/>
          <w:color w:val="FF0000"/>
        </w:rPr>
        <w:t xml:space="preserve"> </w:t>
      </w:r>
    </w:p>
    <w:p w:rsidR="007F750E" w:rsidRDefault="00780135">
      <w:pPr>
        <w:spacing w:after="71" w:line="259" w:lineRule="auto"/>
        <w:ind w:left="0" w:firstLine="0"/>
        <w:jc w:val="right"/>
      </w:pPr>
      <w:r>
        <w:rPr>
          <w:noProof/>
        </w:rPr>
        <w:drawing>
          <wp:inline distT="0" distB="0" distL="0" distR="0">
            <wp:extent cx="5734812" cy="2724912"/>
            <wp:effectExtent l="0" t="0" r="0" b="0"/>
            <wp:docPr id="6268" name="Picture 6268"/>
            <wp:cNvGraphicFramePr/>
            <a:graphic xmlns:a="http://schemas.openxmlformats.org/drawingml/2006/main">
              <a:graphicData uri="http://schemas.openxmlformats.org/drawingml/2006/picture">
                <pic:pic xmlns:pic="http://schemas.openxmlformats.org/drawingml/2006/picture">
                  <pic:nvPicPr>
                    <pic:cNvPr id="6268" name="Picture 6268"/>
                    <pic:cNvPicPr/>
                  </pic:nvPicPr>
                  <pic:blipFill>
                    <a:blip r:embed="rId33"/>
                    <a:stretch>
                      <a:fillRect/>
                    </a:stretch>
                  </pic:blipFill>
                  <pic:spPr>
                    <a:xfrm>
                      <a:off x="0" y="0"/>
                      <a:ext cx="5734812" cy="2724912"/>
                    </a:xfrm>
                    <a:prstGeom prst="rect">
                      <a:avLst/>
                    </a:prstGeom>
                  </pic:spPr>
                </pic:pic>
              </a:graphicData>
            </a:graphic>
          </wp:inline>
        </w:drawing>
      </w:r>
      <w:r>
        <w:rPr>
          <w:b/>
          <w:color w:val="FF0000"/>
          <w:sz w:val="28"/>
        </w:rPr>
        <w:t xml:space="preserve"> </w:t>
      </w:r>
    </w:p>
    <w:p w:rsidR="007F750E" w:rsidRDefault="00780135">
      <w:pPr>
        <w:spacing w:after="95" w:line="259" w:lineRule="auto"/>
        <w:ind w:left="708" w:firstLine="0"/>
        <w:jc w:val="left"/>
      </w:pPr>
      <w:r>
        <w:rPr>
          <w:b/>
          <w:color w:val="FF0000"/>
          <w:sz w:val="28"/>
        </w:rPr>
        <w:t xml:space="preserve"> </w:t>
      </w:r>
    </w:p>
    <w:p w:rsidR="007F750E" w:rsidRDefault="00780135">
      <w:pPr>
        <w:spacing w:after="201" w:line="259" w:lineRule="auto"/>
        <w:jc w:val="left"/>
      </w:pPr>
      <w:r>
        <w:rPr>
          <w:b/>
        </w:rPr>
        <w:t xml:space="preserve">Приложение А3.2.3. MPV у доношенных и поздних недоношенных в течение первых </w:t>
      </w:r>
    </w:p>
    <w:p w:rsidR="007F750E" w:rsidRDefault="00780135">
      <w:pPr>
        <w:spacing w:after="106" w:line="259" w:lineRule="auto"/>
        <w:jc w:val="left"/>
      </w:pPr>
      <w:r>
        <w:rPr>
          <w:b/>
        </w:rPr>
        <w:t>90 дней после рождения [118].</w:t>
      </w:r>
      <w:r>
        <w:rPr>
          <w:b/>
          <w:color w:val="FF0000"/>
          <w:sz w:val="28"/>
        </w:rPr>
        <w:t xml:space="preserve"> </w:t>
      </w:r>
    </w:p>
    <w:p w:rsidR="007F750E" w:rsidRDefault="00780135">
      <w:pPr>
        <w:spacing w:after="121" w:line="259" w:lineRule="auto"/>
        <w:ind w:left="708" w:firstLine="0"/>
        <w:jc w:val="left"/>
      </w:pPr>
      <w:r>
        <w:rPr>
          <w:b/>
          <w:color w:val="FF0000"/>
          <w:sz w:val="28"/>
        </w:rPr>
        <w:t xml:space="preserve"> </w:t>
      </w:r>
    </w:p>
    <w:p w:rsidR="007F750E" w:rsidRDefault="00780135">
      <w:pPr>
        <w:spacing w:after="71" w:line="259" w:lineRule="auto"/>
        <w:ind w:left="0" w:right="720" w:firstLine="0"/>
        <w:jc w:val="right"/>
      </w:pPr>
      <w:r>
        <w:rPr>
          <w:noProof/>
        </w:rPr>
        <w:drawing>
          <wp:inline distT="0" distB="0" distL="0" distR="0">
            <wp:extent cx="5266944" cy="2590800"/>
            <wp:effectExtent l="0" t="0" r="0" b="0"/>
            <wp:docPr id="6270" name="Picture 6270"/>
            <wp:cNvGraphicFramePr/>
            <a:graphic xmlns:a="http://schemas.openxmlformats.org/drawingml/2006/main">
              <a:graphicData uri="http://schemas.openxmlformats.org/drawingml/2006/picture">
                <pic:pic xmlns:pic="http://schemas.openxmlformats.org/drawingml/2006/picture">
                  <pic:nvPicPr>
                    <pic:cNvPr id="6270" name="Picture 6270"/>
                    <pic:cNvPicPr/>
                  </pic:nvPicPr>
                  <pic:blipFill>
                    <a:blip r:embed="rId34"/>
                    <a:stretch>
                      <a:fillRect/>
                    </a:stretch>
                  </pic:blipFill>
                  <pic:spPr>
                    <a:xfrm>
                      <a:off x="0" y="0"/>
                      <a:ext cx="5266944" cy="2590800"/>
                    </a:xfrm>
                    <a:prstGeom prst="rect">
                      <a:avLst/>
                    </a:prstGeom>
                  </pic:spPr>
                </pic:pic>
              </a:graphicData>
            </a:graphic>
          </wp:inline>
        </w:drawing>
      </w:r>
      <w:r>
        <w:rPr>
          <w:b/>
          <w:color w:val="FF0000"/>
          <w:sz w:val="28"/>
        </w:rPr>
        <w:t xml:space="preserve"> </w:t>
      </w:r>
    </w:p>
    <w:p w:rsidR="007F750E" w:rsidRDefault="00780135">
      <w:pPr>
        <w:spacing w:after="0" w:line="259" w:lineRule="auto"/>
        <w:ind w:left="0" w:firstLine="0"/>
        <w:jc w:val="left"/>
      </w:pPr>
      <w:r>
        <w:rPr>
          <w:b/>
          <w:color w:val="FF0000"/>
          <w:sz w:val="28"/>
        </w:rPr>
        <w:t xml:space="preserve"> </w:t>
      </w:r>
      <w:r>
        <w:rPr>
          <w:b/>
          <w:color w:val="FF0000"/>
          <w:sz w:val="28"/>
        </w:rPr>
        <w:tab/>
        <w:t xml:space="preserve"> </w:t>
      </w:r>
    </w:p>
    <w:p w:rsidR="007F750E" w:rsidRDefault="00780135">
      <w:pPr>
        <w:spacing w:after="2" w:line="395" w:lineRule="auto"/>
        <w:jc w:val="left"/>
      </w:pPr>
      <w:r>
        <w:rPr>
          <w:b/>
        </w:rPr>
        <w:t>Приложение А3.2.4. Фракция незрелых тромбоцитов (IPF%) на день рождения в зависимости от ср</w:t>
      </w:r>
      <w:r>
        <w:rPr>
          <w:b/>
        </w:rPr>
        <w:t>ока гестации [53].</w:t>
      </w:r>
      <w:r>
        <w:rPr>
          <w:b/>
          <w:color w:val="FF0000"/>
          <w:sz w:val="28"/>
        </w:rPr>
        <w:t xml:space="preserve"> </w:t>
      </w:r>
    </w:p>
    <w:p w:rsidR="007F750E" w:rsidRDefault="00780135">
      <w:pPr>
        <w:spacing w:after="105" w:line="259" w:lineRule="auto"/>
        <w:ind w:left="708" w:firstLine="0"/>
        <w:jc w:val="left"/>
      </w:pPr>
      <w:r>
        <w:rPr>
          <w:b/>
          <w:color w:val="FF0000"/>
        </w:rPr>
        <w:t xml:space="preserve"> </w:t>
      </w:r>
    </w:p>
    <w:p w:rsidR="007F750E" w:rsidRDefault="00780135">
      <w:pPr>
        <w:spacing w:after="57" w:line="259" w:lineRule="auto"/>
        <w:ind w:left="0" w:right="2152" w:firstLine="0"/>
        <w:jc w:val="center"/>
      </w:pPr>
      <w:r>
        <w:rPr>
          <w:noProof/>
        </w:rPr>
        <w:drawing>
          <wp:inline distT="0" distB="0" distL="0" distR="0">
            <wp:extent cx="3915156" cy="2218944"/>
            <wp:effectExtent l="0" t="0" r="0" b="0"/>
            <wp:docPr id="6291" name="Picture 6291"/>
            <wp:cNvGraphicFramePr/>
            <a:graphic xmlns:a="http://schemas.openxmlformats.org/drawingml/2006/main">
              <a:graphicData uri="http://schemas.openxmlformats.org/drawingml/2006/picture">
                <pic:pic xmlns:pic="http://schemas.openxmlformats.org/drawingml/2006/picture">
                  <pic:nvPicPr>
                    <pic:cNvPr id="6291" name="Picture 6291"/>
                    <pic:cNvPicPr/>
                  </pic:nvPicPr>
                  <pic:blipFill>
                    <a:blip r:embed="rId35"/>
                    <a:stretch>
                      <a:fillRect/>
                    </a:stretch>
                  </pic:blipFill>
                  <pic:spPr>
                    <a:xfrm>
                      <a:off x="0" y="0"/>
                      <a:ext cx="3915156" cy="2218944"/>
                    </a:xfrm>
                    <a:prstGeom prst="rect">
                      <a:avLst/>
                    </a:prstGeom>
                  </pic:spPr>
                </pic:pic>
              </a:graphicData>
            </a:graphic>
          </wp:inline>
        </w:drawing>
      </w:r>
      <w:r>
        <w:t xml:space="preserve"> </w:t>
      </w:r>
    </w:p>
    <w:p w:rsidR="007F750E" w:rsidRDefault="00780135">
      <w:pPr>
        <w:spacing w:after="0" w:line="259" w:lineRule="auto"/>
        <w:ind w:left="708" w:firstLine="0"/>
        <w:jc w:val="left"/>
      </w:pPr>
      <w:r>
        <w:t xml:space="preserve"> </w:t>
      </w:r>
    </w:p>
    <w:p w:rsidR="007F750E" w:rsidRDefault="007F750E">
      <w:pPr>
        <w:sectPr w:rsidR="007F750E">
          <w:footerReference w:type="even" r:id="rId36"/>
          <w:footerReference w:type="default" r:id="rId37"/>
          <w:footerReference w:type="first" r:id="rId38"/>
          <w:pgSz w:w="11906" w:h="16838"/>
          <w:pgMar w:top="1469" w:right="395" w:bottom="3792" w:left="1702" w:header="720" w:footer="726" w:gutter="0"/>
          <w:pgNumType w:start="46"/>
          <w:cols w:space="720"/>
        </w:sectPr>
      </w:pPr>
    </w:p>
    <w:p w:rsidR="007F750E" w:rsidRDefault="00780135">
      <w:pPr>
        <w:spacing w:after="0" w:line="259" w:lineRule="auto"/>
        <w:ind w:left="286" w:firstLine="0"/>
        <w:jc w:val="left"/>
      </w:pPr>
      <w:r>
        <w:rPr>
          <w:i/>
        </w:rPr>
        <w:t xml:space="preserve"> </w:t>
      </w:r>
    </w:p>
    <w:p w:rsidR="007F750E" w:rsidRDefault="00780135">
      <w:pPr>
        <w:spacing w:after="453" w:line="259" w:lineRule="auto"/>
        <w:ind w:left="994" w:firstLine="0"/>
        <w:jc w:val="left"/>
      </w:pPr>
      <w:r>
        <w:t xml:space="preserve"> </w:t>
      </w:r>
    </w:p>
    <w:p w:rsidR="007F750E" w:rsidRDefault="00780135">
      <w:pPr>
        <w:pStyle w:val="Heading1"/>
        <w:spacing w:after="97"/>
        <w:ind w:left="298" w:right="0"/>
      </w:pPr>
      <w:r>
        <w:t xml:space="preserve">Приложение Б. Алгоритмы действий врача </w:t>
      </w:r>
    </w:p>
    <w:p w:rsidR="007F750E" w:rsidRDefault="00780135">
      <w:pPr>
        <w:spacing w:after="2" w:line="395" w:lineRule="auto"/>
        <w:ind w:left="286" w:firstLine="708"/>
        <w:jc w:val="left"/>
      </w:pPr>
      <w:r>
        <w:rPr>
          <w:b/>
        </w:rPr>
        <w:t>Приложение Б1. Алгоритм диагностики и лечения ранних неонатальных иммунных тромбоцитопений</w:t>
      </w:r>
    </w:p>
    <w:p w:rsidR="007F750E" w:rsidRDefault="00780135">
      <w:pPr>
        <w:spacing w:after="55" w:line="259" w:lineRule="auto"/>
        <w:ind w:left="0" w:right="1062" w:firstLine="0"/>
        <w:jc w:val="right"/>
      </w:pPr>
      <w:r>
        <w:rPr>
          <w:noProof/>
        </w:rPr>
        <w:drawing>
          <wp:inline distT="0" distB="0" distL="0" distR="0">
            <wp:extent cx="5945124" cy="7837932"/>
            <wp:effectExtent l="0" t="0" r="0" b="0"/>
            <wp:docPr id="6306" name="Picture 6306"/>
            <wp:cNvGraphicFramePr/>
            <a:graphic xmlns:a="http://schemas.openxmlformats.org/drawingml/2006/main">
              <a:graphicData uri="http://schemas.openxmlformats.org/drawingml/2006/picture">
                <pic:pic xmlns:pic="http://schemas.openxmlformats.org/drawingml/2006/picture">
                  <pic:nvPicPr>
                    <pic:cNvPr id="6306" name="Picture 6306"/>
                    <pic:cNvPicPr/>
                  </pic:nvPicPr>
                  <pic:blipFill>
                    <a:blip r:embed="rId39"/>
                    <a:stretch>
                      <a:fillRect/>
                    </a:stretch>
                  </pic:blipFill>
                  <pic:spPr>
                    <a:xfrm>
                      <a:off x="0" y="0"/>
                      <a:ext cx="5945124" cy="7837932"/>
                    </a:xfrm>
                    <a:prstGeom prst="rect">
                      <a:avLst/>
                    </a:prstGeom>
                  </pic:spPr>
                </pic:pic>
              </a:graphicData>
            </a:graphic>
          </wp:inline>
        </w:drawing>
      </w:r>
      <w:r>
        <w:t xml:space="preserve"> </w:t>
      </w:r>
    </w:p>
    <w:p w:rsidR="007F750E" w:rsidRDefault="00780135">
      <w:pPr>
        <w:spacing w:after="96" w:line="259" w:lineRule="auto"/>
        <w:ind w:left="994" w:firstLine="0"/>
        <w:jc w:val="left"/>
      </w:pPr>
      <w:r>
        <w:t xml:space="preserve"> </w:t>
      </w:r>
    </w:p>
    <w:p w:rsidR="007F750E" w:rsidRDefault="00780135">
      <w:pPr>
        <w:spacing w:after="226" w:line="259" w:lineRule="auto"/>
        <w:ind w:left="1572" w:right="567"/>
        <w:jc w:val="center"/>
      </w:pPr>
      <w:r>
        <w:t xml:space="preserve">49 </w:t>
      </w:r>
    </w:p>
    <w:p w:rsidR="007F750E" w:rsidRDefault="00780135">
      <w:pPr>
        <w:spacing w:after="0" w:line="259" w:lineRule="auto"/>
        <w:ind w:left="1136" w:firstLine="0"/>
        <w:jc w:val="left"/>
      </w:pPr>
      <w:r>
        <w:rPr>
          <w:i/>
        </w:rPr>
        <w:t xml:space="preserve"> </w:t>
      </w:r>
    </w:p>
    <w:p w:rsidR="007F750E" w:rsidRDefault="00780135">
      <w:pPr>
        <w:spacing w:after="453" w:line="259" w:lineRule="auto"/>
        <w:ind w:left="1844" w:firstLine="0"/>
        <w:jc w:val="left"/>
      </w:pPr>
      <w:r>
        <w:t xml:space="preserve"> </w:t>
      </w:r>
    </w:p>
    <w:p w:rsidR="007F750E" w:rsidRDefault="00780135">
      <w:pPr>
        <w:pStyle w:val="Heading1"/>
        <w:ind w:left="862" w:right="0"/>
      </w:pPr>
      <w:r>
        <w:t xml:space="preserve">Приложение В. Информация для пациента </w:t>
      </w:r>
    </w:p>
    <w:p w:rsidR="007F750E" w:rsidRDefault="00780135">
      <w:pPr>
        <w:spacing w:after="36"/>
        <w:ind w:left="1136" w:right="278" w:firstLine="708"/>
      </w:pPr>
      <w:r>
        <w:t xml:space="preserve">Преходящая неонатальная тромбоцитопения – </w:t>
      </w:r>
      <w:r>
        <w:t>состояние, характеризующееся снижением количества тромбоцитов в крови ниже референсных значений для гестационного, хронологического или постконцептуального возраста ребёнка. Состояние возникает в пренатальном и неонатальном периодах и обусловлено различным</w:t>
      </w:r>
      <w:r>
        <w:t>и патологическими воздействиями при болезнях матери, плацентарных нарушениях, а также заболеваниях плода и новорожденного (асфиксия, тяжелая гемолитическая болезнь новорожденных, перинатальные инфекции). Возможно развитие данного состояния у ребенка в резу</w:t>
      </w:r>
      <w:r>
        <w:t>льтате медицинских манипуляций (заменного переливания крови, фототерапии, процедуры экстракорпоральной мембранной оксигенации).  Преходящая неонатальная тромбоцитопения может возникнуть на фоне использования лекарств, обуславливающих данное состояние (лека</w:t>
      </w:r>
      <w:r>
        <w:t xml:space="preserve">рственно-индуцированная тромбоцитопения), поэтому у матерей группы риска по развитию тромбоцитопении при выборе лекарственного средства следует отказаться от препаратов, индуцирующих тромбоцитопению.  Наиболее значимой формой заболевания является иммунная </w:t>
      </w:r>
      <w:r>
        <w:t>форма тромбоцитопении, которая представлена аллоиммунной и трансиммунной тромбоцитопенией, возникающей в результате попадания материнских антитромбоцитарных аутоантител при различной патологии матери или в результате несовместимости плода с матерью по тром</w:t>
      </w:r>
      <w:r>
        <w:t xml:space="preserve">боцитарным антигенам.  В группе риска состоят женщины с иммунной тромбоцитопенией (такими иммунно-патологическими состояниями, как тромбоцитопеническая пурпура, системная красная волчанка, синдром Эванса).  Женщинам с иммунными заболеваниями, или родивших </w:t>
      </w:r>
      <w:r>
        <w:t>детей с неонатальной тромбоцитопенией от предыдущей беременности, при планировании и в период настоящей беременности, необходимо наблюдаться у врача акушера-гинеколога совместно с врачомгематологом. Для профилактики неонатальной тромбоцитопении при иммунны</w:t>
      </w:r>
      <w:r>
        <w:t>х формах беременным проводится курс терапии, включающий иммуноглобулинотерапию и кортикостероидную терапию. Новорожденные с преходящей неонатальной тромбоцитопенией требуют тщательного обследования и наблюдения, комплексной терапии по индивидуальной схеме.</w:t>
      </w:r>
      <w:r>
        <w:t xml:space="preserve"> Транзиторные тромбоцитопении длятся на протяжении первых дней и недель жизни (в зависимости от этиологии). Клиническая картина заболевания у ребенка может сопровождаться повышенной кровоточивостью и проявляться кожными кровоизлияниями, кровотечением из пу</w:t>
      </w:r>
      <w:r>
        <w:t xml:space="preserve">почной ранки, гематурией. При тяжелой тромбоцитопении опасным осложнением является внутричерепное кровоизлияние, ухудшающее прогноз для здоровья и жизни ребенка. </w:t>
      </w:r>
    </w:p>
    <w:p w:rsidR="007F750E" w:rsidRDefault="00780135">
      <w:pPr>
        <w:spacing w:after="226" w:line="259" w:lineRule="auto"/>
        <w:ind w:left="1572"/>
        <w:jc w:val="center"/>
      </w:pPr>
      <w:r>
        <w:t xml:space="preserve">50 </w:t>
      </w:r>
    </w:p>
    <w:p w:rsidR="007F750E" w:rsidRDefault="00780135">
      <w:pPr>
        <w:spacing w:after="0" w:line="259" w:lineRule="auto"/>
        <w:ind w:left="1136" w:firstLine="0"/>
        <w:jc w:val="left"/>
      </w:pPr>
      <w:r>
        <w:rPr>
          <w:i/>
        </w:rPr>
        <w:t xml:space="preserve"> </w:t>
      </w:r>
    </w:p>
    <w:p w:rsidR="007F750E" w:rsidRDefault="00780135">
      <w:pPr>
        <w:spacing w:after="112" w:line="259" w:lineRule="auto"/>
        <w:ind w:left="1844" w:firstLine="0"/>
        <w:jc w:val="left"/>
      </w:pPr>
      <w:r>
        <w:t xml:space="preserve"> </w:t>
      </w:r>
    </w:p>
    <w:p w:rsidR="007F750E" w:rsidRDefault="00780135">
      <w:pPr>
        <w:ind w:left="1136" w:right="282" w:firstLine="708"/>
      </w:pPr>
      <w:r>
        <w:t xml:space="preserve">Наблюдение и лечение беременных женщин и детей группы риска по развитию неонатальной </w:t>
      </w:r>
      <w:r>
        <w:t>тромбоцитопении должно осуществляться в специализированных родильных домах и перинатальных центрах. При своевременной профилактике, диагностике и лечения преходящей неонатальной тромбоцитопении и при отсутствии таких осложнений, как внутричерепное кровоизл</w:t>
      </w:r>
      <w:r>
        <w:t xml:space="preserve">ияние, прогноз заболевания благоприятный.  </w:t>
      </w:r>
    </w:p>
    <w:p w:rsidR="007F750E" w:rsidRDefault="00780135">
      <w:pPr>
        <w:spacing w:after="112" w:line="259" w:lineRule="auto"/>
        <w:ind w:left="1844" w:firstLine="0"/>
        <w:jc w:val="left"/>
      </w:pPr>
      <w:r>
        <w:t xml:space="preserve"> </w:t>
      </w:r>
    </w:p>
    <w:p w:rsidR="007F750E" w:rsidRDefault="00780135">
      <w:pPr>
        <w:spacing w:after="11648" w:line="259" w:lineRule="auto"/>
        <w:ind w:left="1844" w:firstLine="0"/>
        <w:jc w:val="left"/>
      </w:pPr>
      <w:r>
        <w:t xml:space="preserve"> </w:t>
      </w:r>
    </w:p>
    <w:p w:rsidR="007F750E" w:rsidRDefault="00780135">
      <w:pPr>
        <w:spacing w:after="226" w:line="259" w:lineRule="auto"/>
        <w:ind w:left="1572"/>
        <w:jc w:val="center"/>
      </w:pPr>
      <w:r>
        <w:t xml:space="preserve">51 </w:t>
      </w:r>
    </w:p>
    <w:p w:rsidR="007F750E" w:rsidRDefault="00780135">
      <w:pPr>
        <w:spacing w:after="0" w:line="259" w:lineRule="auto"/>
        <w:ind w:left="0" w:firstLine="0"/>
        <w:jc w:val="left"/>
      </w:pPr>
      <w:r>
        <w:rPr>
          <w:i/>
        </w:rPr>
        <w:t xml:space="preserve"> </w:t>
      </w:r>
    </w:p>
    <w:p w:rsidR="007F750E" w:rsidRDefault="00780135">
      <w:pPr>
        <w:spacing w:after="213" w:line="259" w:lineRule="auto"/>
        <w:ind w:left="708" w:firstLine="0"/>
        <w:jc w:val="left"/>
      </w:pPr>
      <w:r>
        <w:t xml:space="preserve"> </w:t>
      </w:r>
    </w:p>
    <w:p w:rsidR="007F750E" w:rsidRDefault="00780135">
      <w:pPr>
        <w:spacing w:after="134" w:line="259" w:lineRule="auto"/>
        <w:ind w:left="0" w:right="611" w:firstLine="0"/>
        <w:jc w:val="right"/>
      </w:pPr>
      <w:r>
        <w:rPr>
          <w:b/>
          <w:sz w:val="28"/>
        </w:rPr>
        <w:t xml:space="preserve">Приложение Г1-ГN. Шкалы оценки, вопросники и другие оценочные </w:t>
      </w:r>
    </w:p>
    <w:p w:rsidR="007F750E" w:rsidRDefault="00780135">
      <w:pPr>
        <w:pStyle w:val="Heading1"/>
        <w:spacing w:after="0" w:line="399" w:lineRule="auto"/>
        <w:ind w:left="711" w:right="0"/>
      </w:pPr>
      <w:r>
        <w:t xml:space="preserve">инструменты состояния пациента, приведенные в клинических рекомендациях </w:t>
      </w:r>
    </w:p>
    <w:p w:rsidR="007F750E" w:rsidRDefault="00780135">
      <w:pPr>
        <w:spacing w:after="115" w:line="259" w:lineRule="auto"/>
        <w:ind w:left="1429" w:right="49"/>
      </w:pPr>
      <w:r>
        <w:t xml:space="preserve">Неприменимо. </w:t>
      </w:r>
    </w:p>
    <w:p w:rsidR="007F750E" w:rsidRDefault="00780135">
      <w:pPr>
        <w:spacing w:after="12268" w:line="259" w:lineRule="auto"/>
        <w:ind w:left="708" w:firstLine="0"/>
        <w:jc w:val="left"/>
      </w:pPr>
      <w:r>
        <w:t xml:space="preserve"> </w:t>
      </w:r>
    </w:p>
    <w:p w:rsidR="007F750E" w:rsidRDefault="00780135">
      <w:pPr>
        <w:spacing w:after="226" w:line="259" w:lineRule="auto"/>
        <w:ind w:left="1572" w:right="855"/>
        <w:jc w:val="center"/>
      </w:pPr>
      <w:r>
        <w:t xml:space="preserve">52 </w:t>
      </w:r>
    </w:p>
    <w:sectPr w:rsidR="007F750E">
      <w:footerReference w:type="even" r:id="rId40"/>
      <w:footerReference w:type="default" r:id="rId41"/>
      <w:footerReference w:type="first" r:id="rId42"/>
      <w:pgSz w:w="11906" w:h="16838"/>
      <w:pgMar w:top="722" w:right="568" w:bottom="726" w:left="566" w:header="720" w:footer="35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780135">
      <w:pPr>
        <w:spacing w:after="0" w:line="240" w:lineRule="auto"/>
      </w:pPr>
      <w:r>
        <w:separator/>
      </w:r>
    </w:p>
  </w:endnote>
  <w:endnote w:type="continuationSeparator" w:id="0">
    <w:p w:rsidR="00000000" w:rsidRDefault="007801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750E" w:rsidRDefault="007F750E">
    <w:pPr>
      <w:spacing w:after="160" w:line="259" w:lineRule="auto"/>
      <w:ind w:left="0" w:firstLine="0"/>
      <w:jc w:val="left"/>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750E" w:rsidRDefault="007F750E">
    <w:pPr>
      <w:spacing w:after="160" w:line="259" w:lineRule="auto"/>
      <w:ind w:left="0" w:firstLine="0"/>
      <w:jc w:val="left"/>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750E" w:rsidRDefault="007F750E">
    <w:pPr>
      <w:spacing w:after="160" w:line="259" w:lineRule="auto"/>
      <w:ind w:left="0" w:firstLine="0"/>
      <w:jc w:val="left"/>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750E" w:rsidRDefault="007F750E">
    <w:pPr>
      <w:spacing w:after="160" w:line="259"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750E" w:rsidRDefault="007F750E">
    <w:pPr>
      <w:spacing w:after="160" w:line="259"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750E" w:rsidRDefault="007F750E">
    <w:pPr>
      <w:spacing w:after="160" w:line="259" w:lineRule="auto"/>
      <w:ind w:lef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750E" w:rsidRDefault="007F750E">
    <w:pPr>
      <w:spacing w:after="160" w:line="259" w:lineRule="auto"/>
      <w:ind w:left="0" w:firstLine="0"/>
      <w:jc w:val="left"/>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750E" w:rsidRDefault="007F750E">
    <w:pPr>
      <w:spacing w:after="160" w:line="259" w:lineRule="auto"/>
      <w:ind w:left="0" w:firstLine="0"/>
      <w:jc w:val="left"/>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750E" w:rsidRDefault="007F750E">
    <w:pPr>
      <w:spacing w:after="160" w:line="259" w:lineRule="auto"/>
      <w:ind w:left="0" w:firstLine="0"/>
      <w:jc w:val="left"/>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750E" w:rsidRDefault="00780135">
    <w:pPr>
      <w:spacing w:after="0" w:line="259" w:lineRule="auto"/>
      <w:ind w:left="254" w:firstLine="0"/>
      <w:jc w:val="center"/>
    </w:pPr>
    <w:r>
      <w:fldChar w:fldCharType="begin"/>
    </w:r>
    <w:r>
      <w:instrText xml:space="preserve"> PAGE   \* MERGEFORMAT </w:instrText>
    </w:r>
    <w:r>
      <w:fldChar w:fldCharType="separate"/>
    </w:r>
    <w:r>
      <w:t>46</w:t>
    </w:r>
    <w:r>
      <w:fldChar w:fldCharType="end"/>
    </w:r>
    <w: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750E" w:rsidRDefault="00780135">
    <w:pPr>
      <w:spacing w:after="0" w:line="259" w:lineRule="auto"/>
      <w:ind w:left="254" w:firstLine="0"/>
      <w:jc w:val="center"/>
    </w:pPr>
    <w:r>
      <w:fldChar w:fldCharType="begin"/>
    </w:r>
    <w:r>
      <w:instrText xml:space="preserve"> PAGE   \* MERGEFORMAT </w:instrText>
    </w:r>
    <w:r>
      <w:fldChar w:fldCharType="separate"/>
    </w:r>
    <w:r>
      <w:t>46</w:t>
    </w:r>
    <w:r>
      <w:fldChar w:fldCharType="end"/>
    </w:r>
    <w: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750E" w:rsidRDefault="00780135">
    <w:pPr>
      <w:spacing w:after="0" w:line="259" w:lineRule="auto"/>
      <w:ind w:left="254" w:firstLine="0"/>
      <w:jc w:val="center"/>
    </w:pPr>
    <w:r>
      <w:fldChar w:fldCharType="begin"/>
    </w:r>
    <w:r>
      <w:instrText xml:space="preserve"> PAGE   \* MERGEFORMAT </w:instrText>
    </w:r>
    <w:r>
      <w:fldChar w:fldCharType="separate"/>
    </w:r>
    <w:r>
      <w:t>46</w:t>
    </w:r>
    <w: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000" w:rsidRDefault="00780135">
      <w:pPr>
        <w:spacing w:after="0" w:line="240" w:lineRule="auto"/>
      </w:pPr>
      <w:r>
        <w:separator/>
      </w:r>
    </w:p>
  </w:footnote>
  <w:footnote w:type="continuationSeparator" w:id="0">
    <w:p w:rsidR="00000000" w:rsidRDefault="0078013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46E0F"/>
    <w:multiLevelType w:val="hybridMultilevel"/>
    <w:tmpl w:val="F9FAA1FE"/>
    <w:lvl w:ilvl="0" w:tplc="1CDEC244">
      <w:start w:val="1"/>
      <w:numFmt w:val="decimal"/>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E34BB40">
      <w:start w:val="1"/>
      <w:numFmt w:val="lowerLetter"/>
      <w:lvlText w:val="%2"/>
      <w:lvlJc w:val="left"/>
      <w:pPr>
        <w:ind w:left="1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8C45FC4">
      <w:start w:val="1"/>
      <w:numFmt w:val="lowerRoman"/>
      <w:lvlText w:val="%3"/>
      <w:lvlJc w:val="left"/>
      <w:pPr>
        <w:ind w:left="1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D30AC9C">
      <w:start w:val="1"/>
      <w:numFmt w:val="decimal"/>
      <w:lvlText w:val="%4"/>
      <w:lvlJc w:val="left"/>
      <w:pPr>
        <w:ind w:left="2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7128208">
      <w:start w:val="1"/>
      <w:numFmt w:val="lowerLetter"/>
      <w:lvlText w:val="%5"/>
      <w:lvlJc w:val="left"/>
      <w:pPr>
        <w:ind w:left="3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C2FF8C">
      <w:start w:val="1"/>
      <w:numFmt w:val="lowerRoman"/>
      <w:lvlText w:val="%6"/>
      <w:lvlJc w:val="left"/>
      <w:pPr>
        <w:ind w:left="3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E8B494">
      <w:start w:val="1"/>
      <w:numFmt w:val="decimal"/>
      <w:lvlText w:val="%7"/>
      <w:lvlJc w:val="left"/>
      <w:pPr>
        <w:ind w:left="4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FA08C42">
      <w:start w:val="1"/>
      <w:numFmt w:val="lowerLetter"/>
      <w:lvlText w:val="%8"/>
      <w:lvlJc w:val="left"/>
      <w:pPr>
        <w:ind w:left="54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E629D4A">
      <w:start w:val="1"/>
      <w:numFmt w:val="lowerRoman"/>
      <w:lvlText w:val="%9"/>
      <w:lvlJc w:val="left"/>
      <w:pPr>
        <w:ind w:left="61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8705804"/>
    <w:multiLevelType w:val="multilevel"/>
    <w:tmpl w:val="93CA1B0A"/>
    <w:lvl w:ilvl="0">
      <w:start w:val="3"/>
      <w:numFmt w:val="decimal"/>
      <w:lvlText w:val="%1."/>
      <w:lvlJc w:val="left"/>
      <w:pPr>
        <w:ind w:left="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59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D4259EC"/>
    <w:multiLevelType w:val="multilevel"/>
    <w:tmpl w:val="0018F656"/>
    <w:lvl w:ilvl="0">
      <w:start w:val="1"/>
      <w:numFmt w:val="decimal"/>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2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0DE2511C"/>
    <w:multiLevelType w:val="hybridMultilevel"/>
    <w:tmpl w:val="D9C28C7E"/>
    <w:lvl w:ilvl="0" w:tplc="4CE698A6">
      <w:start w:val="24"/>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DE8BA1E">
      <w:start w:val="1"/>
      <w:numFmt w:val="lowerLetter"/>
      <w:lvlText w:val="%2"/>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8FCAEA0">
      <w:start w:val="1"/>
      <w:numFmt w:val="lowerRoman"/>
      <w:lvlText w:val="%3"/>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824F08">
      <w:start w:val="1"/>
      <w:numFmt w:val="decimal"/>
      <w:lvlText w:val="%4"/>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C8AA1C2">
      <w:start w:val="1"/>
      <w:numFmt w:val="lowerLetter"/>
      <w:lvlText w:val="%5"/>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CA61FE">
      <w:start w:val="1"/>
      <w:numFmt w:val="lowerRoman"/>
      <w:lvlText w:val="%6"/>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52AA42">
      <w:start w:val="1"/>
      <w:numFmt w:val="decimal"/>
      <w:lvlText w:val="%7"/>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C8615C0">
      <w:start w:val="1"/>
      <w:numFmt w:val="lowerLetter"/>
      <w:lvlText w:val="%8"/>
      <w:lvlJc w:val="left"/>
      <w:pPr>
        <w:ind w:left="56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D485D6">
      <w:start w:val="1"/>
      <w:numFmt w:val="lowerRoman"/>
      <w:lvlText w:val="%9"/>
      <w:lvlJc w:val="left"/>
      <w:pPr>
        <w:ind w:left="64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150D3AB3"/>
    <w:multiLevelType w:val="hybridMultilevel"/>
    <w:tmpl w:val="5AB2B090"/>
    <w:lvl w:ilvl="0" w:tplc="1E5CFA7A">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572A29A">
      <w:start w:val="1"/>
      <w:numFmt w:val="lowerLetter"/>
      <w:lvlText w:val="%2"/>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8C43E4">
      <w:start w:val="1"/>
      <w:numFmt w:val="lowerRoman"/>
      <w:lvlText w:val="%3"/>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F2C91E">
      <w:start w:val="1"/>
      <w:numFmt w:val="decimal"/>
      <w:lvlText w:val="%4"/>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0D23B10">
      <w:start w:val="1"/>
      <w:numFmt w:val="lowerLetter"/>
      <w:lvlText w:val="%5"/>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EF232EE">
      <w:start w:val="1"/>
      <w:numFmt w:val="lowerRoman"/>
      <w:lvlText w:val="%6"/>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E00E2C2">
      <w:start w:val="1"/>
      <w:numFmt w:val="decimal"/>
      <w:lvlText w:val="%7"/>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BE65388">
      <w:start w:val="1"/>
      <w:numFmt w:val="lowerLetter"/>
      <w:lvlText w:val="%8"/>
      <w:lvlJc w:val="left"/>
      <w:pPr>
        <w:ind w:left="56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7500A90">
      <w:start w:val="1"/>
      <w:numFmt w:val="lowerRoman"/>
      <w:lvlText w:val="%9"/>
      <w:lvlJc w:val="left"/>
      <w:pPr>
        <w:ind w:left="64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1A3D3ED8"/>
    <w:multiLevelType w:val="hybridMultilevel"/>
    <w:tmpl w:val="44305B7E"/>
    <w:lvl w:ilvl="0" w:tplc="4E5A53C2">
      <w:start w:val="1"/>
      <w:numFmt w:val="bullet"/>
      <w:lvlText w:val="•"/>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A36C33A">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2CBC94FE">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7B725F50">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DA23DE6">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286628AA">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562A036C">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94F4BF82">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5C688170">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6" w15:restartNumberingAfterBreak="0">
    <w:nsid w:val="1F925EB6"/>
    <w:multiLevelType w:val="hybridMultilevel"/>
    <w:tmpl w:val="697AFA24"/>
    <w:lvl w:ilvl="0" w:tplc="D2E06046">
      <w:start w:val="1"/>
      <w:numFmt w:val="decimal"/>
      <w:lvlText w:val="%1)"/>
      <w:lvlJc w:val="left"/>
      <w:pPr>
        <w:ind w:left="6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4D61CFC">
      <w:start w:val="1"/>
      <w:numFmt w:val="lowerLetter"/>
      <w:lvlText w:val="%2"/>
      <w:lvlJc w:val="left"/>
      <w:pPr>
        <w:ind w:left="14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1127EC6">
      <w:start w:val="1"/>
      <w:numFmt w:val="lowerRoman"/>
      <w:lvlText w:val="%3"/>
      <w:lvlJc w:val="left"/>
      <w:pPr>
        <w:ind w:left="21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862B1C">
      <w:start w:val="1"/>
      <w:numFmt w:val="decimal"/>
      <w:lvlText w:val="%4"/>
      <w:lvlJc w:val="left"/>
      <w:pPr>
        <w:ind w:left="28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B0CBB22">
      <w:start w:val="1"/>
      <w:numFmt w:val="lowerLetter"/>
      <w:lvlText w:val="%5"/>
      <w:lvlJc w:val="left"/>
      <w:pPr>
        <w:ind w:left="35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CE66BA4">
      <w:start w:val="1"/>
      <w:numFmt w:val="lowerRoman"/>
      <w:lvlText w:val="%6"/>
      <w:lvlJc w:val="left"/>
      <w:pPr>
        <w:ind w:left="43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CD0F592">
      <w:start w:val="1"/>
      <w:numFmt w:val="decimal"/>
      <w:lvlText w:val="%7"/>
      <w:lvlJc w:val="left"/>
      <w:pPr>
        <w:ind w:left="50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CFE5338">
      <w:start w:val="1"/>
      <w:numFmt w:val="lowerLetter"/>
      <w:lvlText w:val="%8"/>
      <w:lvlJc w:val="left"/>
      <w:pPr>
        <w:ind w:left="57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FE16E4">
      <w:start w:val="1"/>
      <w:numFmt w:val="lowerRoman"/>
      <w:lvlText w:val="%9"/>
      <w:lvlJc w:val="left"/>
      <w:pPr>
        <w:ind w:left="64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24813292"/>
    <w:multiLevelType w:val="multilevel"/>
    <w:tmpl w:val="8A901FEC"/>
    <w:lvl w:ilvl="0">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5"/>
      <w:numFmt w:val="decimal"/>
      <w:lvlText w:val="%1.%2"/>
      <w:lvlJc w:val="left"/>
      <w:pPr>
        <w:ind w:left="1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24911151"/>
    <w:multiLevelType w:val="hybridMultilevel"/>
    <w:tmpl w:val="27985EE2"/>
    <w:lvl w:ilvl="0" w:tplc="6CF8D54E">
      <w:start w:val="1"/>
      <w:numFmt w:val="bullet"/>
      <w:lvlText w:val="•"/>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F26AC42">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08E47164">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7714D492">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F1273F0">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2C32C036">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3364B64">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92E26A0">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A7C019A">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9" w15:restartNumberingAfterBreak="0">
    <w:nsid w:val="24DB2CB6"/>
    <w:multiLevelType w:val="hybridMultilevel"/>
    <w:tmpl w:val="DE90F1BA"/>
    <w:lvl w:ilvl="0" w:tplc="29F646C2">
      <w:start w:val="1"/>
      <w:numFmt w:val="bullet"/>
      <w:lvlText w:val="•"/>
      <w:lvlJc w:val="left"/>
      <w:pPr>
        <w:ind w:left="14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342D7E2">
      <w:start w:val="1"/>
      <w:numFmt w:val="bullet"/>
      <w:lvlText w:val="o"/>
      <w:lvlJc w:val="left"/>
      <w:pPr>
        <w:ind w:left="21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8FD45F8E">
      <w:start w:val="1"/>
      <w:numFmt w:val="bullet"/>
      <w:lvlText w:val="▪"/>
      <w:lvlJc w:val="left"/>
      <w:pPr>
        <w:ind w:left="28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367A788A">
      <w:start w:val="1"/>
      <w:numFmt w:val="bullet"/>
      <w:lvlText w:val="•"/>
      <w:lvlJc w:val="left"/>
      <w:pPr>
        <w:ind w:left="35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42E8AEC">
      <w:start w:val="1"/>
      <w:numFmt w:val="bullet"/>
      <w:lvlText w:val="o"/>
      <w:lvlJc w:val="left"/>
      <w:pPr>
        <w:ind w:left="43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17E6AB2">
      <w:start w:val="1"/>
      <w:numFmt w:val="bullet"/>
      <w:lvlText w:val="▪"/>
      <w:lvlJc w:val="left"/>
      <w:pPr>
        <w:ind w:left="50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F10BF6C">
      <w:start w:val="1"/>
      <w:numFmt w:val="bullet"/>
      <w:lvlText w:val="•"/>
      <w:lvlJc w:val="left"/>
      <w:pPr>
        <w:ind w:left="57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39C7AFE">
      <w:start w:val="1"/>
      <w:numFmt w:val="bullet"/>
      <w:lvlText w:val="o"/>
      <w:lvlJc w:val="left"/>
      <w:pPr>
        <w:ind w:left="64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B90F4D8">
      <w:start w:val="1"/>
      <w:numFmt w:val="bullet"/>
      <w:lvlText w:val="▪"/>
      <w:lvlJc w:val="left"/>
      <w:pPr>
        <w:ind w:left="71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28FA4935"/>
    <w:multiLevelType w:val="hybridMultilevel"/>
    <w:tmpl w:val="8E748A58"/>
    <w:lvl w:ilvl="0" w:tplc="BA0E35EE">
      <w:start w:val="1"/>
      <w:numFmt w:val="decimal"/>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7B2FA0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62448A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94807A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ED27FD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AD4A4AC">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20F110">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0E477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A80DCE4">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2BCB56D5"/>
    <w:multiLevelType w:val="hybridMultilevel"/>
    <w:tmpl w:val="F8B2684C"/>
    <w:lvl w:ilvl="0" w:tplc="A6D25118">
      <w:start w:val="119"/>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63A4528">
      <w:start w:val="1"/>
      <w:numFmt w:val="lowerLetter"/>
      <w:lvlText w:val="%2"/>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7AE8EC4">
      <w:start w:val="1"/>
      <w:numFmt w:val="lowerRoman"/>
      <w:lvlText w:val="%3"/>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9EEDC32">
      <w:start w:val="1"/>
      <w:numFmt w:val="decimal"/>
      <w:lvlText w:val="%4"/>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A06CF6C">
      <w:start w:val="1"/>
      <w:numFmt w:val="lowerLetter"/>
      <w:lvlText w:val="%5"/>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5F4D620">
      <w:start w:val="1"/>
      <w:numFmt w:val="lowerRoman"/>
      <w:lvlText w:val="%6"/>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4545390">
      <w:start w:val="1"/>
      <w:numFmt w:val="decimal"/>
      <w:lvlText w:val="%7"/>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C78F608">
      <w:start w:val="1"/>
      <w:numFmt w:val="lowerLetter"/>
      <w:lvlText w:val="%8"/>
      <w:lvlJc w:val="left"/>
      <w:pPr>
        <w:ind w:left="56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5DA5680">
      <w:start w:val="1"/>
      <w:numFmt w:val="lowerRoman"/>
      <w:lvlText w:val="%9"/>
      <w:lvlJc w:val="left"/>
      <w:pPr>
        <w:ind w:left="64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2C9C0585"/>
    <w:multiLevelType w:val="hybridMultilevel"/>
    <w:tmpl w:val="B8BA51FA"/>
    <w:lvl w:ilvl="0" w:tplc="66786CBA">
      <w:start w:val="1"/>
      <w:numFmt w:val="decimal"/>
      <w:lvlText w:val="%1."/>
      <w:lvlJc w:val="left"/>
      <w:pPr>
        <w:ind w:left="14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5466968">
      <w:start w:val="1"/>
      <w:numFmt w:val="lowerLetter"/>
      <w:lvlText w:val="%2"/>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246AD20">
      <w:start w:val="1"/>
      <w:numFmt w:val="lowerRoman"/>
      <w:lvlText w:val="%3"/>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3AE1164">
      <w:start w:val="1"/>
      <w:numFmt w:val="decimal"/>
      <w:lvlText w:val="%4"/>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CC84840">
      <w:start w:val="1"/>
      <w:numFmt w:val="lowerLetter"/>
      <w:lvlText w:val="%5"/>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18A893A">
      <w:start w:val="1"/>
      <w:numFmt w:val="lowerRoman"/>
      <w:lvlText w:val="%6"/>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4703D52">
      <w:start w:val="1"/>
      <w:numFmt w:val="decimal"/>
      <w:lvlText w:val="%7"/>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D2EEA16">
      <w:start w:val="1"/>
      <w:numFmt w:val="lowerLetter"/>
      <w:lvlText w:val="%8"/>
      <w:lvlJc w:val="left"/>
      <w:pPr>
        <w:ind w:left="6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AF6C070">
      <w:start w:val="1"/>
      <w:numFmt w:val="lowerRoman"/>
      <w:lvlText w:val="%9"/>
      <w:lvlJc w:val="left"/>
      <w:pPr>
        <w:ind w:left="7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33934558"/>
    <w:multiLevelType w:val="hybridMultilevel"/>
    <w:tmpl w:val="09BCEDDA"/>
    <w:lvl w:ilvl="0" w:tplc="7A662DA0">
      <w:start w:val="1"/>
      <w:numFmt w:val="bullet"/>
      <w:lvlText w:val=""/>
      <w:lvlJc w:val="left"/>
      <w:pPr>
        <w:ind w:left="721"/>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B096E18E">
      <w:start w:val="1"/>
      <w:numFmt w:val="bullet"/>
      <w:lvlText w:val="o"/>
      <w:lvlJc w:val="left"/>
      <w:pPr>
        <w:ind w:left="154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97AC0728">
      <w:start w:val="1"/>
      <w:numFmt w:val="bullet"/>
      <w:lvlText w:val="▪"/>
      <w:lvlJc w:val="left"/>
      <w:pPr>
        <w:ind w:left="226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C8F2871C">
      <w:start w:val="1"/>
      <w:numFmt w:val="bullet"/>
      <w:lvlText w:val="•"/>
      <w:lvlJc w:val="left"/>
      <w:pPr>
        <w:ind w:left="298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C5E80802">
      <w:start w:val="1"/>
      <w:numFmt w:val="bullet"/>
      <w:lvlText w:val="o"/>
      <w:lvlJc w:val="left"/>
      <w:pPr>
        <w:ind w:left="370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AAA4E010">
      <w:start w:val="1"/>
      <w:numFmt w:val="bullet"/>
      <w:lvlText w:val="▪"/>
      <w:lvlJc w:val="left"/>
      <w:pPr>
        <w:ind w:left="442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6812D37E">
      <w:start w:val="1"/>
      <w:numFmt w:val="bullet"/>
      <w:lvlText w:val="•"/>
      <w:lvlJc w:val="left"/>
      <w:pPr>
        <w:ind w:left="514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33D60D7E">
      <w:start w:val="1"/>
      <w:numFmt w:val="bullet"/>
      <w:lvlText w:val="o"/>
      <w:lvlJc w:val="left"/>
      <w:pPr>
        <w:ind w:left="586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F398A9FE">
      <w:start w:val="1"/>
      <w:numFmt w:val="bullet"/>
      <w:lvlText w:val="▪"/>
      <w:lvlJc w:val="left"/>
      <w:pPr>
        <w:ind w:left="658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14" w15:restartNumberingAfterBreak="0">
    <w:nsid w:val="35914254"/>
    <w:multiLevelType w:val="hybridMultilevel"/>
    <w:tmpl w:val="91CCB710"/>
    <w:lvl w:ilvl="0" w:tplc="5AA00C6E">
      <w:start w:val="38"/>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182AD68">
      <w:start w:val="1"/>
      <w:numFmt w:val="lowerLetter"/>
      <w:lvlText w:val="%2"/>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51E8532">
      <w:start w:val="1"/>
      <w:numFmt w:val="lowerRoman"/>
      <w:lvlText w:val="%3"/>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0DABDC8">
      <w:start w:val="1"/>
      <w:numFmt w:val="decimal"/>
      <w:lvlText w:val="%4"/>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254272E">
      <w:start w:val="1"/>
      <w:numFmt w:val="lowerLetter"/>
      <w:lvlText w:val="%5"/>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6E0759A">
      <w:start w:val="1"/>
      <w:numFmt w:val="lowerRoman"/>
      <w:lvlText w:val="%6"/>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2D44D2A">
      <w:start w:val="1"/>
      <w:numFmt w:val="decimal"/>
      <w:lvlText w:val="%7"/>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DFCDE66">
      <w:start w:val="1"/>
      <w:numFmt w:val="lowerLetter"/>
      <w:lvlText w:val="%8"/>
      <w:lvlJc w:val="left"/>
      <w:pPr>
        <w:ind w:left="56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F6818A8">
      <w:start w:val="1"/>
      <w:numFmt w:val="lowerRoman"/>
      <w:lvlText w:val="%9"/>
      <w:lvlJc w:val="left"/>
      <w:pPr>
        <w:ind w:left="64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361F7FE9"/>
    <w:multiLevelType w:val="hybridMultilevel"/>
    <w:tmpl w:val="E66E9DFC"/>
    <w:lvl w:ilvl="0" w:tplc="7A80036A">
      <w:start w:val="113"/>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3F0517A">
      <w:start w:val="1"/>
      <w:numFmt w:val="lowerLetter"/>
      <w:lvlText w:val="%2"/>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85C6608">
      <w:start w:val="1"/>
      <w:numFmt w:val="lowerRoman"/>
      <w:lvlText w:val="%3"/>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BECDCC">
      <w:start w:val="1"/>
      <w:numFmt w:val="decimal"/>
      <w:lvlText w:val="%4"/>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088305C">
      <w:start w:val="1"/>
      <w:numFmt w:val="lowerLetter"/>
      <w:lvlText w:val="%5"/>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2E711E">
      <w:start w:val="1"/>
      <w:numFmt w:val="lowerRoman"/>
      <w:lvlText w:val="%6"/>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0C8E996">
      <w:start w:val="1"/>
      <w:numFmt w:val="decimal"/>
      <w:lvlText w:val="%7"/>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A9E962E">
      <w:start w:val="1"/>
      <w:numFmt w:val="lowerLetter"/>
      <w:lvlText w:val="%8"/>
      <w:lvlJc w:val="left"/>
      <w:pPr>
        <w:ind w:left="56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7C0D376">
      <w:start w:val="1"/>
      <w:numFmt w:val="lowerRoman"/>
      <w:lvlText w:val="%9"/>
      <w:lvlJc w:val="left"/>
      <w:pPr>
        <w:ind w:left="64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38512C42"/>
    <w:multiLevelType w:val="hybridMultilevel"/>
    <w:tmpl w:val="580E77C6"/>
    <w:lvl w:ilvl="0" w:tplc="74124B28">
      <w:start w:val="1"/>
      <w:numFmt w:val="decimal"/>
      <w:lvlText w:val="%1."/>
      <w:lvlJc w:val="left"/>
      <w:pPr>
        <w:ind w:left="994"/>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CB4A607A">
      <w:start w:val="1"/>
      <w:numFmt w:val="decimal"/>
      <w:lvlText w:val="%2."/>
      <w:lvlJc w:val="left"/>
      <w:pPr>
        <w:ind w:left="126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AE903D74">
      <w:start w:val="1"/>
      <w:numFmt w:val="bullet"/>
      <w:lvlText w:val="-"/>
      <w:lvlJc w:val="left"/>
      <w:pPr>
        <w:ind w:left="1416"/>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F938849A">
      <w:start w:val="1"/>
      <w:numFmt w:val="bullet"/>
      <w:lvlText w:val="•"/>
      <w:lvlJc w:val="left"/>
      <w:pPr>
        <w:ind w:left="235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755A57BE">
      <w:start w:val="1"/>
      <w:numFmt w:val="bullet"/>
      <w:lvlText w:val="o"/>
      <w:lvlJc w:val="left"/>
      <w:pPr>
        <w:ind w:left="307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6F34A852">
      <w:start w:val="1"/>
      <w:numFmt w:val="bullet"/>
      <w:lvlText w:val="▪"/>
      <w:lvlJc w:val="left"/>
      <w:pPr>
        <w:ind w:left="379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CC52ECD2">
      <w:start w:val="1"/>
      <w:numFmt w:val="bullet"/>
      <w:lvlText w:val="•"/>
      <w:lvlJc w:val="left"/>
      <w:pPr>
        <w:ind w:left="451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CE10B7BC">
      <w:start w:val="1"/>
      <w:numFmt w:val="bullet"/>
      <w:lvlText w:val="o"/>
      <w:lvlJc w:val="left"/>
      <w:pPr>
        <w:ind w:left="523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2D822474">
      <w:start w:val="1"/>
      <w:numFmt w:val="bullet"/>
      <w:lvlText w:val="▪"/>
      <w:lvlJc w:val="left"/>
      <w:pPr>
        <w:ind w:left="595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39CE616E"/>
    <w:multiLevelType w:val="hybridMultilevel"/>
    <w:tmpl w:val="03DE9328"/>
    <w:lvl w:ilvl="0" w:tplc="EAAA00F0">
      <w:start w:val="12"/>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73854DE">
      <w:start w:val="1"/>
      <w:numFmt w:val="lowerLetter"/>
      <w:lvlText w:val="%2"/>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414EBF0">
      <w:start w:val="1"/>
      <w:numFmt w:val="lowerRoman"/>
      <w:lvlText w:val="%3"/>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BCA360">
      <w:start w:val="1"/>
      <w:numFmt w:val="decimal"/>
      <w:lvlText w:val="%4"/>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B4C6B2C">
      <w:start w:val="1"/>
      <w:numFmt w:val="lowerLetter"/>
      <w:lvlText w:val="%5"/>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8B07204">
      <w:start w:val="1"/>
      <w:numFmt w:val="lowerRoman"/>
      <w:lvlText w:val="%6"/>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5AF416">
      <w:start w:val="1"/>
      <w:numFmt w:val="decimal"/>
      <w:lvlText w:val="%7"/>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A0B628">
      <w:start w:val="1"/>
      <w:numFmt w:val="lowerLetter"/>
      <w:lvlText w:val="%8"/>
      <w:lvlJc w:val="left"/>
      <w:pPr>
        <w:ind w:left="56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FFE0658">
      <w:start w:val="1"/>
      <w:numFmt w:val="lowerRoman"/>
      <w:lvlText w:val="%9"/>
      <w:lvlJc w:val="left"/>
      <w:pPr>
        <w:ind w:left="64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3B0155E3"/>
    <w:multiLevelType w:val="hybridMultilevel"/>
    <w:tmpl w:val="361A021C"/>
    <w:lvl w:ilvl="0" w:tplc="68CCC85A">
      <w:start w:val="1"/>
      <w:numFmt w:val="bullet"/>
      <w:lvlText w:val="•"/>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42ED6A0">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380ED842">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38C5792">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0EE01C6">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7E8C2ECE">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EC46C95E">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9063B3C">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FCA1D26">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9" w15:restartNumberingAfterBreak="0">
    <w:nsid w:val="43D220F3"/>
    <w:multiLevelType w:val="hybridMultilevel"/>
    <w:tmpl w:val="6E948AFA"/>
    <w:lvl w:ilvl="0" w:tplc="2F52D326">
      <w:start w:val="1"/>
      <w:numFmt w:val="upperRoman"/>
      <w:lvlText w:val="%1."/>
      <w:lvlJc w:val="left"/>
      <w:pPr>
        <w:ind w:left="1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4161710">
      <w:start w:val="1"/>
      <w:numFmt w:val="decimal"/>
      <w:lvlText w:val="%2."/>
      <w:lvlJc w:val="left"/>
      <w:pPr>
        <w:ind w:left="14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727FE8">
      <w:start w:val="1"/>
      <w:numFmt w:val="lowerRoman"/>
      <w:lvlText w:val="%3"/>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346A82">
      <w:start w:val="1"/>
      <w:numFmt w:val="decimal"/>
      <w:lvlText w:val="%4"/>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53E9EDE">
      <w:start w:val="1"/>
      <w:numFmt w:val="lowerLetter"/>
      <w:lvlText w:val="%5"/>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5960FA0">
      <w:start w:val="1"/>
      <w:numFmt w:val="lowerRoman"/>
      <w:lvlText w:val="%6"/>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16EE000">
      <w:start w:val="1"/>
      <w:numFmt w:val="decimal"/>
      <w:lvlText w:val="%7"/>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EA7C16">
      <w:start w:val="1"/>
      <w:numFmt w:val="lowerLetter"/>
      <w:lvlText w:val="%8"/>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32851A6">
      <w:start w:val="1"/>
      <w:numFmt w:val="lowerRoman"/>
      <w:lvlText w:val="%9"/>
      <w:lvlJc w:val="left"/>
      <w:pPr>
        <w:ind w:left="6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467836A3"/>
    <w:multiLevelType w:val="hybridMultilevel"/>
    <w:tmpl w:val="83664374"/>
    <w:lvl w:ilvl="0" w:tplc="4014ACDE">
      <w:start w:val="1"/>
      <w:numFmt w:val="decimal"/>
      <w:lvlText w:val="%1."/>
      <w:lvlJc w:val="left"/>
      <w:pPr>
        <w:ind w:left="14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F860A04">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C7CC1CE">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E69CEC">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322FF8C">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AD2E276">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08C50E">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8E875E2">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AFC47FE">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4A933305"/>
    <w:multiLevelType w:val="hybridMultilevel"/>
    <w:tmpl w:val="2D4074E8"/>
    <w:lvl w:ilvl="0" w:tplc="6F28D740">
      <w:start w:val="1"/>
      <w:numFmt w:val="decimal"/>
      <w:lvlText w:val="%1)"/>
      <w:lvlJc w:val="left"/>
      <w:pPr>
        <w:ind w:left="6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8A7C2A">
      <w:start w:val="1"/>
      <w:numFmt w:val="lowerLetter"/>
      <w:lvlText w:val="%2"/>
      <w:lvlJc w:val="left"/>
      <w:pPr>
        <w:ind w:left="14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C8E0FEE">
      <w:start w:val="1"/>
      <w:numFmt w:val="lowerRoman"/>
      <w:lvlText w:val="%3"/>
      <w:lvlJc w:val="left"/>
      <w:pPr>
        <w:ind w:left="21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A0EF254">
      <w:start w:val="1"/>
      <w:numFmt w:val="decimal"/>
      <w:lvlText w:val="%4"/>
      <w:lvlJc w:val="left"/>
      <w:pPr>
        <w:ind w:left="28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7C604EE">
      <w:start w:val="1"/>
      <w:numFmt w:val="lowerLetter"/>
      <w:lvlText w:val="%5"/>
      <w:lvlJc w:val="left"/>
      <w:pPr>
        <w:ind w:left="35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2DAD23C">
      <w:start w:val="1"/>
      <w:numFmt w:val="lowerRoman"/>
      <w:lvlText w:val="%6"/>
      <w:lvlJc w:val="left"/>
      <w:pPr>
        <w:ind w:left="42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C0FCE2">
      <w:start w:val="1"/>
      <w:numFmt w:val="decimal"/>
      <w:lvlText w:val="%7"/>
      <w:lvlJc w:val="left"/>
      <w:pPr>
        <w:ind w:left="50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006FEA">
      <w:start w:val="1"/>
      <w:numFmt w:val="lowerLetter"/>
      <w:lvlText w:val="%8"/>
      <w:lvlJc w:val="left"/>
      <w:pPr>
        <w:ind w:left="57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7DCD2A8">
      <w:start w:val="1"/>
      <w:numFmt w:val="lowerRoman"/>
      <w:lvlText w:val="%9"/>
      <w:lvlJc w:val="left"/>
      <w:pPr>
        <w:ind w:left="64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546565C4"/>
    <w:multiLevelType w:val="hybridMultilevel"/>
    <w:tmpl w:val="D0E09C9A"/>
    <w:lvl w:ilvl="0" w:tplc="3C7CCAAC">
      <w:start w:val="1"/>
      <w:numFmt w:val="bullet"/>
      <w:lvlText w:val="•"/>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E536FCEE">
      <w:start w:val="1"/>
      <w:numFmt w:val="bullet"/>
      <w:lvlText w:val="o"/>
      <w:lvlJc w:val="left"/>
      <w:pPr>
        <w:ind w:left="1289"/>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CE89AE0">
      <w:start w:val="1"/>
      <w:numFmt w:val="bullet"/>
      <w:lvlText w:val="▪"/>
      <w:lvlJc w:val="left"/>
      <w:pPr>
        <w:ind w:left="2009"/>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F8E28FB6">
      <w:start w:val="1"/>
      <w:numFmt w:val="bullet"/>
      <w:lvlText w:val="•"/>
      <w:lvlJc w:val="left"/>
      <w:pPr>
        <w:ind w:left="272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9B0CA7C0">
      <w:start w:val="1"/>
      <w:numFmt w:val="bullet"/>
      <w:lvlText w:val="o"/>
      <w:lvlJc w:val="left"/>
      <w:pPr>
        <w:ind w:left="3449"/>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722937A">
      <w:start w:val="1"/>
      <w:numFmt w:val="bullet"/>
      <w:lvlText w:val="▪"/>
      <w:lvlJc w:val="left"/>
      <w:pPr>
        <w:ind w:left="4169"/>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67E2962">
      <w:start w:val="1"/>
      <w:numFmt w:val="bullet"/>
      <w:lvlText w:val="•"/>
      <w:lvlJc w:val="left"/>
      <w:pPr>
        <w:ind w:left="488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67CFE52">
      <w:start w:val="1"/>
      <w:numFmt w:val="bullet"/>
      <w:lvlText w:val="o"/>
      <w:lvlJc w:val="left"/>
      <w:pPr>
        <w:ind w:left="5609"/>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339E89FE">
      <w:start w:val="1"/>
      <w:numFmt w:val="bullet"/>
      <w:lvlText w:val="▪"/>
      <w:lvlJc w:val="left"/>
      <w:pPr>
        <w:ind w:left="6329"/>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3" w15:restartNumberingAfterBreak="0">
    <w:nsid w:val="59EA297E"/>
    <w:multiLevelType w:val="hybridMultilevel"/>
    <w:tmpl w:val="FD00AFB4"/>
    <w:lvl w:ilvl="0" w:tplc="2864070E">
      <w:start w:val="19"/>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25CA924">
      <w:start w:val="1"/>
      <w:numFmt w:val="lowerLetter"/>
      <w:lvlText w:val="%2"/>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95A95B8">
      <w:start w:val="1"/>
      <w:numFmt w:val="lowerRoman"/>
      <w:lvlText w:val="%3"/>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9887792">
      <w:start w:val="1"/>
      <w:numFmt w:val="decimal"/>
      <w:lvlText w:val="%4"/>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2EC92EE">
      <w:start w:val="1"/>
      <w:numFmt w:val="lowerLetter"/>
      <w:lvlText w:val="%5"/>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C8AF1A6">
      <w:start w:val="1"/>
      <w:numFmt w:val="lowerRoman"/>
      <w:lvlText w:val="%6"/>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1D64536">
      <w:start w:val="1"/>
      <w:numFmt w:val="decimal"/>
      <w:lvlText w:val="%7"/>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7242880">
      <w:start w:val="1"/>
      <w:numFmt w:val="lowerLetter"/>
      <w:lvlText w:val="%8"/>
      <w:lvlJc w:val="left"/>
      <w:pPr>
        <w:ind w:left="56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9F288D6">
      <w:start w:val="1"/>
      <w:numFmt w:val="lowerRoman"/>
      <w:lvlText w:val="%9"/>
      <w:lvlJc w:val="left"/>
      <w:pPr>
        <w:ind w:left="64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5CF329B7"/>
    <w:multiLevelType w:val="hybridMultilevel"/>
    <w:tmpl w:val="1400A3E0"/>
    <w:lvl w:ilvl="0" w:tplc="691012DC">
      <w:start w:val="1"/>
      <w:numFmt w:val="bullet"/>
      <w:lvlText w:val=""/>
      <w:lvlJc w:val="left"/>
      <w:pPr>
        <w:ind w:left="721"/>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D5F6E594">
      <w:start w:val="1"/>
      <w:numFmt w:val="bullet"/>
      <w:lvlText w:val="o"/>
      <w:lvlJc w:val="left"/>
      <w:pPr>
        <w:ind w:left="154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EF542EEA">
      <w:start w:val="1"/>
      <w:numFmt w:val="bullet"/>
      <w:lvlText w:val="▪"/>
      <w:lvlJc w:val="left"/>
      <w:pPr>
        <w:ind w:left="226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3D881D2A">
      <w:start w:val="1"/>
      <w:numFmt w:val="bullet"/>
      <w:lvlText w:val="•"/>
      <w:lvlJc w:val="left"/>
      <w:pPr>
        <w:ind w:left="298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41AE07FC">
      <w:start w:val="1"/>
      <w:numFmt w:val="bullet"/>
      <w:lvlText w:val="o"/>
      <w:lvlJc w:val="left"/>
      <w:pPr>
        <w:ind w:left="370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B1549B7C">
      <w:start w:val="1"/>
      <w:numFmt w:val="bullet"/>
      <w:lvlText w:val="▪"/>
      <w:lvlJc w:val="left"/>
      <w:pPr>
        <w:ind w:left="442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64E29532">
      <w:start w:val="1"/>
      <w:numFmt w:val="bullet"/>
      <w:lvlText w:val="•"/>
      <w:lvlJc w:val="left"/>
      <w:pPr>
        <w:ind w:left="514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0D3AEABA">
      <w:start w:val="1"/>
      <w:numFmt w:val="bullet"/>
      <w:lvlText w:val="o"/>
      <w:lvlJc w:val="left"/>
      <w:pPr>
        <w:ind w:left="586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81A07B02">
      <w:start w:val="1"/>
      <w:numFmt w:val="bullet"/>
      <w:lvlText w:val="▪"/>
      <w:lvlJc w:val="left"/>
      <w:pPr>
        <w:ind w:left="658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25" w15:restartNumberingAfterBreak="0">
    <w:nsid w:val="5D166AC6"/>
    <w:multiLevelType w:val="hybridMultilevel"/>
    <w:tmpl w:val="DDF487B4"/>
    <w:lvl w:ilvl="0" w:tplc="7696E338">
      <w:start w:val="1"/>
      <w:numFmt w:val="decimal"/>
      <w:lvlText w:val="%1."/>
      <w:lvlJc w:val="left"/>
      <w:pPr>
        <w:ind w:left="14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40090A">
      <w:start w:val="1"/>
      <w:numFmt w:val="lowerLetter"/>
      <w:lvlText w:val="%2"/>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F0A0B30">
      <w:start w:val="1"/>
      <w:numFmt w:val="lowerRoman"/>
      <w:lvlText w:val="%3"/>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31C58F6">
      <w:start w:val="1"/>
      <w:numFmt w:val="decimal"/>
      <w:lvlText w:val="%4"/>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BC6FC1C">
      <w:start w:val="1"/>
      <w:numFmt w:val="lowerLetter"/>
      <w:lvlText w:val="%5"/>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91E4C90">
      <w:start w:val="1"/>
      <w:numFmt w:val="lowerRoman"/>
      <w:lvlText w:val="%6"/>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A4C8B46">
      <w:start w:val="1"/>
      <w:numFmt w:val="decimal"/>
      <w:lvlText w:val="%7"/>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51AC348">
      <w:start w:val="1"/>
      <w:numFmt w:val="lowerLetter"/>
      <w:lvlText w:val="%8"/>
      <w:lvlJc w:val="left"/>
      <w:pPr>
        <w:ind w:left="6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606EB4">
      <w:start w:val="1"/>
      <w:numFmt w:val="lowerRoman"/>
      <w:lvlText w:val="%9"/>
      <w:lvlJc w:val="left"/>
      <w:pPr>
        <w:ind w:left="7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5D704D48"/>
    <w:multiLevelType w:val="hybridMultilevel"/>
    <w:tmpl w:val="17DCA8C2"/>
    <w:lvl w:ilvl="0" w:tplc="B9F69EB6">
      <w:start w:val="1"/>
      <w:numFmt w:val="upperRoman"/>
      <w:lvlText w:val="%1."/>
      <w:lvlJc w:val="left"/>
      <w:pPr>
        <w:ind w:left="15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99A9704">
      <w:start w:val="1"/>
      <w:numFmt w:val="lowerLetter"/>
      <w:lvlText w:val="%2"/>
      <w:lvlJc w:val="left"/>
      <w:pPr>
        <w:ind w:left="19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F648EAC">
      <w:start w:val="1"/>
      <w:numFmt w:val="lowerRoman"/>
      <w:lvlText w:val="%3"/>
      <w:lvlJc w:val="left"/>
      <w:pPr>
        <w:ind w:left="27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528C1FC">
      <w:start w:val="1"/>
      <w:numFmt w:val="decimal"/>
      <w:lvlText w:val="%4"/>
      <w:lvlJc w:val="left"/>
      <w:pPr>
        <w:ind w:left="34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5C254B6">
      <w:start w:val="1"/>
      <w:numFmt w:val="lowerLetter"/>
      <w:lvlText w:val="%5"/>
      <w:lvlJc w:val="left"/>
      <w:pPr>
        <w:ind w:left="41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0F2E632">
      <w:start w:val="1"/>
      <w:numFmt w:val="lowerRoman"/>
      <w:lvlText w:val="%6"/>
      <w:lvlJc w:val="left"/>
      <w:pPr>
        <w:ind w:left="48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B704D2A">
      <w:start w:val="1"/>
      <w:numFmt w:val="decimal"/>
      <w:lvlText w:val="%7"/>
      <w:lvlJc w:val="left"/>
      <w:pPr>
        <w:ind w:left="55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36D0A4">
      <w:start w:val="1"/>
      <w:numFmt w:val="lowerLetter"/>
      <w:lvlText w:val="%8"/>
      <w:lvlJc w:val="left"/>
      <w:pPr>
        <w:ind w:left="63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F6660F2">
      <w:start w:val="1"/>
      <w:numFmt w:val="lowerRoman"/>
      <w:lvlText w:val="%9"/>
      <w:lvlJc w:val="left"/>
      <w:pPr>
        <w:ind w:left="70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5F7253E4"/>
    <w:multiLevelType w:val="hybridMultilevel"/>
    <w:tmpl w:val="2F345D24"/>
    <w:lvl w:ilvl="0" w:tplc="BAFABEBC">
      <w:start w:val="1"/>
      <w:numFmt w:val="bullet"/>
      <w:lvlText w:val="•"/>
      <w:lvlJc w:val="left"/>
      <w:pPr>
        <w:ind w:left="14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94E55B2">
      <w:start w:val="1"/>
      <w:numFmt w:val="bullet"/>
      <w:lvlText w:val="o"/>
      <w:lvlJc w:val="left"/>
      <w:pPr>
        <w:ind w:left="21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ED01D9C">
      <w:start w:val="1"/>
      <w:numFmt w:val="bullet"/>
      <w:lvlText w:val="▪"/>
      <w:lvlJc w:val="left"/>
      <w:pPr>
        <w:ind w:left="28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70C2406">
      <w:start w:val="1"/>
      <w:numFmt w:val="bullet"/>
      <w:lvlText w:val="•"/>
      <w:lvlJc w:val="left"/>
      <w:pPr>
        <w:ind w:left="35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A24C088">
      <w:start w:val="1"/>
      <w:numFmt w:val="bullet"/>
      <w:lvlText w:val="o"/>
      <w:lvlJc w:val="left"/>
      <w:pPr>
        <w:ind w:left="43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A84C1D96">
      <w:start w:val="1"/>
      <w:numFmt w:val="bullet"/>
      <w:lvlText w:val="▪"/>
      <w:lvlJc w:val="left"/>
      <w:pPr>
        <w:ind w:left="50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ACE72B6">
      <w:start w:val="1"/>
      <w:numFmt w:val="bullet"/>
      <w:lvlText w:val="•"/>
      <w:lvlJc w:val="left"/>
      <w:pPr>
        <w:ind w:left="57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6884FAA">
      <w:start w:val="1"/>
      <w:numFmt w:val="bullet"/>
      <w:lvlText w:val="o"/>
      <w:lvlJc w:val="left"/>
      <w:pPr>
        <w:ind w:left="64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2D642E2">
      <w:start w:val="1"/>
      <w:numFmt w:val="bullet"/>
      <w:lvlText w:val="▪"/>
      <w:lvlJc w:val="left"/>
      <w:pPr>
        <w:ind w:left="71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621475C0"/>
    <w:multiLevelType w:val="hybridMultilevel"/>
    <w:tmpl w:val="43403EBA"/>
    <w:lvl w:ilvl="0" w:tplc="B70E4012">
      <w:start w:val="1"/>
      <w:numFmt w:val="decimal"/>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CE2D6E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9DA6F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08018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4F89E1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B641C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04AB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C2884D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E72A7F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63F15980"/>
    <w:multiLevelType w:val="hybridMultilevel"/>
    <w:tmpl w:val="B0EE4BCC"/>
    <w:lvl w:ilvl="0" w:tplc="52B41B34">
      <w:start w:val="25"/>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1725A98">
      <w:start w:val="1"/>
      <w:numFmt w:val="lowerLetter"/>
      <w:lvlText w:val="%2"/>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D9A22CA">
      <w:start w:val="1"/>
      <w:numFmt w:val="lowerRoman"/>
      <w:lvlText w:val="%3"/>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28AC4FE">
      <w:start w:val="1"/>
      <w:numFmt w:val="decimal"/>
      <w:lvlText w:val="%4"/>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AF06D38">
      <w:start w:val="1"/>
      <w:numFmt w:val="lowerLetter"/>
      <w:lvlText w:val="%5"/>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9961BCC">
      <w:start w:val="1"/>
      <w:numFmt w:val="lowerRoman"/>
      <w:lvlText w:val="%6"/>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4D2746A">
      <w:start w:val="1"/>
      <w:numFmt w:val="decimal"/>
      <w:lvlText w:val="%7"/>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3B6539E">
      <w:start w:val="1"/>
      <w:numFmt w:val="lowerLetter"/>
      <w:lvlText w:val="%8"/>
      <w:lvlJc w:val="left"/>
      <w:pPr>
        <w:ind w:left="56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4581E64">
      <w:start w:val="1"/>
      <w:numFmt w:val="lowerRoman"/>
      <w:lvlText w:val="%9"/>
      <w:lvlJc w:val="left"/>
      <w:pPr>
        <w:ind w:left="64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65900771"/>
    <w:multiLevelType w:val="multilevel"/>
    <w:tmpl w:val="6A3847D6"/>
    <w:lvl w:ilvl="0">
      <w:start w:val="2"/>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1"/>
      <w:numFmt w:val="decimal"/>
      <w:lvlRestart w:val="0"/>
      <w:lvlText w:val="%1.%2"/>
      <w:lvlJc w:val="left"/>
      <w:pPr>
        <w:ind w:left="59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663D0A8C"/>
    <w:multiLevelType w:val="hybridMultilevel"/>
    <w:tmpl w:val="828A86D0"/>
    <w:lvl w:ilvl="0" w:tplc="67EC4808">
      <w:start w:val="1"/>
      <w:numFmt w:val="decimal"/>
      <w:lvlText w:val="%1."/>
      <w:lvlJc w:val="left"/>
      <w:pPr>
        <w:ind w:left="14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102632">
      <w:start w:val="1"/>
      <w:numFmt w:val="lowerLetter"/>
      <w:lvlText w:val="%2"/>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04AB796">
      <w:start w:val="1"/>
      <w:numFmt w:val="lowerRoman"/>
      <w:lvlText w:val="%3"/>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33CC284">
      <w:start w:val="1"/>
      <w:numFmt w:val="decimal"/>
      <w:lvlText w:val="%4"/>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E52ACF0">
      <w:start w:val="1"/>
      <w:numFmt w:val="lowerLetter"/>
      <w:lvlText w:val="%5"/>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00AACFA">
      <w:start w:val="1"/>
      <w:numFmt w:val="lowerRoman"/>
      <w:lvlText w:val="%6"/>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DC64E66">
      <w:start w:val="1"/>
      <w:numFmt w:val="decimal"/>
      <w:lvlText w:val="%7"/>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1E22300">
      <w:start w:val="1"/>
      <w:numFmt w:val="lowerLetter"/>
      <w:lvlText w:val="%8"/>
      <w:lvlJc w:val="left"/>
      <w:pPr>
        <w:ind w:left="6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0721B7C">
      <w:start w:val="1"/>
      <w:numFmt w:val="lowerRoman"/>
      <w:lvlText w:val="%9"/>
      <w:lvlJc w:val="left"/>
      <w:pPr>
        <w:ind w:left="7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6C9150B4"/>
    <w:multiLevelType w:val="hybridMultilevel"/>
    <w:tmpl w:val="9F1682AC"/>
    <w:lvl w:ilvl="0" w:tplc="8A9CE328">
      <w:start w:val="75"/>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800CBE6">
      <w:start w:val="1"/>
      <w:numFmt w:val="lowerLetter"/>
      <w:lvlText w:val="%2"/>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B40CBE">
      <w:start w:val="1"/>
      <w:numFmt w:val="lowerRoman"/>
      <w:lvlText w:val="%3"/>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141B5C">
      <w:start w:val="1"/>
      <w:numFmt w:val="decimal"/>
      <w:lvlText w:val="%4"/>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84A520E">
      <w:start w:val="1"/>
      <w:numFmt w:val="lowerLetter"/>
      <w:lvlText w:val="%5"/>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5427368">
      <w:start w:val="1"/>
      <w:numFmt w:val="lowerRoman"/>
      <w:lvlText w:val="%6"/>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138AAC0">
      <w:start w:val="1"/>
      <w:numFmt w:val="decimal"/>
      <w:lvlText w:val="%7"/>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2428C58">
      <w:start w:val="1"/>
      <w:numFmt w:val="lowerLetter"/>
      <w:lvlText w:val="%8"/>
      <w:lvlJc w:val="left"/>
      <w:pPr>
        <w:ind w:left="56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7BAFAF0">
      <w:start w:val="1"/>
      <w:numFmt w:val="lowerRoman"/>
      <w:lvlText w:val="%9"/>
      <w:lvlJc w:val="left"/>
      <w:pPr>
        <w:ind w:left="64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15:restartNumberingAfterBreak="0">
    <w:nsid w:val="77582C37"/>
    <w:multiLevelType w:val="hybridMultilevel"/>
    <w:tmpl w:val="078E4A20"/>
    <w:lvl w:ilvl="0" w:tplc="3C526386">
      <w:start w:val="1"/>
      <w:numFmt w:val="bullet"/>
      <w:lvlText w:val=""/>
      <w:lvlJc w:val="left"/>
      <w:pPr>
        <w:ind w:left="721"/>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91E45E78">
      <w:start w:val="1"/>
      <w:numFmt w:val="bullet"/>
      <w:lvlText w:val="o"/>
      <w:lvlJc w:val="left"/>
      <w:pPr>
        <w:ind w:left="154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A0321344">
      <w:start w:val="1"/>
      <w:numFmt w:val="bullet"/>
      <w:lvlText w:val="▪"/>
      <w:lvlJc w:val="left"/>
      <w:pPr>
        <w:ind w:left="226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5DD89354">
      <w:start w:val="1"/>
      <w:numFmt w:val="bullet"/>
      <w:lvlText w:val="•"/>
      <w:lvlJc w:val="left"/>
      <w:pPr>
        <w:ind w:left="298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7B5AB25E">
      <w:start w:val="1"/>
      <w:numFmt w:val="bullet"/>
      <w:lvlText w:val="o"/>
      <w:lvlJc w:val="left"/>
      <w:pPr>
        <w:ind w:left="370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665A22B6">
      <w:start w:val="1"/>
      <w:numFmt w:val="bullet"/>
      <w:lvlText w:val="▪"/>
      <w:lvlJc w:val="left"/>
      <w:pPr>
        <w:ind w:left="442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0482627C">
      <w:start w:val="1"/>
      <w:numFmt w:val="bullet"/>
      <w:lvlText w:val="•"/>
      <w:lvlJc w:val="left"/>
      <w:pPr>
        <w:ind w:left="514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AF2A4C7A">
      <w:start w:val="1"/>
      <w:numFmt w:val="bullet"/>
      <w:lvlText w:val="o"/>
      <w:lvlJc w:val="left"/>
      <w:pPr>
        <w:ind w:left="586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36188CBA">
      <w:start w:val="1"/>
      <w:numFmt w:val="bullet"/>
      <w:lvlText w:val="▪"/>
      <w:lvlJc w:val="left"/>
      <w:pPr>
        <w:ind w:left="658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34" w15:restartNumberingAfterBreak="0">
    <w:nsid w:val="785106AF"/>
    <w:multiLevelType w:val="hybridMultilevel"/>
    <w:tmpl w:val="1E6454FC"/>
    <w:lvl w:ilvl="0" w:tplc="B70024C8">
      <w:start w:val="127"/>
      <w:numFmt w:val="decimal"/>
      <w:lvlText w:val="%1."/>
      <w:lvlJc w:val="left"/>
      <w:pPr>
        <w:ind w:left="0"/>
      </w:pPr>
      <w:rPr>
        <w:rFonts w:ascii="Times New Roman" w:eastAsia="Times New Roman" w:hAnsi="Times New Roman" w:cs="Times New Roman"/>
        <w:b w:val="0"/>
        <w:i w:val="0"/>
        <w:strike w:val="0"/>
        <w:dstrike w:val="0"/>
        <w:color w:val="212121"/>
        <w:sz w:val="24"/>
        <w:szCs w:val="24"/>
        <w:u w:val="none" w:color="000000"/>
        <w:bdr w:val="none" w:sz="0" w:space="0" w:color="auto"/>
        <w:shd w:val="clear" w:color="auto" w:fill="auto"/>
        <w:vertAlign w:val="baseline"/>
      </w:rPr>
    </w:lvl>
    <w:lvl w:ilvl="1" w:tplc="8DDA791A">
      <w:start w:val="1"/>
      <w:numFmt w:val="lowerLetter"/>
      <w:lvlText w:val="%2"/>
      <w:lvlJc w:val="left"/>
      <w:pPr>
        <w:ind w:left="1363"/>
      </w:pPr>
      <w:rPr>
        <w:rFonts w:ascii="Times New Roman" w:eastAsia="Times New Roman" w:hAnsi="Times New Roman" w:cs="Times New Roman"/>
        <w:b w:val="0"/>
        <w:i w:val="0"/>
        <w:strike w:val="0"/>
        <w:dstrike w:val="0"/>
        <w:color w:val="212121"/>
        <w:sz w:val="24"/>
        <w:szCs w:val="24"/>
        <w:u w:val="none" w:color="000000"/>
        <w:bdr w:val="none" w:sz="0" w:space="0" w:color="auto"/>
        <w:shd w:val="clear" w:color="auto" w:fill="auto"/>
        <w:vertAlign w:val="baseline"/>
      </w:rPr>
    </w:lvl>
    <w:lvl w:ilvl="2" w:tplc="80CA48F2">
      <w:start w:val="1"/>
      <w:numFmt w:val="lowerRoman"/>
      <w:lvlText w:val="%3"/>
      <w:lvlJc w:val="left"/>
      <w:pPr>
        <w:ind w:left="2083"/>
      </w:pPr>
      <w:rPr>
        <w:rFonts w:ascii="Times New Roman" w:eastAsia="Times New Roman" w:hAnsi="Times New Roman" w:cs="Times New Roman"/>
        <w:b w:val="0"/>
        <w:i w:val="0"/>
        <w:strike w:val="0"/>
        <w:dstrike w:val="0"/>
        <w:color w:val="212121"/>
        <w:sz w:val="24"/>
        <w:szCs w:val="24"/>
        <w:u w:val="none" w:color="000000"/>
        <w:bdr w:val="none" w:sz="0" w:space="0" w:color="auto"/>
        <w:shd w:val="clear" w:color="auto" w:fill="auto"/>
        <w:vertAlign w:val="baseline"/>
      </w:rPr>
    </w:lvl>
    <w:lvl w:ilvl="3" w:tplc="C8086864">
      <w:start w:val="1"/>
      <w:numFmt w:val="decimal"/>
      <w:lvlText w:val="%4"/>
      <w:lvlJc w:val="left"/>
      <w:pPr>
        <w:ind w:left="2803"/>
      </w:pPr>
      <w:rPr>
        <w:rFonts w:ascii="Times New Roman" w:eastAsia="Times New Roman" w:hAnsi="Times New Roman" w:cs="Times New Roman"/>
        <w:b w:val="0"/>
        <w:i w:val="0"/>
        <w:strike w:val="0"/>
        <w:dstrike w:val="0"/>
        <w:color w:val="212121"/>
        <w:sz w:val="24"/>
        <w:szCs w:val="24"/>
        <w:u w:val="none" w:color="000000"/>
        <w:bdr w:val="none" w:sz="0" w:space="0" w:color="auto"/>
        <w:shd w:val="clear" w:color="auto" w:fill="auto"/>
        <w:vertAlign w:val="baseline"/>
      </w:rPr>
    </w:lvl>
    <w:lvl w:ilvl="4" w:tplc="306E499A">
      <w:start w:val="1"/>
      <w:numFmt w:val="lowerLetter"/>
      <w:lvlText w:val="%5"/>
      <w:lvlJc w:val="left"/>
      <w:pPr>
        <w:ind w:left="3523"/>
      </w:pPr>
      <w:rPr>
        <w:rFonts w:ascii="Times New Roman" w:eastAsia="Times New Roman" w:hAnsi="Times New Roman" w:cs="Times New Roman"/>
        <w:b w:val="0"/>
        <w:i w:val="0"/>
        <w:strike w:val="0"/>
        <w:dstrike w:val="0"/>
        <w:color w:val="212121"/>
        <w:sz w:val="24"/>
        <w:szCs w:val="24"/>
        <w:u w:val="none" w:color="000000"/>
        <w:bdr w:val="none" w:sz="0" w:space="0" w:color="auto"/>
        <w:shd w:val="clear" w:color="auto" w:fill="auto"/>
        <w:vertAlign w:val="baseline"/>
      </w:rPr>
    </w:lvl>
    <w:lvl w:ilvl="5" w:tplc="26CA6FF8">
      <w:start w:val="1"/>
      <w:numFmt w:val="lowerRoman"/>
      <w:lvlText w:val="%6"/>
      <w:lvlJc w:val="left"/>
      <w:pPr>
        <w:ind w:left="4243"/>
      </w:pPr>
      <w:rPr>
        <w:rFonts w:ascii="Times New Roman" w:eastAsia="Times New Roman" w:hAnsi="Times New Roman" w:cs="Times New Roman"/>
        <w:b w:val="0"/>
        <w:i w:val="0"/>
        <w:strike w:val="0"/>
        <w:dstrike w:val="0"/>
        <w:color w:val="212121"/>
        <w:sz w:val="24"/>
        <w:szCs w:val="24"/>
        <w:u w:val="none" w:color="000000"/>
        <w:bdr w:val="none" w:sz="0" w:space="0" w:color="auto"/>
        <w:shd w:val="clear" w:color="auto" w:fill="auto"/>
        <w:vertAlign w:val="baseline"/>
      </w:rPr>
    </w:lvl>
    <w:lvl w:ilvl="6" w:tplc="1A466BCE">
      <w:start w:val="1"/>
      <w:numFmt w:val="decimal"/>
      <w:lvlText w:val="%7"/>
      <w:lvlJc w:val="left"/>
      <w:pPr>
        <w:ind w:left="4963"/>
      </w:pPr>
      <w:rPr>
        <w:rFonts w:ascii="Times New Roman" w:eastAsia="Times New Roman" w:hAnsi="Times New Roman" w:cs="Times New Roman"/>
        <w:b w:val="0"/>
        <w:i w:val="0"/>
        <w:strike w:val="0"/>
        <w:dstrike w:val="0"/>
        <w:color w:val="212121"/>
        <w:sz w:val="24"/>
        <w:szCs w:val="24"/>
        <w:u w:val="none" w:color="000000"/>
        <w:bdr w:val="none" w:sz="0" w:space="0" w:color="auto"/>
        <w:shd w:val="clear" w:color="auto" w:fill="auto"/>
        <w:vertAlign w:val="baseline"/>
      </w:rPr>
    </w:lvl>
    <w:lvl w:ilvl="7" w:tplc="53D0C270">
      <w:start w:val="1"/>
      <w:numFmt w:val="lowerLetter"/>
      <w:lvlText w:val="%8"/>
      <w:lvlJc w:val="left"/>
      <w:pPr>
        <w:ind w:left="5683"/>
      </w:pPr>
      <w:rPr>
        <w:rFonts w:ascii="Times New Roman" w:eastAsia="Times New Roman" w:hAnsi="Times New Roman" w:cs="Times New Roman"/>
        <w:b w:val="0"/>
        <w:i w:val="0"/>
        <w:strike w:val="0"/>
        <w:dstrike w:val="0"/>
        <w:color w:val="212121"/>
        <w:sz w:val="24"/>
        <w:szCs w:val="24"/>
        <w:u w:val="none" w:color="000000"/>
        <w:bdr w:val="none" w:sz="0" w:space="0" w:color="auto"/>
        <w:shd w:val="clear" w:color="auto" w:fill="auto"/>
        <w:vertAlign w:val="baseline"/>
      </w:rPr>
    </w:lvl>
    <w:lvl w:ilvl="8" w:tplc="F742410E">
      <w:start w:val="1"/>
      <w:numFmt w:val="lowerRoman"/>
      <w:lvlText w:val="%9"/>
      <w:lvlJc w:val="left"/>
      <w:pPr>
        <w:ind w:left="6403"/>
      </w:pPr>
      <w:rPr>
        <w:rFonts w:ascii="Times New Roman" w:eastAsia="Times New Roman" w:hAnsi="Times New Roman" w:cs="Times New Roman"/>
        <w:b w:val="0"/>
        <w:i w:val="0"/>
        <w:strike w:val="0"/>
        <w:dstrike w:val="0"/>
        <w:color w:val="212121"/>
        <w:sz w:val="24"/>
        <w:szCs w:val="24"/>
        <w:u w:val="none" w:color="000000"/>
        <w:bdr w:val="none" w:sz="0" w:space="0" w:color="auto"/>
        <w:shd w:val="clear" w:color="auto" w:fill="auto"/>
        <w:vertAlign w:val="baseline"/>
      </w:rPr>
    </w:lvl>
  </w:abstractNum>
  <w:abstractNum w:abstractNumId="35" w15:restartNumberingAfterBreak="0">
    <w:nsid w:val="7E2B0F61"/>
    <w:multiLevelType w:val="hybridMultilevel"/>
    <w:tmpl w:val="83282CDA"/>
    <w:lvl w:ilvl="0" w:tplc="07885C32">
      <w:start w:val="1"/>
      <w:numFmt w:val="bullet"/>
      <w:lvlText w:val="•"/>
      <w:lvlJc w:val="left"/>
      <w:pPr>
        <w:ind w:left="3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7374B4EE">
      <w:start w:val="1"/>
      <w:numFmt w:val="bullet"/>
      <w:lvlText w:val="-"/>
      <w:lvlJc w:val="left"/>
      <w:pPr>
        <w:ind w:left="1133"/>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BA7A663C">
      <w:start w:val="1"/>
      <w:numFmt w:val="bullet"/>
      <w:lvlText w:val="▪"/>
      <w:lvlJc w:val="left"/>
      <w:pPr>
        <w:ind w:left="2074"/>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A0A671C4">
      <w:start w:val="1"/>
      <w:numFmt w:val="bullet"/>
      <w:lvlText w:val="•"/>
      <w:lvlJc w:val="left"/>
      <w:pPr>
        <w:ind w:left="2794"/>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FB00F554">
      <w:start w:val="1"/>
      <w:numFmt w:val="bullet"/>
      <w:lvlText w:val="o"/>
      <w:lvlJc w:val="left"/>
      <w:pPr>
        <w:ind w:left="3514"/>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4BB485B2">
      <w:start w:val="1"/>
      <w:numFmt w:val="bullet"/>
      <w:lvlText w:val="▪"/>
      <w:lvlJc w:val="left"/>
      <w:pPr>
        <w:ind w:left="4234"/>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93DE1AE4">
      <w:start w:val="1"/>
      <w:numFmt w:val="bullet"/>
      <w:lvlText w:val="•"/>
      <w:lvlJc w:val="left"/>
      <w:pPr>
        <w:ind w:left="4954"/>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1E6C5D5A">
      <w:start w:val="1"/>
      <w:numFmt w:val="bullet"/>
      <w:lvlText w:val="o"/>
      <w:lvlJc w:val="left"/>
      <w:pPr>
        <w:ind w:left="5674"/>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B8621274">
      <w:start w:val="1"/>
      <w:numFmt w:val="bullet"/>
      <w:lvlText w:val="▪"/>
      <w:lvlJc w:val="left"/>
      <w:pPr>
        <w:ind w:left="6394"/>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num w:numId="1">
    <w:abstractNumId w:val="2"/>
  </w:num>
  <w:num w:numId="2">
    <w:abstractNumId w:val="30"/>
  </w:num>
  <w:num w:numId="3">
    <w:abstractNumId w:val="7"/>
  </w:num>
  <w:num w:numId="4">
    <w:abstractNumId w:val="1"/>
  </w:num>
  <w:num w:numId="5">
    <w:abstractNumId w:val="28"/>
  </w:num>
  <w:num w:numId="6">
    <w:abstractNumId w:val="26"/>
  </w:num>
  <w:num w:numId="7">
    <w:abstractNumId w:val="19"/>
  </w:num>
  <w:num w:numId="8">
    <w:abstractNumId w:val="31"/>
  </w:num>
  <w:num w:numId="9">
    <w:abstractNumId w:val="25"/>
  </w:num>
  <w:num w:numId="10">
    <w:abstractNumId w:val="12"/>
  </w:num>
  <w:num w:numId="11">
    <w:abstractNumId w:val="6"/>
  </w:num>
  <w:num w:numId="12">
    <w:abstractNumId w:val="16"/>
  </w:num>
  <w:num w:numId="13">
    <w:abstractNumId w:val="35"/>
  </w:num>
  <w:num w:numId="14">
    <w:abstractNumId w:val="5"/>
  </w:num>
  <w:num w:numId="15">
    <w:abstractNumId w:val="8"/>
  </w:num>
  <w:num w:numId="16">
    <w:abstractNumId w:val="22"/>
  </w:num>
  <w:num w:numId="17">
    <w:abstractNumId w:val="18"/>
  </w:num>
  <w:num w:numId="18">
    <w:abstractNumId w:val="21"/>
  </w:num>
  <w:num w:numId="19">
    <w:abstractNumId w:val="4"/>
  </w:num>
  <w:num w:numId="20">
    <w:abstractNumId w:val="17"/>
  </w:num>
  <w:num w:numId="21">
    <w:abstractNumId w:val="23"/>
  </w:num>
  <w:num w:numId="22">
    <w:abstractNumId w:val="3"/>
  </w:num>
  <w:num w:numId="23">
    <w:abstractNumId w:val="29"/>
  </w:num>
  <w:num w:numId="24">
    <w:abstractNumId w:val="14"/>
  </w:num>
  <w:num w:numId="25">
    <w:abstractNumId w:val="15"/>
  </w:num>
  <w:num w:numId="26">
    <w:abstractNumId w:val="32"/>
  </w:num>
  <w:num w:numId="27">
    <w:abstractNumId w:val="11"/>
  </w:num>
  <w:num w:numId="28">
    <w:abstractNumId w:val="34"/>
  </w:num>
  <w:num w:numId="29">
    <w:abstractNumId w:val="0"/>
  </w:num>
  <w:num w:numId="30">
    <w:abstractNumId w:val="27"/>
  </w:num>
  <w:num w:numId="31">
    <w:abstractNumId w:val="9"/>
  </w:num>
  <w:num w:numId="32">
    <w:abstractNumId w:val="20"/>
  </w:num>
  <w:num w:numId="33">
    <w:abstractNumId w:val="10"/>
  </w:num>
  <w:num w:numId="34">
    <w:abstractNumId w:val="24"/>
  </w:num>
  <w:num w:numId="35">
    <w:abstractNumId w:val="13"/>
  </w:num>
  <w:num w:numId="36">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revisionView w:inkAnnotation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750E"/>
    <w:rsid w:val="00780135"/>
    <w:rsid w:val="007F75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C0E5D376-2EB6-4E8B-9933-021F1465DB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5" w:line="367" w:lineRule="auto"/>
      <w:ind w:left="10" w:hanging="10"/>
      <w:jc w:val="both"/>
    </w:pPr>
    <w:rPr>
      <w:rFonts w:ascii="Times New Roman" w:eastAsia="Times New Roman" w:hAnsi="Times New Roman" w:cs="Times New Roman"/>
      <w:color w:val="000000"/>
      <w:sz w:val="24"/>
    </w:rPr>
  </w:style>
  <w:style w:type="paragraph" w:styleId="Heading1">
    <w:name w:val="heading 1"/>
    <w:next w:val="Normal"/>
    <w:link w:val="Heading1Char"/>
    <w:uiPriority w:val="9"/>
    <w:unhideWhenUsed/>
    <w:qFormat/>
    <w:pPr>
      <w:keepNext/>
      <w:keepLines/>
      <w:spacing w:after="140"/>
      <w:ind w:left="10" w:right="54" w:hanging="10"/>
      <w:jc w:val="center"/>
      <w:outlineLvl w:val="0"/>
    </w:pPr>
    <w:rPr>
      <w:rFonts w:ascii="Times New Roman" w:eastAsia="Times New Roman" w:hAnsi="Times New Roman" w:cs="Times New Roman"/>
      <w:b/>
      <w:color w:val="000000"/>
      <w:sz w:val="28"/>
    </w:rPr>
  </w:style>
  <w:style w:type="paragraph" w:styleId="Heading2">
    <w:name w:val="heading 2"/>
    <w:next w:val="Normal"/>
    <w:link w:val="Heading2Char"/>
    <w:uiPriority w:val="9"/>
    <w:unhideWhenUsed/>
    <w:qFormat/>
    <w:pPr>
      <w:keepNext/>
      <w:keepLines/>
      <w:spacing w:after="0" w:line="264" w:lineRule="auto"/>
      <w:ind w:left="10" w:hanging="10"/>
      <w:jc w:val="both"/>
      <w:outlineLvl w:val="1"/>
    </w:pPr>
    <w:rPr>
      <w:rFonts w:ascii="Times New Roman" w:eastAsia="Times New Roman" w:hAnsi="Times New Roman" w:cs="Times New Roman"/>
      <w:b/>
      <w:color w:val="000000"/>
      <w:sz w:val="24"/>
      <w:u w:val="single" w:color="000000"/>
    </w:rPr>
  </w:style>
  <w:style w:type="paragraph" w:styleId="Heading3">
    <w:name w:val="heading 3"/>
    <w:next w:val="Normal"/>
    <w:link w:val="Heading3Char"/>
    <w:uiPriority w:val="9"/>
    <w:unhideWhenUsed/>
    <w:qFormat/>
    <w:pPr>
      <w:keepNext/>
      <w:keepLines/>
      <w:spacing w:after="0" w:line="264" w:lineRule="auto"/>
      <w:ind w:left="10" w:hanging="10"/>
      <w:jc w:val="both"/>
      <w:outlineLvl w:val="2"/>
    </w:pPr>
    <w:rPr>
      <w:rFonts w:ascii="Times New Roman" w:eastAsia="Times New Roman" w:hAnsi="Times New Roman" w:cs="Times New Roman"/>
      <w:b/>
      <w:color w:val="000000"/>
      <w:sz w:val="24"/>
      <w:u w:val="single"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Times New Roman" w:eastAsia="Times New Roman" w:hAnsi="Times New Roman" w:cs="Times New Roman"/>
      <w:b/>
      <w:color w:val="000000"/>
      <w:sz w:val="28"/>
    </w:rPr>
  </w:style>
  <w:style w:type="character" w:customStyle="1" w:styleId="Heading2Char">
    <w:name w:val="Heading 2 Char"/>
    <w:link w:val="Heading2"/>
    <w:rPr>
      <w:rFonts w:ascii="Times New Roman" w:eastAsia="Times New Roman" w:hAnsi="Times New Roman" w:cs="Times New Roman"/>
      <w:b/>
      <w:color w:val="000000"/>
      <w:sz w:val="24"/>
      <w:u w:val="single" w:color="000000"/>
    </w:rPr>
  </w:style>
  <w:style w:type="character" w:customStyle="1" w:styleId="Heading3Char">
    <w:name w:val="Heading 3 Char"/>
    <w:link w:val="Heading3"/>
    <w:rPr>
      <w:rFonts w:ascii="Times New Roman" w:eastAsia="Times New Roman" w:hAnsi="Times New Roman" w:cs="Times New Roman"/>
      <w:b/>
      <w:color w:val="000000"/>
      <w:sz w:val="24"/>
      <w:u w:val="single" w:color="000000"/>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dx.doi.org/10.5772/intechopen.92857" TargetMode="External"/><Relationship Id="rId26" Type="http://schemas.openxmlformats.org/officeDocument/2006/relationships/hyperlink" Target="http://www.neonatology.pro/" TargetMode="External"/><Relationship Id="rId39" Type="http://schemas.openxmlformats.org/officeDocument/2006/relationships/image" Target="media/image12.jpg"/><Relationship Id="rId21" Type="http://schemas.openxmlformats.org/officeDocument/2006/relationships/hyperlink" Target="http://www.neonatology.pro/" TargetMode="External"/><Relationship Id="rId34" Type="http://schemas.openxmlformats.org/officeDocument/2006/relationships/image" Target="media/image10.jpg"/><Relationship Id="rId42" Type="http://schemas.openxmlformats.org/officeDocument/2006/relationships/footer" Target="footer12.xml"/><Relationship Id="rId7" Type="http://schemas.openxmlformats.org/officeDocument/2006/relationships/image" Target="media/image1.jpg"/><Relationship Id="rId2" Type="http://schemas.openxmlformats.org/officeDocument/2006/relationships/styles" Target="styles.xml"/><Relationship Id="rId16" Type="http://schemas.openxmlformats.org/officeDocument/2006/relationships/hyperlink" Target="https://www.semanticscholar.org/author/J.-Roganovi%C4%87/4018122" TargetMode="External"/><Relationship Id="rId20" Type="http://schemas.openxmlformats.org/officeDocument/2006/relationships/image" Target="media/image7.png"/><Relationship Id="rId29" Type="http://schemas.openxmlformats.org/officeDocument/2006/relationships/footer" Target="footer4.xml"/><Relationship Id="rId41" Type="http://schemas.openxmlformats.org/officeDocument/2006/relationships/footer" Target="footer1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24" Type="http://schemas.openxmlformats.org/officeDocument/2006/relationships/hyperlink" Target="http://www.neonatology.pro/" TargetMode="External"/><Relationship Id="rId32" Type="http://schemas.openxmlformats.org/officeDocument/2006/relationships/image" Target="media/image8.jpg"/><Relationship Id="rId37" Type="http://schemas.openxmlformats.org/officeDocument/2006/relationships/footer" Target="footer8.xml"/><Relationship Id="rId40" Type="http://schemas.openxmlformats.org/officeDocument/2006/relationships/footer" Target="footer10.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www.neonatology.pro/" TargetMode="External"/><Relationship Id="rId28" Type="http://schemas.openxmlformats.org/officeDocument/2006/relationships/hyperlink" Target="https://nsi.rosminzdrav.ru/dictionaries/1.2.643.5.1.13.13.11.1005/passport/2.27" TargetMode="External"/><Relationship Id="rId36" Type="http://schemas.openxmlformats.org/officeDocument/2006/relationships/footer" Target="footer7.xml"/><Relationship Id="rId10" Type="http://schemas.openxmlformats.org/officeDocument/2006/relationships/footer" Target="footer2.xml"/><Relationship Id="rId19" Type="http://schemas.openxmlformats.org/officeDocument/2006/relationships/hyperlink" Target="http://dx.doi.org/10.5772/intechopen.92857" TargetMode="External"/><Relationship Id="rId31" Type="http://schemas.openxmlformats.org/officeDocument/2006/relationships/footer" Target="footer6.xml"/><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hyperlink" Target="http://www.neonatology.pro/" TargetMode="External"/><Relationship Id="rId27" Type="http://schemas.openxmlformats.org/officeDocument/2006/relationships/hyperlink" Target="https://nsi.rosminzdrav.ru/dictionaries/1.2.643.5.1.13.13.11.1005/passport/2.27" TargetMode="External"/><Relationship Id="rId30" Type="http://schemas.openxmlformats.org/officeDocument/2006/relationships/footer" Target="footer5.xml"/><Relationship Id="rId35" Type="http://schemas.openxmlformats.org/officeDocument/2006/relationships/image" Target="media/image11.jpg"/><Relationship Id="rId43" Type="http://schemas.openxmlformats.org/officeDocument/2006/relationships/fontTable" Target="fontTable.xml"/><Relationship Id="rId8" Type="http://schemas.openxmlformats.org/officeDocument/2006/relationships/image" Target="media/image2.jpg"/><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hyperlink" Target="https://www.semanticscholar.org/author/J.-Roganovi%C4%87/4018122" TargetMode="External"/><Relationship Id="rId25" Type="http://schemas.openxmlformats.org/officeDocument/2006/relationships/hyperlink" Target="http://www.neonatology.pro/" TargetMode="External"/><Relationship Id="rId33" Type="http://schemas.openxmlformats.org/officeDocument/2006/relationships/image" Target="media/image9.jpg"/><Relationship Id="rId38" Type="http://schemas.openxmlformats.org/officeDocument/2006/relationships/footer" Target="footer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13650</Words>
  <Characters>77807</Characters>
  <Application>Microsoft Office Word</Application>
  <DocSecurity>4</DocSecurity>
  <Lines>648</Lines>
  <Paragraphs>182</Paragraphs>
  <ScaleCrop>false</ScaleCrop>
  <Company/>
  <LinksUpToDate>false</LinksUpToDate>
  <CharactersWithSpaces>91275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Галина</dc:creator>
  <cp:keywords/>
  <cp:lastModifiedBy>word</cp:lastModifiedBy>
  <cp:revision>2</cp:revision>
  <dcterms:created xsi:type="dcterms:W3CDTF">2026-09-07T13:59:00Z</dcterms:created>
  <dcterms:modified xsi:type="dcterms:W3CDTF">2026-09-07T13:59:00Z</dcterms:modified>
</cp:coreProperties>
</file>