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F38" w:rsidRDefault="003114B5">
      <w:pPr>
        <w:spacing w:after="0"/>
        <w:ind w:left="-1440" w:right="10480"/>
      </w:pPr>
      <w:bookmarkStart w:id="0" w:name="_GoBack"/>
      <w:bookmarkEnd w:id="0"/>
      <w:r>
        <w:rPr>
          <w:noProof/>
        </w:rPr>
        <w:drawing>
          <wp:anchor distT="0" distB="0" distL="114300" distR="114300" simplePos="0" relativeHeight="251658240" behindDoc="0" locked="0" layoutInCell="1" allowOverlap="0">
            <wp:simplePos x="0" y="0"/>
            <wp:positionH relativeFrom="page">
              <wp:posOffset>0</wp:posOffset>
            </wp:positionH>
            <wp:positionV relativeFrom="page">
              <wp:posOffset>4064</wp:posOffset>
            </wp:positionV>
            <wp:extent cx="7562088" cy="10689336"/>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7562088" cy="10689336"/>
                    </a:xfrm>
                    <a:prstGeom prst="rect">
                      <a:avLst/>
                    </a:prstGeom>
                  </pic:spPr>
                </pic:pic>
              </a:graphicData>
            </a:graphic>
          </wp:anchor>
        </w:drawing>
      </w:r>
    </w:p>
    <w:p w:rsidR="005A3F38" w:rsidRDefault="005A3F38">
      <w:pPr>
        <w:sectPr w:rsidR="005A3F38">
          <w:pgSz w:w="11920" w:h="16840"/>
          <w:pgMar w:top="1440" w:right="1440" w:bottom="1440" w:left="1440" w:header="720" w:footer="720" w:gutter="0"/>
          <w:cols w:space="720"/>
        </w:sectPr>
      </w:pPr>
    </w:p>
    <w:p w:rsidR="005A3F38" w:rsidRDefault="003114B5">
      <w:pPr>
        <w:spacing w:after="13" w:line="248" w:lineRule="auto"/>
        <w:ind w:left="1078" w:hanging="10"/>
        <w:jc w:val="both"/>
      </w:pPr>
      <w:r>
        <w:rPr>
          <w:rFonts w:ascii="Times New Roman" w:eastAsia="Times New Roman" w:hAnsi="Times New Roman" w:cs="Times New Roman"/>
          <w:b/>
          <w:sz w:val="28"/>
        </w:rPr>
        <w:lastRenderedPageBreak/>
        <w:t xml:space="preserve">Оглавление </w:t>
      </w:r>
    </w:p>
    <w:p w:rsidR="005A3F38" w:rsidRDefault="003114B5">
      <w:pPr>
        <w:spacing w:after="0"/>
        <w:ind w:left="1068"/>
      </w:pPr>
      <w:r>
        <w:rPr>
          <w:rFonts w:ascii="Times New Roman" w:eastAsia="Times New Roman" w:hAnsi="Times New Roman" w:cs="Times New Roman"/>
          <w:sz w:val="24"/>
        </w:rPr>
        <w:t xml:space="preserve"> </w:t>
      </w:r>
    </w:p>
    <w:sdt>
      <w:sdtPr>
        <w:rPr>
          <w:rFonts w:ascii="Calibri" w:eastAsia="Calibri" w:hAnsi="Calibri" w:cs="Calibri"/>
          <w:sz w:val="22"/>
        </w:rPr>
        <w:id w:val="1289081555"/>
        <w:docPartObj>
          <w:docPartGallery w:val="Table of Contents"/>
        </w:docPartObj>
      </w:sdtPr>
      <w:sdtEndPr/>
      <w:sdtContent>
        <w:p w:rsidR="005A3F38" w:rsidRDefault="003114B5">
          <w:pPr>
            <w:pStyle w:val="TOC1"/>
            <w:tabs>
              <w:tab w:val="right" w:leader="dot" w:pos="10719"/>
            </w:tabs>
          </w:pPr>
          <w:r>
            <w:fldChar w:fldCharType="begin"/>
          </w:r>
          <w:r>
            <w:instrText xml:space="preserve"> TOC \o "1-3" \h \z \u </w:instrText>
          </w:r>
          <w:r>
            <w:fldChar w:fldCharType="separate"/>
          </w:r>
          <w:hyperlink w:anchor="_Toc141874">
            <w:r>
              <w:t>Список сокращений</w:t>
            </w:r>
            <w:r>
              <w:tab/>
            </w:r>
            <w:r>
              <w:fldChar w:fldCharType="begin"/>
            </w:r>
            <w:r>
              <w:instrText>PAGEREF _Toc141874 \h</w:instrText>
            </w:r>
            <w:r>
              <w:fldChar w:fldCharType="separate"/>
            </w:r>
            <w:r>
              <w:t xml:space="preserve">4 </w:t>
            </w:r>
            <w:r>
              <w:fldChar w:fldCharType="end"/>
            </w:r>
          </w:hyperlink>
        </w:p>
        <w:p w:rsidR="005A3F38" w:rsidRDefault="003114B5">
          <w:pPr>
            <w:pStyle w:val="TOC1"/>
            <w:tabs>
              <w:tab w:val="right" w:leader="dot" w:pos="10719"/>
            </w:tabs>
          </w:pPr>
          <w:hyperlink w:anchor="_Toc141875">
            <w:r>
              <w:t>1. Краткая информация по заболеванию или состоянию (группе заболеваний или состояний)</w:t>
            </w:r>
            <w:r>
              <w:tab/>
            </w:r>
            <w:r>
              <w:fldChar w:fldCharType="begin"/>
            </w:r>
            <w:r>
              <w:instrText>PAGEREF _Toc141875 \h</w:instrText>
            </w:r>
            <w:r>
              <w:fldChar w:fldCharType="separate"/>
            </w:r>
            <w:r>
              <w:t xml:space="preserve">6 </w:t>
            </w:r>
            <w:r>
              <w:fldChar w:fldCharType="end"/>
            </w:r>
          </w:hyperlink>
        </w:p>
        <w:p w:rsidR="005A3F38" w:rsidRDefault="003114B5">
          <w:pPr>
            <w:pStyle w:val="TOC2"/>
            <w:tabs>
              <w:tab w:val="right" w:leader="dot" w:pos="10719"/>
            </w:tabs>
          </w:pPr>
          <w:hyperlink w:anchor="_Toc141876">
            <w:r>
              <w:t>1.1 Определение заболевания или состояния (группы заболеваний или состояний)</w:t>
            </w:r>
            <w:r>
              <w:tab/>
            </w:r>
            <w:r>
              <w:fldChar w:fldCharType="begin"/>
            </w:r>
            <w:r>
              <w:instrText>PAGEREF _Toc141876 \h</w:instrText>
            </w:r>
            <w:r>
              <w:fldChar w:fldCharType="separate"/>
            </w:r>
            <w:r>
              <w:t xml:space="preserve">6 </w:t>
            </w:r>
            <w:r>
              <w:fldChar w:fldCharType="end"/>
            </w:r>
          </w:hyperlink>
        </w:p>
        <w:p w:rsidR="005A3F38" w:rsidRDefault="003114B5">
          <w:pPr>
            <w:pStyle w:val="TOC2"/>
            <w:tabs>
              <w:tab w:val="right" w:leader="dot" w:pos="10719"/>
            </w:tabs>
          </w:pPr>
          <w:hyperlink w:anchor="_Toc141877">
            <w:r>
              <w:t>1.2 Этиолог</w:t>
            </w:r>
            <w:r>
              <w:t>ия и патогенез</w:t>
            </w:r>
            <w:r>
              <w:t xml:space="preserve"> </w:t>
            </w:r>
            <w:r>
              <w:t>заболевания или состояния (группы заболеваний или состояний)</w:t>
            </w:r>
            <w:r>
              <w:tab/>
            </w:r>
            <w:r>
              <w:fldChar w:fldCharType="begin"/>
            </w:r>
            <w:r>
              <w:instrText>PAGEREF _Toc141877 \h</w:instrText>
            </w:r>
            <w:r>
              <w:fldChar w:fldCharType="separate"/>
            </w:r>
            <w:r>
              <w:t xml:space="preserve">6 </w:t>
            </w:r>
            <w:r>
              <w:fldChar w:fldCharType="end"/>
            </w:r>
          </w:hyperlink>
        </w:p>
        <w:p w:rsidR="005A3F38" w:rsidRDefault="003114B5">
          <w:pPr>
            <w:pStyle w:val="TOC2"/>
            <w:tabs>
              <w:tab w:val="right" w:leader="dot" w:pos="10719"/>
            </w:tabs>
          </w:pPr>
          <w:hyperlink w:anchor="_Toc141878">
            <w:r>
              <w:t>1.3 Эпидемиология заболевания или состояния (группы заболев</w:t>
            </w:r>
            <w:r>
              <w:t>аний или состояний)</w:t>
            </w:r>
            <w:r>
              <w:tab/>
            </w:r>
            <w:r>
              <w:fldChar w:fldCharType="begin"/>
            </w:r>
            <w:r>
              <w:instrText>PAGEREF _Toc141878 \h</w:instrText>
            </w:r>
            <w:r>
              <w:fldChar w:fldCharType="separate"/>
            </w:r>
            <w:r>
              <w:t xml:space="preserve">10 </w:t>
            </w:r>
            <w:r>
              <w:fldChar w:fldCharType="end"/>
            </w:r>
          </w:hyperlink>
        </w:p>
        <w:p w:rsidR="005A3F38" w:rsidRDefault="003114B5">
          <w:pPr>
            <w:pStyle w:val="TOC2"/>
            <w:tabs>
              <w:tab w:val="right" w:leader="dot" w:pos="10719"/>
            </w:tabs>
          </w:pPr>
          <w:hyperlink w:anchor="_Toc141879">
            <w:r>
              <w:t xml:space="preserve">1.4 Особенности кодирования заболевания или состояния (группы заболеваний или состояний) по </w:t>
            </w:r>
            <w:r>
              <w:t>Международной статистической классификации болезней и проблем, связанных со здоровьем</w:t>
            </w:r>
            <w:r>
              <w:tab/>
            </w:r>
            <w:r>
              <w:fldChar w:fldCharType="begin"/>
            </w:r>
            <w:r>
              <w:instrText>PAGEREF _Toc141879 \h</w:instrText>
            </w:r>
            <w:r>
              <w:fldChar w:fldCharType="separate"/>
            </w:r>
            <w:r>
              <w:t xml:space="preserve">11 </w:t>
            </w:r>
            <w:r>
              <w:fldChar w:fldCharType="end"/>
            </w:r>
          </w:hyperlink>
        </w:p>
        <w:p w:rsidR="005A3F38" w:rsidRDefault="003114B5">
          <w:pPr>
            <w:pStyle w:val="TOC2"/>
            <w:tabs>
              <w:tab w:val="right" w:leader="dot" w:pos="10719"/>
            </w:tabs>
          </w:pPr>
          <w:hyperlink w:anchor="_Toc141880">
            <w:r>
              <w:t>1.5 Классификация заболевания или состояния (гр</w:t>
            </w:r>
            <w:r>
              <w:t>уппы заболеваний или состояний)</w:t>
            </w:r>
            <w:r>
              <w:tab/>
            </w:r>
            <w:r>
              <w:fldChar w:fldCharType="begin"/>
            </w:r>
            <w:r>
              <w:instrText>PAGEREF _Toc141880 \h</w:instrText>
            </w:r>
            <w:r>
              <w:fldChar w:fldCharType="separate"/>
            </w:r>
            <w:r>
              <w:t xml:space="preserve">11 </w:t>
            </w:r>
            <w:r>
              <w:fldChar w:fldCharType="end"/>
            </w:r>
          </w:hyperlink>
        </w:p>
        <w:p w:rsidR="005A3F38" w:rsidRDefault="003114B5">
          <w:pPr>
            <w:pStyle w:val="TOC2"/>
            <w:tabs>
              <w:tab w:val="right" w:leader="dot" w:pos="10719"/>
            </w:tabs>
          </w:pPr>
          <w:hyperlink w:anchor="_Toc141881">
            <w:r>
              <w:t>1.6 Клиническая картина заболевания или состояния (группы заболеваний или состояний)</w:t>
            </w:r>
            <w:r>
              <w:tab/>
            </w:r>
            <w:r>
              <w:fldChar w:fldCharType="begin"/>
            </w:r>
            <w:r>
              <w:instrText xml:space="preserve">PAGEREF </w:instrText>
            </w:r>
            <w:r>
              <w:instrText>_Toc141881 \h</w:instrText>
            </w:r>
            <w:r>
              <w:fldChar w:fldCharType="separate"/>
            </w:r>
            <w:r>
              <w:t xml:space="preserve">12 </w:t>
            </w:r>
            <w:r>
              <w:fldChar w:fldCharType="end"/>
            </w:r>
          </w:hyperlink>
        </w:p>
        <w:p w:rsidR="005A3F38" w:rsidRDefault="003114B5">
          <w:pPr>
            <w:pStyle w:val="TOC1"/>
            <w:tabs>
              <w:tab w:val="right" w:leader="dot" w:pos="10719"/>
            </w:tabs>
          </w:pPr>
          <w:hyperlink w:anchor="_Toc141882">
            <w:r>
              <w:t>2. Диагностика заболевания или состояния (группы заболеваний или состояний), медицинские показания и противопоказания к применению методов ди</w:t>
            </w:r>
            <w:r>
              <w:t>агностики</w:t>
            </w:r>
            <w:r>
              <w:tab/>
            </w:r>
            <w:r>
              <w:fldChar w:fldCharType="begin"/>
            </w:r>
            <w:r>
              <w:instrText>PAGEREF _Toc141882 \h</w:instrText>
            </w:r>
            <w:r>
              <w:fldChar w:fldCharType="separate"/>
            </w:r>
            <w:r>
              <w:t xml:space="preserve">13 </w:t>
            </w:r>
            <w:r>
              <w:fldChar w:fldCharType="end"/>
            </w:r>
          </w:hyperlink>
        </w:p>
        <w:p w:rsidR="005A3F38" w:rsidRDefault="003114B5">
          <w:pPr>
            <w:pStyle w:val="TOC2"/>
            <w:tabs>
              <w:tab w:val="right" w:leader="dot" w:pos="10719"/>
            </w:tabs>
          </w:pPr>
          <w:hyperlink w:anchor="_Toc141883">
            <w:r>
              <w:t>2.1 Жалобы и анамнез</w:t>
            </w:r>
            <w:r>
              <w:tab/>
            </w:r>
            <w:r>
              <w:fldChar w:fldCharType="begin"/>
            </w:r>
            <w:r>
              <w:instrText>PAGEREF _Toc141883 \h</w:instrText>
            </w:r>
            <w:r>
              <w:fldChar w:fldCharType="separate"/>
            </w:r>
            <w:r>
              <w:t xml:space="preserve">14 </w:t>
            </w:r>
            <w:r>
              <w:fldChar w:fldCharType="end"/>
            </w:r>
          </w:hyperlink>
        </w:p>
        <w:p w:rsidR="005A3F38" w:rsidRDefault="003114B5">
          <w:pPr>
            <w:pStyle w:val="TOC2"/>
            <w:tabs>
              <w:tab w:val="right" w:leader="dot" w:pos="10719"/>
            </w:tabs>
          </w:pPr>
          <w:hyperlink w:anchor="_Toc141884">
            <w:r>
              <w:t>2.2 Физикальное обследование</w:t>
            </w:r>
            <w:r>
              <w:tab/>
            </w:r>
            <w:r>
              <w:fldChar w:fldCharType="begin"/>
            </w:r>
            <w:r>
              <w:instrText>PAGEREF _Toc141884 \h</w:instrText>
            </w:r>
            <w:r>
              <w:fldChar w:fldCharType="separate"/>
            </w:r>
            <w:r>
              <w:t xml:space="preserve">14 </w:t>
            </w:r>
            <w:r>
              <w:fldChar w:fldCharType="end"/>
            </w:r>
          </w:hyperlink>
        </w:p>
        <w:p w:rsidR="005A3F38" w:rsidRDefault="003114B5">
          <w:pPr>
            <w:pStyle w:val="TOC2"/>
            <w:tabs>
              <w:tab w:val="right" w:leader="dot" w:pos="10719"/>
            </w:tabs>
          </w:pPr>
          <w:hyperlink w:anchor="_Toc141885">
            <w:r>
              <w:t>2.3 Лабораторные диагностические исследования</w:t>
            </w:r>
            <w:r>
              <w:tab/>
            </w:r>
            <w:r>
              <w:fldChar w:fldCharType="begin"/>
            </w:r>
            <w:r>
              <w:instrText>PAGEREF _Toc141885 \h</w:instrText>
            </w:r>
            <w:r>
              <w:fldChar w:fldCharType="separate"/>
            </w:r>
            <w:r>
              <w:t xml:space="preserve">16 </w:t>
            </w:r>
            <w:r>
              <w:fldChar w:fldCharType="end"/>
            </w:r>
          </w:hyperlink>
        </w:p>
        <w:p w:rsidR="005A3F38" w:rsidRDefault="003114B5">
          <w:pPr>
            <w:pStyle w:val="TOC2"/>
            <w:tabs>
              <w:tab w:val="right" w:leader="dot" w:pos="10719"/>
            </w:tabs>
          </w:pPr>
          <w:hyperlink w:anchor="_Toc141886">
            <w:r>
              <w:t xml:space="preserve">2.4 </w:t>
            </w:r>
            <w:r>
              <w:t>Инструментальные диагностические исследования</w:t>
            </w:r>
            <w:r>
              <w:tab/>
            </w:r>
            <w:r>
              <w:fldChar w:fldCharType="begin"/>
            </w:r>
            <w:r>
              <w:instrText>PAGEREF _Toc141886 \h</w:instrText>
            </w:r>
            <w:r>
              <w:fldChar w:fldCharType="separate"/>
            </w:r>
            <w:r>
              <w:t xml:space="preserve">20 </w:t>
            </w:r>
            <w:r>
              <w:fldChar w:fldCharType="end"/>
            </w:r>
          </w:hyperlink>
        </w:p>
        <w:p w:rsidR="005A3F38" w:rsidRDefault="003114B5">
          <w:pPr>
            <w:pStyle w:val="TOC2"/>
            <w:tabs>
              <w:tab w:val="right" w:leader="dot" w:pos="10719"/>
            </w:tabs>
          </w:pPr>
          <w:hyperlink w:anchor="_Toc141887">
            <w:r>
              <w:t>2.5 Иные диагностические исследования</w:t>
            </w:r>
            <w:r>
              <w:tab/>
            </w:r>
            <w:r>
              <w:fldChar w:fldCharType="begin"/>
            </w:r>
            <w:r>
              <w:instrText>PAGEREF _Toc141887 \h</w:instrText>
            </w:r>
            <w:r>
              <w:fldChar w:fldCharType="separate"/>
            </w:r>
            <w:r>
              <w:t xml:space="preserve">22 </w:t>
            </w:r>
            <w:r>
              <w:fldChar w:fldCharType="end"/>
            </w:r>
          </w:hyperlink>
        </w:p>
        <w:p w:rsidR="005A3F38" w:rsidRDefault="003114B5">
          <w:pPr>
            <w:pStyle w:val="TOC1"/>
            <w:tabs>
              <w:tab w:val="right" w:leader="dot" w:pos="10719"/>
            </w:tabs>
          </w:pPr>
          <w:hyperlink w:anchor="_Toc141888">
            <w:r>
              <w:t>3</w:t>
            </w:r>
            <w:r>
              <w:t xml:space="preserve">. Лечение, включая медикаментозную и немедикаментозную терапии, диетотерапию, </w:t>
            </w:r>
            <w:r>
              <w:tab/>
            </w:r>
            <w:r>
              <w:fldChar w:fldCharType="begin"/>
            </w:r>
            <w:r>
              <w:instrText>PAGEREF _Toc141888 \h</w:instrText>
            </w:r>
            <w:r>
              <w:fldChar w:fldCharType="end"/>
            </w:r>
          </w:hyperlink>
        </w:p>
        <w:p w:rsidR="005A3F38" w:rsidRDefault="003114B5">
          <w:pPr>
            <w:pStyle w:val="TOC1"/>
            <w:tabs>
              <w:tab w:val="right" w:leader="dot" w:pos="10719"/>
            </w:tabs>
          </w:pPr>
          <w:hyperlink w:anchor="_Toc141889">
            <w:r>
              <w:t>обезболивание, медицинские показания и противопоказания к п</w:t>
            </w:r>
            <w:r>
              <w:t>рименению методов лечения</w:t>
            </w:r>
            <w:r>
              <w:tab/>
            </w:r>
            <w:r>
              <w:fldChar w:fldCharType="begin"/>
            </w:r>
            <w:r>
              <w:instrText>PAGEREF _Toc141889 \h</w:instrText>
            </w:r>
            <w:r>
              <w:fldChar w:fldCharType="separate"/>
            </w:r>
            <w:r>
              <w:t xml:space="preserve">22 </w:t>
            </w:r>
            <w:r>
              <w:fldChar w:fldCharType="end"/>
            </w:r>
          </w:hyperlink>
        </w:p>
        <w:p w:rsidR="005A3F38" w:rsidRDefault="003114B5">
          <w:pPr>
            <w:pStyle w:val="TOC2"/>
            <w:tabs>
              <w:tab w:val="right" w:leader="dot" w:pos="10719"/>
            </w:tabs>
          </w:pPr>
          <w:hyperlink w:anchor="_Toc141890">
            <w:r>
              <w:t>3.1 Консервативное лечение</w:t>
            </w:r>
            <w:r>
              <w:tab/>
            </w:r>
            <w:r>
              <w:fldChar w:fldCharType="begin"/>
            </w:r>
            <w:r>
              <w:instrText>PAGEREF _Toc141890 \h</w:instrText>
            </w:r>
            <w:r>
              <w:fldChar w:fldCharType="separate"/>
            </w:r>
            <w:r>
              <w:t xml:space="preserve">22 </w:t>
            </w:r>
            <w:r>
              <w:fldChar w:fldCharType="end"/>
            </w:r>
          </w:hyperlink>
        </w:p>
        <w:p w:rsidR="005A3F38" w:rsidRDefault="003114B5">
          <w:pPr>
            <w:pStyle w:val="TOC3"/>
            <w:tabs>
              <w:tab w:val="right" w:leader="dot" w:pos="10719"/>
            </w:tabs>
          </w:pPr>
          <w:hyperlink w:anchor="_Toc141891">
            <w:r>
              <w:t>3.1.1 Симптоматическая терапия</w:t>
            </w:r>
            <w:r>
              <w:tab/>
            </w:r>
            <w:r>
              <w:fldChar w:fldCharType="begin"/>
            </w:r>
            <w:r>
              <w:instrText>PAGEREF _Toc141891 \h</w:instrText>
            </w:r>
            <w:r>
              <w:fldChar w:fldCharType="separate"/>
            </w:r>
            <w:r>
              <w:t xml:space="preserve">23 </w:t>
            </w:r>
            <w:r>
              <w:fldChar w:fldCharType="end"/>
            </w:r>
          </w:hyperlink>
        </w:p>
        <w:p w:rsidR="005A3F38" w:rsidRDefault="003114B5">
          <w:pPr>
            <w:pStyle w:val="TOC3"/>
            <w:tabs>
              <w:tab w:val="right" w:leader="dot" w:pos="10719"/>
            </w:tabs>
          </w:pPr>
          <w:hyperlink w:anchor="_Toc141892">
            <w:r>
              <w:t>3.1.2. Этиотропная</w:t>
            </w:r>
            <w:r>
              <w:t xml:space="preserve"> </w:t>
            </w:r>
            <w:r>
              <w:t>(противовирусная)</w:t>
            </w:r>
            <w:r>
              <w:t xml:space="preserve"> </w:t>
            </w:r>
            <w:r>
              <w:t>и иммуномодулирующая т</w:t>
            </w:r>
            <w:r>
              <w:t>ерапия</w:t>
            </w:r>
            <w:r>
              <w:tab/>
            </w:r>
            <w:r>
              <w:fldChar w:fldCharType="begin"/>
            </w:r>
            <w:r>
              <w:instrText>PAGEREF _Toc141892 \h</w:instrText>
            </w:r>
            <w:r>
              <w:fldChar w:fldCharType="separate"/>
            </w:r>
            <w:r>
              <w:t xml:space="preserve">29 </w:t>
            </w:r>
            <w:r>
              <w:fldChar w:fldCharType="end"/>
            </w:r>
          </w:hyperlink>
        </w:p>
        <w:p w:rsidR="005A3F38" w:rsidRDefault="003114B5">
          <w:pPr>
            <w:pStyle w:val="TOC3"/>
            <w:tabs>
              <w:tab w:val="right" w:leader="dot" w:pos="10719"/>
            </w:tabs>
          </w:pPr>
          <w:hyperlink w:anchor="_Toc141893">
            <w:r>
              <w:t>3.1.3 Антимикробная терапия</w:t>
            </w:r>
            <w:r>
              <w:tab/>
            </w:r>
            <w:r>
              <w:fldChar w:fldCharType="begin"/>
            </w:r>
            <w:r>
              <w:instrText>PAGEREF _Toc141893 \h</w:instrText>
            </w:r>
            <w:r>
              <w:fldChar w:fldCharType="separate"/>
            </w:r>
            <w:r>
              <w:t xml:space="preserve">30 </w:t>
            </w:r>
            <w:r>
              <w:fldChar w:fldCharType="end"/>
            </w:r>
          </w:hyperlink>
        </w:p>
        <w:p w:rsidR="005A3F38" w:rsidRDefault="003114B5">
          <w:pPr>
            <w:pStyle w:val="TOC2"/>
            <w:tabs>
              <w:tab w:val="right" w:leader="dot" w:pos="10719"/>
            </w:tabs>
          </w:pPr>
          <w:hyperlink w:anchor="_Toc141894">
            <w:r>
              <w:t>3.2 Хирургическое лечение</w:t>
            </w:r>
            <w:r>
              <w:tab/>
            </w:r>
            <w:r>
              <w:fldChar w:fldCharType="begin"/>
            </w:r>
            <w:r>
              <w:instrText>PAGEREF _Toc141894 \h</w:instrText>
            </w:r>
            <w:r>
              <w:fldChar w:fldCharType="separate"/>
            </w:r>
            <w:r>
              <w:t xml:space="preserve">31 </w:t>
            </w:r>
            <w:r>
              <w:fldChar w:fldCharType="end"/>
            </w:r>
          </w:hyperlink>
        </w:p>
        <w:p w:rsidR="005A3F38" w:rsidRDefault="003114B5">
          <w:pPr>
            <w:pStyle w:val="TOC2"/>
            <w:tabs>
              <w:tab w:val="right" w:leader="dot" w:pos="10719"/>
            </w:tabs>
          </w:pPr>
          <w:hyperlink w:anchor="_Toc141895">
            <w:r>
              <w:t>3.3 Иное лече</w:t>
            </w:r>
            <w:r>
              <w:t>ние</w:t>
            </w:r>
            <w:r>
              <w:tab/>
            </w:r>
            <w:r>
              <w:fldChar w:fldCharType="begin"/>
            </w:r>
            <w:r>
              <w:instrText>PAGEREF _Toc141895 \h</w:instrText>
            </w:r>
            <w:r>
              <w:fldChar w:fldCharType="separate"/>
            </w:r>
            <w:r>
              <w:t xml:space="preserve">31 </w:t>
            </w:r>
            <w:r>
              <w:fldChar w:fldCharType="end"/>
            </w:r>
          </w:hyperlink>
        </w:p>
        <w:p w:rsidR="005A3F38" w:rsidRDefault="003114B5">
          <w:pPr>
            <w:pStyle w:val="TOC3"/>
            <w:tabs>
              <w:tab w:val="right" w:leader="dot" w:pos="10719"/>
            </w:tabs>
          </w:pPr>
          <w:hyperlink w:anchor="_Toc141896">
            <w:r>
              <w:t>3.3.1. Фитотерапия</w:t>
            </w:r>
            <w:r>
              <w:tab/>
            </w:r>
            <w:r>
              <w:fldChar w:fldCharType="begin"/>
            </w:r>
            <w:r>
              <w:instrText>PAGEREF _Toc141896 \h</w:instrText>
            </w:r>
            <w:r>
              <w:fldChar w:fldCharType="separate"/>
            </w:r>
            <w:r>
              <w:t xml:space="preserve">31 </w:t>
            </w:r>
            <w:r>
              <w:fldChar w:fldCharType="end"/>
            </w:r>
          </w:hyperlink>
        </w:p>
        <w:p w:rsidR="005A3F38" w:rsidRDefault="003114B5">
          <w:pPr>
            <w:pStyle w:val="TOC3"/>
            <w:tabs>
              <w:tab w:val="right" w:leader="dot" w:pos="10719"/>
            </w:tabs>
          </w:pPr>
          <w:hyperlink w:anchor="_Toc141897">
            <w:r>
              <w:t>3.3.2 Диета на фоне ОРВИ</w:t>
            </w:r>
            <w:r>
              <w:tab/>
            </w:r>
            <w:r>
              <w:fldChar w:fldCharType="begin"/>
            </w:r>
            <w:r>
              <w:instrText>PAGEREF _Toc141897 \h</w:instrText>
            </w:r>
            <w:r>
              <w:fldChar w:fldCharType="separate"/>
            </w:r>
            <w:r>
              <w:t xml:space="preserve">32 </w:t>
            </w:r>
            <w:r>
              <w:fldChar w:fldCharType="end"/>
            </w:r>
          </w:hyperlink>
        </w:p>
        <w:p w:rsidR="005A3F38" w:rsidRDefault="003114B5">
          <w:pPr>
            <w:pStyle w:val="TOC3"/>
            <w:tabs>
              <w:tab w:val="right" w:leader="dot" w:pos="10719"/>
            </w:tabs>
          </w:pPr>
          <w:hyperlink w:anchor="_Toc141898">
            <w:r>
              <w:t>3.3.2. Нефармакологические средства</w:t>
            </w:r>
            <w:r>
              <w:tab/>
            </w:r>
            <w:r>
              <w:fldChar w:fldCharType="begin"/>
            </w:r>
            <w:r>
              <w:instrText>PAGEREF _Toc141898 \h</w:instrText>
            </w:r>
            <w:r>
              <w:fldChar w:fldCharType="separate"/>
            </w:r>
            <w:r>
              <w:t xml:space="preserve">32 </w:t>
            </w:r>
            <w:r>
              <w:fldChar w:fldCharType="end"/>
            </w:r>
          </w:hyperlink>
        </w:p>
        <w:p w:rsidR="005A3F38" w:rsidRDefault="003114B5">
          <w:pPr>
            <w:pStyle w:val="TOC1"/>
            <w:tabs>
              <w:tab w:val="right" w:leader="dot" w:pos="10719"/>
            </w:tabs>
          </w:pPr>
          <w:hyperlink w:anchor="_Toc141899">
            <w:r>
              <w:t>4. Медицинская реабилитация и санаторно</w:t>
            </w:r>
            <w:r>
              <w:t>-</w:t>
            </w:r>
            <w:r>
              <w:t>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w:t>
            </w:r>
            <w:r>
              <w:t>ных лечебных факторов</w:t>
            </w:r>
            <w:r>
              <w:tab/>
            </w:r>
            <w:r>
              <w:fldChar w:fldCharType="begin"/>
            </w:r>
            <w:r>
              <w:instrText>PAGEREF _Toc141899 \h</w:instrText>
            </w:r>
            <w:r>
              <w:fldChar w:fldCharType="separate"/>
            </w:r>
            <w:r>
              <w:t xml:space="preserve">32 </w:t>
            </w:r>
            <w:r>
              <w:fldChar w:fldCharType="end"/>
            </w:r>
          </w:hyperlink>
        </w:p>
        <w:p w:rsidR="005A3F38" w:rsidRDefault="003114B5">
          <w:pPr>
            <w:pStyle w:val="TOC1"/>
            <w:tabs>
              <w:tab w:val="right" w:leader="dot" w:pos="10719"/>
            </w:tabs>
          </w:pPr>
          <w:hyperlink w:anchor="_Toc141900">
            <w:r>
              <w:t xml:space="preserve">5. Профилактика и диспансерное наблюдение, медицинские показания и противопоказания к </w:t>
            </w:r>
            <w:r>
              <w:tab/>
            </w:r>
            <w:r>
              <w:fldChar w:fldCharType="begin"/>
            </w:r>
            <w:r>
              <w:instrText>PAGEREF _Toc141900 \h</w:instrText>
            </w:r>
            <w:r>
              <w:fldChar w:fldCharType="end"/>
            </w:r>
          </w:hyperlink>
        </w:p>
        <w:p w:rsidR="005A3F38" w:rsidRDefault="003114B5">
          <w:pPr>
            <w:pStyle w:val="TOC1"/>
            <w:tabs>
              <w:tab w:val="right" w:leader="dot" w:pos="10719"/>
            </w:tabs>
          </w:pPr>
          <w:hyperlink w:anchor="_Toc141901">
            <w:r>
              <w:t>применению методов профилактики</w:t>
            </w:r>
            <w:r>
              <w:tab/>
            </w:r>
            <w:r>
              <w:fldChar w:fldCharType="begin"/>
            </w:r>
            <w:r>
              <w:instrText>PAGEREF _Toc141901 \h</w:instrText>
            </w:r>
            <w:r>
              <w:fldChar w:fldCharType="separate"/>
            </w:r>
            <w:r>
              <w:t xml:space="preserve">33 </w:t>
            </w:r>
            <w:r>
              <w:fldChar w:fldCharType="end"/>
            </w:r>
          </w:hyperlink>
        </w:p>
        <w:p w:rsidR="005A3F38" w:rsidRDefault="003114B5">
          <w:pPr>
            <w:pStyle w:val="TOC2"/>
            <w:tabs>
              <w:tab w:val="right" w:leader="dot" w:pos="10719"/>
            </w:tabs>
          </w:pPr>
          <w:hyperlink w:anchor="_Toc141902">
            <w:r>
              <w:t>5.1 Профилактика острых инфекций</w:t>
            </w:r>
            <w:r>
              <w:tab/>
            </w:r>
            <w:r>
              <w:fldChar w:fldCharType="begin"/>
            </w:r>
            <w:r>
              <w:instrText>PAGEREF _Toc141902 \h</w:instrText>
            </w:r>
            <w:r>
              <w:fldChar w:fldCharType="separate"/>
            </w:r>
            <w:r>
              <w:t xml:space="preserve">33 </w:t>
            </w:r>
            <w:r>
              <w:fldChar w:fldCharType="end"/>
            </w:r>
          </w:hyperlink>
        </w:p>
        <w:p w:rsidR="005A3F38" w:rsidRDefault="003114B5">
          <w:pPr>
            <w:pStyle w:val="TOC2"/>
            <w:tabs>
              <w:tab w:val="right" w:leader="dot" w:pos="10719"/>
            </w:tabs>
          </w:pPr>
          <w:hyperlink w:anchor="_Toc141903">
            <w:r>
              <w:t>5.1 П</w:t>
            </w:r>
            <w:r>
              <w:t>рофилактика рецидивирующих инфекций</w:t>
            </w:r>
            <w:r>
              <w:tab/>
            </w:r>
            <w:r>
              <w:fldChar w:fldCharType="begin"/>
            </w:r>
            <w:r>
              <w:instrText>PAGEREF _Toc141903 \h</w:instrText>
            </w:r>
            <w:r>
              <w:fldChar w:fldCharType="separate"/>
            </w:r>
            <w:r>
              <w:t xml:space="preserve">37 </w:t>
            </w:r>
            <w:r>
              <w:fldChar w:fldCharType="end"/>
            </w:r>
          </w:hyperlink>
        </w:p>
        <w:p w:rsidR="005A3F38" w:rsidRDefault="003114B5">
          <w:pPr>
            <w:pStyle w:val="TOC1"/>
            <w:tabs>
              <w:tab w:val="right" w:leader="dot" w:pos="10719"/>
            </w:tabs>
          </w:pPr>
          <w:hyperlink w:anchor="_Toc141904">
            <w:r>
              <w:t>6. Организация оказания медицинской помощи</w:t>
            </w:r>
            <w:r>
              <w:tab/>
            </w:r>
            <w:r>
              <w:fldChar w:fldCharType="begin"/>
            </w:r>
            <w:r>
              <w:instrText>PAGEREF _Toc141904 \h</w:instrText>
            </w:r>
            <w:r>
              <w:fldChar w:fldCharType="separate"/>
            </w:r>
            <w:r>
              <w:t xml:space="preserve">39 </w:t>
            </w:r>
            <w:r>
              <w:fldChar w:fldCharType="end"/>
            </w:r>
          </w:hyperlink>
        </w:p>
        <w:p w:rsidR="005A3F38" w:rsidRDefault="003114B5">
          <w:pPr>
            <w:pStyle w:val="TOC1"/>
            <w:tabs>
              <w:tab w:val="right" w:leader="dot" w:pos="10719"/>
            </w:tabs>
          </w:pPr>
          <w:hyperlink w:anchor="_Toc141905">
            <w:r>
              <w:t xml:space="preserve">7. Дополнительная информация (в том числе факторы, влияющие на исход заболевания или </w:t>
            </w:r>
            <w:r>
              <w:tab/>
            </w:r>
            <w:r>
              <w:fldChar w:fldCharType="begin"/>
            </w:r>
            <w:r>
              <w:instrText>PAGEREF _Toc141905 \h</w:instrText>
            </w:r>
            <w:r>
              <w:fldChar w:fldCharType="end"/>
            </w:r>
          </w:hyperlink>
        </w:p>
        <w:p w:rsidR="005A3F38" w:rsidRDefault="003114B5">
          <w:pPr>
            <w:pStyle w:val="TOC1"/>
            <w:tabs>
              <w:tab w:val="right" w:leader="dot" w:pos="10719"/>
            </w:tabs>
          </w:pPr>
          <w:hyperlink w:anchor="_Toc141906">
            <w:r>
              <w:t>состояния)</w:t>
            </w:r>
            <w:r>
              <w:tab/>
            </w:r>
            <w:r>
              <w:fldChar w:fldCharType="begin"/>
            </w:r>
            <w:r>
              <w:instrText>PAGEREF _Toc141906 \h</w:instrText>
            </w:r>
            <w:r>
              <w:fldChar w:fldCharType="separate"/>
            </w:r>
            <w:r>
              <w:t xml:space="preserve">41 </w:t>
            </w:r>
            <w:r>
              <w:fldChar w:fldCharType="end"/>
            </w:r>
          </w:hyperlink>
        </w:p>
        <w:p w:rsidR="005A3F38" w:rsidRDefault="003114B5">
          <w:pPr>
            <w:pStyle w:val="TOC2"/>
            <w:tabs>
              <w:tab w:val="right" w:leader="dot" w:pos="10719"/>
            </w:tabs>
          </w:pPr>
          <w:hyperlink w:anchor="_Toc141907">
            <w:r>
              <w:t>7.1 Осложнения</w:t>
            </w:r>
            <w:r>
              <w:tab/>
            </w:r>
            <w:r>
              <w:fldChar w:fldCharType="begin"/>
            </w:r>
            <w:r>
              <w:instrText>PAGEREF _Toc141907 \h</w:instrText>
            </w:r>
            <w:r>
              <w:fldChar w:fldCharType="separate"/>
            </w:r>
            <w:r>
              <w:t xml:space="preserve">41 </w:t>
            </w:r>
            <w:r>
              <w:fldChar w:fldCharType="end"/>
            </w:r>
          </w:hyperlink>
        </w:p>
        <w:p w:rsidR="005A3F38" w:rsidRDefault="003114B5">
          <w:pPr>
            <w:pStyle w:val="TOC2"/>
            <w:tabs>
              <w:tab w:val="right" w:leader="dot" w:pos="10719"/>
            </w:tabs>
          </w:pPr>
          <w:hyperlink w:anchor="_Toc141908">
            <w:r>
              <w:t>7.2 Исходы и прогноз</w:t>
            </w:r>
            <w:r>
              <w:tab/>
            </w:r>
            <w:r>
              <w:fldChar w:fldCharType="begin"/>
            </w:r>
            <w:r>
              <w:instrText>PAGEREF _Toc141908 \h</w:instrText>
            </w:r>
            <w:r>
              <w:fldChar w:fldCharType="separate"/>
            </w:r>
            <w:r>
              <w:t xml:space="preserve">42 </w:t>
            </w:r>
            <w:r>
              <w:fldChar w:fldCharType="end"/>
            </w:r>
          </w:hyperlink>
        </w:p>
        <w:p w:rsidR="005A3F38" w:rsidRDefault="003114B5">
          <w:pPr>
            <w:pStyle w:val="TOC1"/>
            <w:tabs>
              <w:tab w:val="right" w:leader="dot" w:pos="10719"/>
            </w:tabs>
          </w:pPr>
          <w:hyperlink w:anchor="_Toc141909">
            <w:r>
              <w:t>Критерии оценки качества медицинской помощи</w:t>
            </w:r>
            <w:r>
              <w:tab/>
            </w:r>
            <w:r>
              <w:fldChar w:fldCharType="begin"/>
            </w:r>
            <w:r>
              <w:instrText>PAGEREF _Toc141909 \h</w:instrText>
            </w:r>
            <w:r>
              <w:fldChar w:fldCharType="separate"/>
            </w:r>
            <w:r>
              <w:t xml:space="preserve">43 </w:t>
            </w:r>
            <w:r>
              <w:fldChar w:fldCharType="end"/>
            </w:r>
          </w:hyperlink>
        </w:p>
        <w:p w:rsidR="005A3F38" w:rsidRDefault="003114B5">
          <w:pPr>
            <w:pStyle w:val="TOC1"/>
            <w:tabs>
              <w:tab w:val="right" w:leader="dot" w:pos="10719"/>
            </w:tabs>
          </w:pPr>
          <w:hyperlink w:anchor="_Toc141910">
            <w:r>
              <w:t>Критерии оценки качества первичной медико</w:t>
            </w:r>
            <w:r>
              <w:t>-</w:t>
            </w:r>
            <w:r>
              <w:t xml:space="preserve">санитарной помощи детям при острой респираторной вирусной инфекции (коды по МКБ </w:t>
            </w:r>
            <w:r>
              <w:t>- 10: J00, J04.1, J06, J39.9, B34.0, B34.2)</w:t>
            </w:r>
            <w:r>
              <w:tab/>
            </w:r>
            <w:r>
              <w:fldChar w:fldCharType="begin"/>
            </w:r>
            <w:r>
              <w:instrText>PAGEREF _Toc141910 \h</w:instrText>
            </w:r>
            <w:r>
              <w:fldChar w:fldCharType="separate"/>
            </w:r>
            <w:r>
              <w:t xml:space="preserve">43 </w:t>
            </w:r>
            <w:r>
              <w:fldChar w:fldCharType="end"/>
            </w:r>
          </w:hyperlink>
        </w:p>
        <w:p w:rsidR="005A3F38" w:rsidRDefault="003114B5">
          <w:pPr>
            <w:pStyle w:val="TOC1"/>
            <w:tabs>
              <w:tab w:val="right" w:leader="dot" w:pos="10719"/>
            </w:tabs>
          </w:pPr>
          <w:hyperlink w:anchor="_Toc141911">
            <w:r>
              <w:t xml:space="preserve">Критерии оценки качества специализированной медицинской помощи детям при острой респираторной вирусной инфекции (коды по МКБ </w:t>
            </w:r>
            <w:r>
              <w:t>- 10: J00, J04.1, J06, J39.9, B34.0, B34.2)</w:t>
            </w:r>
            <w:r>
              <w:tab/>
            </w:r>
            <w:r>
              <w:fldChar w:fldCharType="begin"/>
            </w:r>
            <w:r>
              <w:instrText>PAGEREF _Toc141911 \h</w:instrText>
            </w:r>
            <w:r>
              <w:fldChar w:fldCharType="separate"/>
            </w:r>
            <w:r>
              <w:t xml:space="preserve">43 </w:t>
            </w:r>
            <w:r>
              <w:fldChar w:fldCharType="end"/>
            </w:r>
          </w:hyperlink>
        </w:p>
        <w:p w:rsidR="005A3F38" w:rsidRDefault="003114B5">
          <w:pPr>
            <w:pStyle w:val="TOC1"/>
            <w:tabs>
              <w:tab w:val="right" w:leader="dot" w:pos="10719"/>
            </w:tabs>
          </w:pPr>
          <w:hyperlink w:anchor="_Toc141912">
            <w:r>
              <w:t>Список литературы</w:t>
            </w:r>
            <w:r>
              <w:tab/>
            </w:r>
            <w:r>
              <w:fldChar w:fldCharType="begin"/>
            </w:r>
            <w:r>
              <w:instrText>PAGEREF _Toc141912 \h</w:instrText>
            </w:r>
            <w:r>
              <w:fldChar w:fldCharType="separate"/>
            </w:r>
            <w:r>
              <w:t xml:space="preserve">44 </w:t>
            </w:r>
            <w:r>
              <w:fldChar w:fldCharType="end"/>
            </w:r>
          </w:hyperlink>
        </w:p>
        <w:p w:rsidR="005A3F38" w:rsidRDefault="003114B5">
          <w:pPr>
            <w:pStyle w:val="TOC1"/>
            <w:tabs>
              <w:tab w:val="right" w:leader="dot" w:pos="10719"/>
            </w:tabs>
          </w:pPr>
          <w:hyperlink w:anchor="_Toc141913">
            <w:r>
              <w:t>Приложение А1. Состав рабочей группы по раз</w:t>
            </w:r>
            <w:r>
              <w:t>работке и пересмотру клинических рекомендаций</w:t>
            </w:r>
            <w:r>
              <w:tab/>
            </w:r>
            <w:r>
              <w:fldChar w:fldCharType="begin"/>
            </w:r>
            <w:r>
              <w:instrText>PAGEREF _Toc141913 \h</w:instrText>
            </w:r>
            <w:r>
              <w:fldChar w:fldCharType="separate"/>
            </w:r>
            <w:r>
              <w:t xml:space="preserve">73 </w:t>
            </w:r>
            <w:r>
              <w:fldChar w:fldCharType="end"/>
            </w:r>
          </w:hyperlink>
        </w:p>
        <w:p w:rsidR="005A3F38" w:rsidRDefault="003114B5">
          <w:pPr>
            <w:pStyle w:val="TOC1"/>
            <w:tabs>
              <w:tab w:val="right" w:leader="dot" w:pos="10719"/>
            </w:tabs>
          </w:pPr>
          <w:hyperlink w:anchor="_Toc141914">
            <w:r>
              <w:t>Приложение А2. Методология разработки клинических рекомендаций</w:t>
            </w:r>
            <w:r>
              <w:tab/>
            </w:r>
            <w:r>
              <w:fldChar w:fldCharType="begin"/>
            </w:r>
            <w:r>
              <w:instrText>PAGEREF _Toc141914 \h</w:instrText>
            </w:r>
            <w:r>
              <w:fldChar w:fldCharType="separate"/>
            </w:r>
            <w:r>
              <w:t xml:space="preserve">78 </w:t>
            </w:r>
            <w:r>
              <w:fldChar w:fldCharType="end"/>
            </w:r>
          </w:hyperlink>
        </w:p>
        <w:p w:rsidR="005A3F38" w:rsidRDefault="003114B5">
          <w:pPr>
            <w:pStyle w:val="TOC1"/>
            <w:tabs>
              <w:tab w:val="right" w:leader="dot" w:pos="10719"/>
            </w:tabs>
          </w:pPr>
          <w:hyperlink w:anchor="_Toc141915">
            <w: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w:t>
            </w:r>
            <w:r>
              <w:t>рукции по применению лекарственного препарата</w:t>
            </w:r>
            <w:r>
              <w:tab/>
            </w:r>
            <w:r>
              <w:fldChar w:fldCharType="begin"/>
            </w:r>
            <w:r>
              <w:instrText>PAGEREF _Toc141915 \h</w:instrText>
            </w:r>
            <w:r>
              <w:fldChar w:fldCharType="separate"/>
            </w:r>
            <w:r>
              <w:t xml:space="preserve">80 </w:t>
            </w:r>
            <w:r>
              <w:fldChar w:fldCharType="end"/>
            </w:r>
          </w:hyperlink>
        </w:p>
        <w:p w:rsidR="005A3F38" w:rsidRDefault="003114B5">
          <w:pPr>
            <w:pStyle w:val="TOC1"/>
            <w:tabs>
              <w:tab w:val="right" w:leader="dot" w:pos="10719"/>
            </w:tabs>
          </w:pPr>
          <w:hyperlink w:anchor="_Toc141916">
            <w:r>
              <w:t>Приложение А3.1. Расшифровка примечаний</w:t>
            </w:r>
            <w:r>
              <w:tab/>
            </w:r>
            <w:r>
              <w:fldChar w:fldCharType="begin"/>
            </w:r>
            <w:r>
              <w:instrText>PAGEREF _Toc141916 \h</w:instrText>
            </w:r>
            <w:r>
              <w:fldChar w:fldCharType="separate"/>
            </w:r>
            <w:r>
              <w:t xml:space="preserve">82 </w:t>
            </w:r>
            <w:r>
              <w:fldChar w:fldCharType="end"/>
            </w:r>
          </w:hyperlink>
        </w:p>
        <w:p w:rsidR="005A3F38" w:rsidRDefault="003114B5">
          <w:pPr>
            <w:pStyle w:val="TOC1"/>
            <w:tabs>
              <w:tab w:val="right" w:leader="dot" w:pos="10719"/>
            </w:tabs>
          </w:pPr>
          <w:hyperlink w:anchor="_Toc141917">
            <w:r>
              <w:t>Приложение А3.2 Дифференциальная диагностика гриппа и других ОРВИ</w:t>
            </w:r>
            <w:r>
              <w:tab/>
            </w:r>
            <w:r>
              <w:fldChar w:fldCharType="begin"/>
            </w:r>
            <w:r>
              <w:instrText>PAGEREF _Toc141917 \h</w:instrText>
            </w:r>
            <w:r>
              <w:fldChar w:fldCharType="separate"/>
            </w:r>
            <w:r>
              <w:t xml:space="preserve">83 </w:t>
            </w:r>
            <w:r>
              <w:fldChar w:fldCharType="end"/>
            </w:r>
          </w:hyperlink>
        </w:p>
        <w:p w:rsidR="005A3F38" w:rsidRDefault="003114B5">
          <w:pPr>
            <w:pStyle w:val="TOC1"/>
            <w:tabs>
              <w:tab w:val="right" w:leader="dot" w:pos="10719"/>
            </w:tabs>
          </w:pPr>
          <w:hyperlink w:anchor="_Toc141918">
            <w:r>
              <w:t>Приложение А3.3. Примеры формулировки диагноза</w:t>
            </w:r>
            <w:r>
              <w:tab/>
            </w:r>
            <w:r>
              <w:fldChar w:fldCharType="begin"/>
            </w:r>
            <w:r>
              <w:instrText>PAGEREF _Toc141918 \</w:instrText>
            </w:r>
            <w:r>
              <w:instrText>h</w:instrText>
            </w:r>
            <w:r>
              <w:fldChar w:fldCharType="separate"/>
            </w:r>
            <w:r>
              <w:t xml:space="preserve">86 </w:t>
            </w:r>
            <w:r>
              <w:fldChar w:fldCharType="end"/>
            </w:r>
          </w:hyperlink>
        </w:p>
        <w:p w:rsidR="005A3F38" w:rsidRDefault="003114B5">
          <w:pPr>
            <w:pStyle w:val="TOC1"/>
            <w:tabs>
              <w:tab w:val="right" w:leader="dot" w:pos="10719"/>
            </w:tabs>
          </w:pPr>
          <w:hyperlink w:anchor="_Toc141919">
            <w:r>
              <w:t>Примеры формулировки диагнозов</w:t>
            </w:r>
            <w:r>
              <w:tab/>
            </w:r>
            <w:r>
              <w:fldChar w:fldCharType="begin"/>
            </w:r>
            <w:r>
              <w:instrText>PAGEREF _Toc141919 \h</w:instrText>
            </w:r>
            <w:r>
              <w:fldChar w:fldCharType="separate"/>
            </w:r>
            <w:r>
              <w:t xml:space="preserve">86 </w:t>
            </w:r>
            <w:r>
              <w:fldChar w:fldCharType="end"/>
            </w:r>
          </w:hyperlink>
        </w:p>
        <w:p w:rsidR="005A3F38" w:rsidRDefault="003114B5">
          <w:pPr>
            <w:pStyle w:val="TOC1"/>
            <w:tabs>
              <w:tab w:val="right" w:leader="dot" w:pos="10719"/>
            </w:tabs>
          </w:pPr>
          <w:hyperlink w:anchor="_Toc141920">
            <w:r>
              <w:t xml:space="preserve">Приложение А3.4 Клинические и лабораторные показатели при синдроме системной </w:t>
            </w:r>
            <w:r>
              <w:tab/>
            </w:r>
            <w:r>
              <w:fldChar w:fldCharType="begin"/>
            </w:r>
            <w:r>
              <w:instrText>PAGEREF _Toc141920 \h</w:instrText>
            </w:r>
            <w:r>
              <w:fldChar w:fldCharType="end"/>
            </w:r>
          </w:hyperlink>
        </w:p>
        <w:p w:rsidR="005A3F38" w:rsidRDefault="003114B5">
          <w:pPr>
            <w:pStyle w:val="TOC1"/>
            <w:tabs>
              <w:tab w:val="right" w:leader="dot" w:pos="10719"/>
            </w:tabs>
          </w:pPr>
          <w:hyperlink w:anchor="_Toc141921">
            <w:r>
              <w:t>воспалительной реакции у детей</w:t>
            </w:r>
            <w:r>
              <w:tab/>
            </w:r>
            <w:r>
              <w:fldChar w:fldCharType="begin"/>
            </w:r>
            <w:r>
              <w:instrText>PAGEREF _Toc141921 \h</w:instrText>
            </w:r>
            <w:r>
              <w:fldChar w:fldCharType="separate"/>
            </w:r>
            <w:r>
              <w:t xml:space="preserve">87 </w:t>
            </w:r>
            <w:r>
              <w:fldChar w:fldCharType="end"/>
            </w:r>
          </w:hyperlink>
        </w:p>
        <w:p w:rsidR="005A3F38" w:rsidRDefault="003114B5">
          <w:pPr>
            <w:pStyle w:val="TOC1"/>
            <w:tabs>
              <w:tab w:val="right" w:leader="dot" w:pos="10719"/>
            </w:tabs>
          </w:pPr>
          <w:hyperlink w:anchor="_Toc141922">
            <w:r>
              <w:t>Приложение А3.5 Противовирусная и иммуномодулирующая терапия</w:t>
            </w:r>
            <w:r>
              <w:tab/>
            </w:r>
            <w:r>
              <w:fldChar w:fldCharType="begin"/>
            </w:r>
            <w:r>
              <w:instrText>PAGEREF _Toc141922 \h</w:instrText>
            </w:r>
            <w:r>
              <w:fldChar w:fldCharType="separate"/>
            </w:r>
            <w:r>
              <w:t xml:space="preserve">88 </w:t>
            </w:r>
            <w:r>
              <w:fldChar w:fldCharType="end"/>
            </w:r>
          </w:hyperlink>
        </w:p>
        <w:p w:rsidR="005A3F38" w:rsidRDefault="003114B5">
          <w:pPr>
            <w:pStyle w:val="TOC1"/>
            <w:tabs>
              <w:tab w:val="right" w:leader="dot" w:pos="10719"/>
            </w:tabs>
          </w:pPr>
          <w:hyperlink w:anchor="_Toc141923">
            <w:r>
              <w:t>Приложение Б. Алгоритмы действий врача</w:t>
            </w:r>
            <w:r>
              <w:tab/>
            </w:r>
            <w:r>
              <w:fldChar w:fldCharType="begin"/>
            </w:r>
            <w:r>
              <w:instrText>PAGEREF _Toc141923 \h</w:instrText>
            </w:r>
            <w:r>
              <w:fldChar w:fldCharType="separate"/>
            </w:r>
            <w:r>
              <w:t xml:space="preserve">89 </w:t>
            </w:r>
            <w:r>
              <w:fldChar w:fldCharType="end"/>
            </w:r>
          </w:hyperlink>
        </w:p>
        <w:p w:rsidR="005A3F38" w:rsidRDefault="003114B5">
          <w:pPr>
            <w:pStyle w:val="TOC1"/>
            <w:tabs>
              <w:tab w:val="right" w:leader="dot" w:pos="10719"/>
            </w:tabs>
          </w:pPr>
          <w:hyperlink w:anchor="_Toc141924">
            <w:r>
              <w:t>Приложение Б1. Алгоритм</w:t>
            </w:r>
            <w:r>
              <w:t>-</w:t>
            </w:r>
            <w:r>
              <w:t>схема ведения пациента с ОРВИ</w:t>
            </w:r>
            <w:r>
              <w:tab/>
            </w:r>
            <w:r>
              <w:fldChar w:fldCharType="begin"/>
            </w:r>
            <w:r>
              <w:instrText xml:space="preserve">PAGEREF </w:instrText>
            </w:r>
            <w:r>
              <w:instrText>_Toc141924 \h</w:instrText>
            </w:r>
            <w:r>
              <w:fldChar w:fldCharType="separate"/>
            </w:r>
            <w:r>
              <w:t xml:space="preserve">89 </w:t>
            </w:r>
            <w:r>
              <w:fldChar w:fldCharType="end"/>
            </w:r>
          </w:hyperlink>
        </w:p>
        <w:p w:rsidR="005A3F38" w:rsidRDefault="003114B5">
          <w:pPr>
            <w:pStyle w:val="TOC1"/>
            <w:tabs>
              <w:tab w:val="right" w:leader="dot" w:pos="10719"/>
            </w:tabs>
          </w:pPr>
          <w:hyperlink w:anchor="_Toc141925">
            <w:r>
              <w:t>Приложение Б2. Алгоритм действия врача/фельдшера скорой помощи у пациентов с признаками ОРВИ на догоспитальном этапе</w:t>
            </w:r>
            <w:r>
              <w:tab/>
            </w:r>
            <w:r>
              <w:fldChar w:fldCharType="begin"/>
            </w:r>
            <w:r>
              <w:instrText>PAGEREF _Toc141925 \h</w:instrText>
            </w:r>
            <w:r>
              <w:fldChar w:fldCharType="separate"/>
            </w:r>
            <w:r>
              <w:t xml:space="preserve">90 </w:t>
            </w:r>
            <w:r>
              <w:fldChar w:fldCharType="end"/>
            </w:r>
          </w:hyperlink>
        </w:p>
        <w:p w:rsidR="005A3F38" w:rsidRDefault="003114B5">
          <w:pPr>
            <w:pStyle w:val="TOC1"/>
            <w:tabs>
              <w:tab w:val="right" w:leader="dot" w:pos="10719"/>
            </w:tabs>
          </w:pPr>
          <w:hyperlink w:anchor="_Toc141926">
            <w:r>
              <w:t>Приложение В. Информация для пациента</w:t>
            </w:r>
            <w:r>
              <w:tab/>
            </w:r>
            <w:r>
              <w:fldChar w:fldCharType="begin"/>
            </w:r>
            <w:r>
              <w:instrText>PAGEREF _Toc141926 \h</w:instrText>
            </w:r>
            <w:r>
              <w:fldChar w:fldCharType="separate"/>
            </w:r>
            <w:r>
              <w:t xml:space="preserve">92 </w:t>
            </w:r>
            <w:r>
              <w:fldChar w:fldCharType="end"/>
            </w:r>
          </w:hyperlink>
        </w:p>
        <w:p w:rsidR="005A3F38" w:rsidRDefault="003114B5">
          <w:pPr>
            <w:pStyle w:val="TOC1"/>
            <w:tabs>
              <w:tab w:val="right" w:leader="dot" w:pos="10719"/>
            </w:tabs>
          </w:pPr>
          <w:hyperlink w:anchor="_Toc141927">
            <w:r>
              <w:t>Приложение Г1</w:t>
            </w:r>
            <w:r>
              <w:t>-</w:t>
            </w:r>
            <w:r>
              <w:t>Г</w:t>
            </w:r>
            <w:r>
              <w:t>N</w:t>
            </w:r>
            <w:r>
              <w:t>. Шкалы оценки, вопросники и другие оценочные инструменты состояния пациента, приведенные в клинических рекомендациях</w:t>
            </w:r>
            <w:r>
              <w:tab/>
            </w:r>
            <w:r>
              <w:fldChar w:fldCharType="begin"/>
            </w:r>
            <w:r>
              <w:instrText>PAGEREF _Toc141927 \h</w:instrText>
            </w:r>
            <w:r>
              <w:fldChar w:fldCharType="separate"/>
            </w:r>
            <w:r>
              <w:t xml:space="preserve">95 </w:t>
            </w:r>
            <w:r>
              <w:fldChar w:fldCharType="end"/>
            </w:r>
          </w:hyperlink>
        </w:p>
        <w:p w:rsidR="005A3F38" w:rsidRDefault="003114B5">
          <w:pPr>
            <w:pStyle w:val="TOC1"/>
            <w:tabs>
              <w:tab w:val="right" w:leader="dot" w:pos="10719"/>
            </w:tabs>
          </w:pPr>
          <w:hyperlink w:anchor="_Toc141928">
            <w:r>
              <w:t>Приложение Г1. Шкала дегидратации СDS (Clinical Dehydration Scale)</w:t>
            </w:r>
            <w:r>
              <w:tab/>
            </w:r>
            <w:r>
              <w:fldChar w:fldCharType="begin"/>
            </w:r>
            <w:r>
              <w:instrText>PAGEREF _Toc141928 \h</w:instrText>
            </w:r>
            <w:r>
              <w:fldChar w:fldCharType="separate"/>
            </w:r>
            <w:r>
              <w:t xml:space="preserve">95 </w:t>
            </w:r>
            <w:r>
              <w:fldChar w:fldCharType="end"/>
            </w:r>
          </w:hyperlink>
        </w:p>
        <w:p w:rsidR="005A3F38" w:rsidRDefault="003114B5">
          <w:pPr>
            <w:pStyle w:val="TOC1"/>
            <w:tabs>
              <w:tab w:val="right" w:leader="dot" w:pos="10719"/>
            </w:tabs>
          </w:pPr>
          <w:hyperlink w:anchor="_Toc141929">
            <w:r>
              <w:t>Приложение Г2. Модифицированная шкала комы Глазго для младенцев</w:t>
            </w:r>
            <w:r>
              <w:t xml:space="preserve"> и детей</w:t>
            </w:r>
            <w:r>
              <w:tab/>
            </w:r>
            <w:r>
              <w:fldChar w:fldCharType="begin"/>
            </w:r>
            <w:r>
              <w:instrText>PAGEREF _Toc141929 \h</w:instrText>
            </w:r>
            <w:r>
              <w:fldChar w:fldCharType="separate"/>
            </w:r>
            <w:r>
              <w:t xml:space="preserve">98 </w:t>
            </w:r>
            <w:r>
              <w:fldChar w:fldCharType="end"/>
            </w:r>
          </w:hyperlink>
        </w:p>
        <w:p w:rsidR="005A3F38" w:rsidRDefault="003114B5">
          <w:r>
            <w:fldChar w:fldCharType="end"/>
          </w:r>
        </w:p>
      </w:sdtContent>
    </w:sdt>
    <w:p w:rsidR="005A3F38" w:rsidRDefault="003114B5">
      <w:pPr>
        <w:spacing w:after="20" w:line="239" w:lineRule="auto"/>
        <w:ind w:left="355" w:hanging="10"/>
      </w:pPr>
      <w:r>
        <w:rPr>
          <w:rFonts w:ascii="Times New Roman" w:eastAsia="Times New Roman" w:hAnsi="Times New Roman" w:cs="Times New Roman"/>
          <w:sz w:val="24"/>
        </w:rPr>
        <w:t xml:space="preserve">Приложение Г3. Оценка PAT (Pediatric Assessment Triangle) ... </w:t>
      </w:r>
      <w:r>
        <w:rPr>
          <w:rFonts w:ascii="Times New Roman" w:eastAsia="Times New Roman" w:hAnsi="Times New Roman" w:cs="Times New Roman"/>
          <w:b/>
          <w:sz w:val="24"/>
        </w:rPr>
        <w:t>Ошибка! Закладка не определена.</w:t>
      </w:r>
      <w:r>
        <w:rPr>
          <w:rFonts w:ascii="Times New Roman" w:eastAsia="Times New Roman" w:hAnsi="Times New Roman" w:cs="Times New Roman"/>
          <w:sz w:val="24"/>
        </w:rPr>
        <w:t xml:space="preserve"> </w:t>
      </w:r>
    </w:p>
    <w:p w:rsidR="005A3F38" w:rsidRDefault="003114B5">
      <w:pPr>
        <w:spacing w:after="6"/>
        <w:ind w:left="360"/>
      </w:pPr>
      <w:r>
        <w:rPr>
          <w:rFonts w:ascii="Times New Roman" w:eastAsia="Times New Roman" w:hAnsi="Times New Roman" w:cs="Times New Roman"/>
          <w:sz w:val="24"/>
        </w:rPr>
        <w:t xml:space="preserve"> </w:t>
      </w:r>
    </w:p>
    <w:p w:rsidR="005A3F38" w:rsidRDefault="003114B5">
      <w:pPr>
        <w:spacing w:after="0"/>
        <w:ind w:left="36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br w:type="page"/>
      </w:r>
    </w:p>
    <w:p w:rsidR="005A3F38" w:rsidRDefault="003114B5">
      <w:pPr>
        <w:spacing w:after="292"/>
        <w:ind w:left="360"/>
      </w:pPr>
      <w:r>
        <w:rPr>
          <w:rFonts w:ascii="Times New Roman" w:eastAsia="Times New Roman" w:hAnsi="Times New Roman" w:cs="Times New Roman"/>
          <w:b/>
          <w:sz w:val="28"/>
        </w:rPr>
        <w:t xml:space="preserve"> </w:t>
      </w:r>
    </w:p>
    <w:p w:rsidR="005A3F38" w:rsidRDefault="003114B5">
      <w:pPr>
        <w:pStyle w:val="Heading1"/>
        <w:ind w:left="370"/>
      </w:pPr>
      <w:bookmarkStart w:id="1" w:name="_Toc141874"/>
      <w:r>
        <w:t xml:space="preserve">Список сокращений </w:t>
      </w:r>
      <w:r>
        <w:t xml:space="preserve"> </w:t>
      </w:r>
      <w:bookmarkEnd w:id="1"/>
    </w:p>
    <w:p w:rsidR="005A3F38" w:rsidRDefault="003114B5">
      <w:pPr>
        <w:spacing w:after="0"/>
        <w:ind w:left="680"/>
      </w:pPr>
      <w:r>
        <w:rPr>
          <w:rFonts w:ascii="Times New Roman" w:eastAsia="Times New Roman" w:hAnsi="Times New Roman" w:cs="Times New Roman"/>
          <w:b/>
          <w:sz w:val="24"/>
        </w:rPr>
        <w:t xml:space="preserve"> </w:t>
      </w:r>
    </w:p>
    <w:p w:rsidR="005A3F38" w:rsidRDefault="003114B5">
      <w:pPr>
        <w:spacing w:after="116"/>
        <w:ind w:left="355" w:right="2" w:hanging="10"/>
        <w:jc w:val="both"/>
      </w:pPr>
      <w:r>
        <w:rPr>
          <w:rFonts w:ascii="Times New Roman" w:eastAsia="Times New Roman" w:hAnsi="Times New Roman" w:cs="Times New Roman"/>
          <w:b/>
          <w:sz w:val="24"/>
        </w:rPr>
        <w:t xml:space="preserve">ВДИ – </w:t>
      </w:r>
      <w:r>
        <w:rPr>
          <w:rFonts w:ascii="Times New Roman" w:eastAsia="Times New Roman" w:hAnsi="Times New Roman" w:cs="Times New Roman"/>
          <w:sz w:val="24"/>
        </w:rPr>
        <w:t xml:space="preserve">врожденные дефекты иммунитета </w:t>
      </w:r>
    </w:p>
    <w:p w:rsidR="005A3F38" w:rsidRDefault="003114B5">
      <w:pPr>
        <w:spacing w:after="114"/>
        <w:ind w:left="355" w:right="2" w:hanging="10"/>
        <w:jc w:val="both"/>
      </w:pPr>
      <w:r>
        <w:rPr>
          <w:rFonts w:ascii="Times New Roman" w:eastAsia="Times New Roman" w:hAnsi="Times New Roman" w:cs="Times New Roman"/>
          <w:b/>
          <w:sz w:val="24"/>
        </w:rPr>
        <w:t xml:space="preserve">ГПЗ - </w:t>
      </w:r>
      <w:r>
        <w:rPr>
          <w:rFonts w:ascii="Times New Roman" w:eastAsia="Times New Roman" w:hAnsi="Times New Roman" w:cs="Times New Roman"/>
          <w:sz w:val="24"/>
        </w:rPr>
        <w:t xml:space="preserve">гриппоподобное заболевание </w:t>
      </w:r>
    </w:p>
    <w:p w:rsidR="005A3F38" w:rsidRDefault="003114B5">
      <w:pPr>
        <w:spacing w:after="115"/>
        <w:ind w:left="355" w:right="2" w:hanging="10"/>
        <w:jc w:val="both"/>
      </w:pPr>
      <w:r>
        <w:rPr>
          <w:rFonts w:ascii="Times New Roman" w:eastAsia="Times New Roman" w:hAnsi="Times New Roman" w:cs="Times New Roman"/>
          <w:b/>
          <w:sz w:val="24"/>
        </w:rPr>
        <w:t xml:space="preserve">ИЛ – </w:t>
      </w:r>
      <w:r>
        <w:rPr>
          <w:rFonts w:ascii="Times New Roman" w:eastAsia="Times New Roman" w:hAnsi="Times New Roman" w:cs="Times New Roman"/>
          <w:sz w:val="24"/>
        </w:rPr>
        <w:t xml:space="preserve">интерлейкин </w:t>
      </w:r>
    </w:p>
    <w:p w:rsidR="005A3F38" w:rsidRDefault="003114B5">
      <w:pPr>
        <w:spacing w:after="113"/>
        <w:ind w:left="355" w:hanging="10"/>
        <w:jc w:val="both"/>
      </w:pPr>
      <w:r>
        <w:rPr>
          <w:rFonts w:ascii="Times New Roman" w:eastAsia="Times New Roman" w:hAnsi="Times New Roman" w:cs="Times New Roman"/>
          <w:b/>
          <w:color w:val="2C2D2E"/>
          <w:sz w:val="24"/>
        </w:rPr>
        <w:t>КОЕ</w:t>
      </w:r>
      <w:r>
        <w:rPr>
          <w:rFonts w:ascii="Times New Roman" w:eastAsia="Times New Roman" w:hAnsi="Times New Roman" w:cs="Times New Roman"/>
          <w:color w:val="2C2D2E"/>
          <w:sz w:val="24"/>
        </w:rPr>
        <w:t xml:space="preserve"> – колониеобразующие единицы</w:t>
      </w:r>
      <w:r>
        <w:rPr>
          <w:rFonts w:ascii="Times New Roman" w:eastAsia="Times New Roman" w:hAnsi="Times New Roman" w:cs="Times New Roman"/>
          <w:sz w:val="24"/>
        </w:rPr>
        <w:t xml:space="preserve"> </w:t>
      </w:r>
    </w:p>
    <w:p w:rsidR="005A3F38" w:rsidRDefault="003114B5">
      <w:pPr>
        <w:spacing w:after="116"/>
        <w:ind w:left="355" w:right="2" w:hanging="10"/>
        <w:jc w:val="both"/>
      </w:pPr>
      <w:r>
        <w:rPr>
          <w:rFonts w:ascii="Times New Roman" w:eastAsia="Times New Roman" w:hAnsi="Times New Roman" w:cs="Times New Roman"/>
          <w:b/>
          <w:sz w:val="24"/>
        </w:rPr>
        <w:t xml:space="preserve">КР </w:t>
      </w:r>
      <w:r>
        <w:rPr>
          <w:rFonts w:ascii="Times New Roman" w:eastAsia="Times New Roman" w:hAnsi="Times New Roman" w:cs="Times New Roman"/>
          <w:sz w:val="24"/>
        </w:rPr>
        <w:t xml:space="preserve">- клинические рекомендации </w:t>
      </w:r>
    </w:p>
    <w:p w:rsidR="005A3F38" w:rsidRDefault="003114B5">
      <w:pPr>
        <w:spacing w:after="113"/>
        <w:ind w:left="355" w:right="2" w:hanging="10"/>
        <w:jc w:val="both"/>
      </w:pPr>
      <w:r>
        <w:rPr>
          <w:rFonts w:ascii="Times New Roman" w:eastAsia="Times New Roman" w:hAnsi="Times New Roman" w:cs="Times New Roman"/>
          <w:b/>
          <w:sz w:val="24"/>
        </w:rPr>
        <w:t xml:space="preserve">МПИ - </w:t>
      </w:r>
      <w:r>
        <w:rPr>
          <w:rFonts w:ascii="Times New Roman" w:eastAsia="Times New Roman" w:hAnsi="Times New Roman" w:cs="Times New Roman"/>
          <w:sz w:val="24"/>
        </w:rPr>
        <w:t>метапневмовирусная инфекция</w:t>
      </w:r>
      <w:r>
        <w:rPr>
          <w:rFonts w:ascii="Times New Roman" w:eastAsia="Times New Roman" w:hAnsi="Times New Roman" w:cs="Times New Roman"/>
          <w:b/>
          <w:sz w:val="24"/>
        </w:rPr>
        <w:t xml:space="preserve"> </w:t>
      </w:r>
    </w:p>
    <w:p w:rsidR="005A3F38" w:rsidRDefault="003114B5">
      <w:pPr>
        <w:spacing w:after="115"/>
        <w:ind w:left="355" w:right="2" w:hanging="10"/>
        <w:jc w:val="both"/>
      </w:pPr>
      <w:r>
        <w:rPr>
          <w:rFonts w:ascii="Times New Roman" w:eastAsia="Times New Roman" w:hAnsi="Times New Roman" w:cs="Times New Roman"/>
          <w:b/>
          <w:sz w:val="24"/>
        </w:rPr>
        <w:t xml:space="preserve">ОРВИ – </w:t>
      </w:r>
      <w:r>
        <w:rPr>
          <w:rFonts w:ascii="Times New Roman" w:eastAsia="Times New Roman" w:hAnsi="Times New Roman" w:cs="Times New Roman"/>
          <w:sz w:val="24"/>
        </w:rPr>
        <w:t xml:space="preserve">острая респираторная вирусная инфекция </w:t>
      </w:r>
    </w:p>
    <w:p w:rsidR="005A3F38" w:rsidRDefault="003114B5">
      <w:pPr>
        <w:spacing w:after="114"/>
        <w:ind w:left="355" w:right="2" w:hanging="10"/>
        <w:jc w:val="both"/>
      </w:pPr>
      <w:r>
        <w:rPr>
          <w:rFonts w:ascii="Times New Roman" w:eastAsia="Times New Roman" w:hAnsi="Times New Roman" w:cs="Times New Roman"/>
          <w:b/>
          <w:sz w:val="24"/>
        </w:rPr>
        <w:t>ОРИ</w:t>
      </w:r>
      <w:r>
        <w:rPr>
          <w:rFonts w:ascii="Times New Roman" w:eastAsia="Times New Roman" w:hAnsi="Times New Roman" w:cs="Times New Roman"/>
          <w:sz w:val="24"/>
        </w:rPr>
        <w:t xml:space="preserve"> – острая респираторная </w:t>
      </w:r>
      <w:r>
        <w:rPr>
          <w:rFonts w:ascii="Times New Roman" w:eastAsia="Times New Roman" w:hAnsi="Times New Roman" w:cs="Times New Roman"/>
          <w:sz w:val="24"/>
        </w:rPr>
        <w:t xml:space="preserve">инфекция </w:t>
      </w:r>
    </w:p>
    <w:p w:rsidR="005A3F38" w:rsidRDefault="003114B5">
      <w:pPr>
        <w:spacing w:after="115"/>
        <w:ind w:left="355" w:right="2" w:hanging="10"/>
        <w:jc w:val="both"/>
      </w:pPr>
      <w:r>
        <w:rPr>
          <w:rFonts w:ascii="Times New Roman" w:eastAsia="Times New Roman" w:hAnsi="Times New Roman" w:cs="Times New Roman"/>
          <w:b/>
          <w:sz w:val="24"/>
        </w:rPr>
        <w:t>ОТ-ПЦР</w:t>
      </w:r>
      <w:r>
        <w:rPr>
          <w:rFonts w:ascii="Times New Roman" w:eastAsia="Times New Roman" w:hAnsi="Times New Roman" w:cs="Times New Roman"/>
          <w:sz w:val="24"/>
        </w:rPr>
        <w:t xml:space="preserve"> - полимеразная цепная реакция с обратной транскрипцией </w:t>
      </w:r>
    </w:p>
    <w:p w:rsidR="005A3F38" w:rsidRDefault="003114B5">
      <w:pPr>
        <w:spacing w:after="114"/>
        <w:ind w:left="355" w:right="2" w:hanging="10"/>
        <w:jc w:val="both"/>
      </w:pPr>
      <w:r>
        <w:rPr>
          <w:rFonts w:ascii="Times New Roman" w:eastAsia="Times New Roman" w:hAnsi="Times New Roman" w:cs="Times New Roman"/>
          <w:b/>
          <w:sz w:val="24"/>
        </w:rPr>
        <w:t xml:space="preserve">ОХЛП </w:t>
      </w:r>
      <w:r>
        <w:rPr>
          <w:rFonts w:ascii="Times New Roman" w:eastAsia="Times New Roman" w:hAnsi="Times New Roman" w:cs="Times New Roman"/>
          <w:sz w:val="24"/>
        </w:rPr>
        <w:t xml:space="preserve">- общая характеристика лекарственного препарата </w:t>
      </w:r>
    </w:p>
    <w:p w:rsidR="005A3F38" w:rsidRDefault="003114B5">
      <w:pPr>
        <w:spacing w:after="115"/>
        <w:ind w:left="355" w:right="2" w:hanging="10"/>
        <w:jc w:val="both"/>
      </w:pPr>
      <w:r>
        <w:rPr>
          <w:rFonts w:ascii="Times New Roman" w:eastAsia="Times New Roman" w:hAnsi="Times New Roman" w:cs="Times New Roman"/>
          <w:b/>
          <w:sz w:val="24"/>
        </w:rPr>
        <w:t xml:space="preserve">РВ – </w:t>
      </w:r>
      <w:r>
        <w:rPr>
          <w:rFonts w:ascii="Times New Roman" w:eastAsia="Times New Roman" w:hAnsi="Times New Roman" w:cs="Times New Roman"/>
          <w:sz w:val="24"/>
        </w:rPr>
        <w:t xml:space="preserve">риновирус </w:t>
      </w:r>
    </w:p>
    <w:p w:rsidR="005A3F38" w:rsidRDefault="003114B5">
      <w:pPr>
        <w:spacing w:after="113"/>
        <w:ind w:left="355" w:right="2" w:hanging="10"/>
        <w:jc w:val="both"/>
      </w:pPr>
      <w:r>
        <w:rPr>
          <w:rFonts w:ascii="Times New Roman" w:eastAsia="Times New Roman" w:hAnsi="Times New Roman" w:cs="Times New Roman"/>
          <w:b/>
          <w:sz w:val="24"/>
        </w:rPr>
        <w:t>РСВИ</w:t>
      </w:r>
      <w:r>
        <w:rPr>
          <w:rFonts w:ascii="Times New Roman" w:eastAsia="Times New Roman" w:hAnsi="Times New Roman" w:cs="Times New Roman"/>
          <w:sz w:val="24"/>
        </w:rPr>
        <w:t xml:space="preserve"> - респираторно-синцитиальная вирусная инфекция </w:t>
      </w:r>
    </w:p>
    <w:p w:rsidR="005A3F38" w:rsidRDefault="003114B5">
      <w:pPr>
        <w:spacing w:after="116"/>
        <w:ind w:left="355" w:right="2" w:hanging="10"/>
        <w:jc w:val="both"/>
      </w:pPr>
      <w:r>
        <w:rPr>
          <w:rFonts w:ascii="Times New Roman" w:eastAsia="Times New Roman" w:hAnsi="Times New Roman" w:cs="Times New Roman"/>
          <w:b/>
          <w:sz w:val="24"/>
        </w:rPr>
        <w:t>ЦНС</w:t>
      </w:r>
      <w:r>
        <w:rPr>
          <w:rFonts w:ascii="Times New Roman" w:eastAsia="Times New Roman" w:hAnsi="Times New Roman" w:cs="Times New Roman"/>
          <w:sz w:val="24"/>
        </w:rPr>
        <w:t xml:space="preserve"> – центральная нервная система </w:t>
      </w:r>
    </w:p>
    <w:p w:rsidR="005A3F38" w:rsidRDefault="003114B5">
      <w:pPr>
        <w:spacing w:after="128" w:line="249" w:lineRule="auto"/>
        <w:ind w:left="355" w:right="11" w:hanging="10"/>
      </w:pPr>
      <w:r>
        <w:rPr>
          <w:rFonts w:ascii="Times New Roman" w:eastAsia="Times New Roman" w:hAnsi="Times New Roman" w:cs="Times New Roman"/>
          <w:b/>
          <w:sz w:val="24"/>
        </w:rPr>
        <w:t>PAT- триаж</w:t>
      </w:r>
      <w:r>
        <w:rPr>
          <w:rFonts w:ascii="Times New Roman" w:eastAsia="Times New Roman" w:hAnsi="Times New Roman" w:cs="Times New Roman"/>
          <w:sz w:val="24"/>
        </w:rPr>
        <w:t xml:space="preserve"> - </w:t>
      </w:r>
      <w:r>
        <w:rPr>
          <w:rFonts w:ascii="Times New Roman" w:eastAsia="Times New Roman" w:hAnsi="Times New Roman" w:cs="Times New Roman"/>
          <w:sz w:val="24"/>
        </w:rPr>
        <w:t xml:space="preserve">Pediatric Assessment Triangle  </w:t>
      </w:r>
    </w:p>
    <w:p w:rsidR="005A3F38" w:rsidRDefault="003114B5">
      <w:pPr>
        <w:spacing w:after="20" w:line="366" w:lineRule="auto"/>
        <w:ind w:left="355" w:hanging="10"/>
      </w:pPr>
      <w:r>
        <w:rPr>
          <w:rFonts w:ascii="Times New Roman" w:eastAsia="Times New Roman" w:hAnsi="Times New Roman" w:cs="Times New Roman"/>
          <w:b/>
          <w:sz w:val="24"/>
        </w:rPr>
        <w:t xml:space="preserve">ABCDE </w:t>
      </w:r>
      <w:r>
        <w:rPr>
          <w:rFonts w:ascii="Times New Roman" w:eastAsia="Times New Roman" w:hAnsi="Times New Roman" w:cs="Times New Roman"/>
          <w:sz w:val="24"/>
        </w:rPr>
        <w:t>- универсальный инструмент первичной оценки критически больных пациентов, включая детей с респираторными инфекциями (А — Airway (Дыхательные пути), B — Breathing (Дыхание), C — Circulation (Кровообращение), D — Disabil</w:t>
      </w:r>
      <w:r>
        <w:rPr>
          <w:rFonts w:ascii="Times New Roman" w:eastAsia="Times New Roman" w:hAnsi="Times New Roman" w:cs="Times New Roman"/>
          <w:sz w:val="24"/>
        </w:rPr>
        <w:t xml:space="preserve">ity, E — Exposure (Осмотр) – измерение температуры тела, осмотр тела на наличие сыпи) </w:t>
      </w:r>
    </w:p>
    <w:p w:rsidR="005A3F38" w:rsidRDefault="003114B5">
      <w:pPr>
        <w:spacing w:after="116"/>
        <w:ind w:left="355" w:right="2" w:hanging="10"/>
        <w:jc w:val="both"/>
      </w:pPr>
      <w:r>
        <w:rPr>
          <w:rFonts w:ascii="Times New Roman" w:eastAsia="Times New Roman" w:hAnsi="Times New Roman" w:cs="Times New Roman"/>
          <w:b/>
          <w:sz w:val="24"/>
        </w:rPr>
        <w:t xml:space="preserve">СDS - </w:t>
      </w:r>
      <w:r>
        <w:rPr>
          <w:rFonts w:ascii="Times New Roman" w:eastAsia="Times New Roman" w:hAnsi="Times New Roman" w:cs="Times New Roman"/>
          <w:sz w:val="24"/>
        </w:rPr>
        <w:t xml:space="preserve">Шкала (Clinical Dehydration Scale - шкала дегидратации) </w:t>
      </w:r>
    </w:p>
    <w:p w:rsidR="005A3F38" w:rsidRDefault="003114B5">
      <w:pPr>
        <w:spacing w:after="113"/>
        <w:ind w:left="355" w:right="2" w:hanging="10"/>
        <w:jc w:val="both"/>
      </w:pPr>
      <w:r>
        <w:rPr>
          <w:rFonts w:ascii="Times New Roman" w:eastAsia="Times New Roman" w:hAnsi="Times New Roman" w:cs="Times New Roman"/>
          <w:b/>
          <w:sz w:val="24"/>
        </w:rPr>
        <w:t xml:space="preserve">HPIV - </w:t>
      </w:r>
      <w:r>
        <w:rPr>
          <w:rFonts w:ascii="Times New Roman" w:eastAsia="Times New Roman" w:hAnsi="Times New Roman" w:cs="Times New Roman"/>
          <w:sz w:val="24"/>
        </w:rPr>
        <w:t xml:space="preserve">вирус парагриппа человека </w:t>
      </w:r>
    </w:p>
    <w:p w:rsidR="005A3F38" w:rsidRDefault="003114B5">
      <w:pPr>
        <w:spacing w:after="115"/>
        <w:ind w:left="355" w:right="2" w:hanging="10"/>
        <w:jc w:val="both"/>
      </w:pPr>
      <w:r>
        <w:rPr>
          <w:rFonts w:ascii="Times New Roman" w:eastAsia="Times New Roman" w:hAnsi="Times New Roman" w:cs="Times New Roman"/>
          <w:b/>
          <w:sz w:val="24"/>
        </w:rPr>
        <w:t>HBoV</w:t>
      </w:r>
      <w:r>
        <w:rPr>
          <w:rFonts w:ascii="Times New Roman" w:eastAsia="Times New Roman" w:hAnsi="Times New Roman" w:cs="Times New Roman"/>
          <w:sz w:val="24"/>
        </w:rPr>
        <w:t xml:space="preserve"> - бокавирус человека </w:t>
      </w:r>
    </w:p>
    <w:p w:rsidR="005A3F38" w:rsidRDefault="003114B5">
      <w:pPr>
        <w:spacing w:after="112"/>
        <w:ind w:left="355" w:right="2" w:hanging="10"/>
        <w:jc w:val="both"/>
      </w:pPr>
      <w:r>
        <w:rPr>
          <w:rFonts w:ascii="Times New Roman" w:eastAsia="Times New Roman" w:hAnsi="Times New Roman" w:cs="Times New Roman"/>
          <w:b/>
          <w:sz w:val="24"/>
        </w:rPr>
        <w:t xml:space="preserve">PEWS </w:t>
      </w:r>
      <w:r>
        <w:rPr>
          <w:rFonts w:ascii="Times New Roman" w:eastAsia="Times New Roman" w:hAnsi="Times New Roman" w:cs="Times New Roman"/>
          <w:sz w:val="24"/>
        </w:rPr>
        <w:t xml:space="preserve">- Шкала (Paediatric Early Warning Score </w:t>
      </w:r>
      <w:r>
        <w:rPr>
          <w:rFonts w:ascii="Times New Roman" w:eastAsia="Times New Roman" w:hAnsi="Times New Roman" w:cs="Times New Roman"/>
          <w:sz w:val="24"/>
        </w:rPr>
        <w:t xml:space="preserve">- Педиатрическая шкала раннего предупреждения) </w:t>
      </w:r>
    </w:p>
    <w:p w:rsidR="005A3F38" w:rsidRDefault="003114B5">
      <w:pPr>
        <w:spacing w:after="115"/>
        <w:ind w:left="360"/>
      </w:pPr>
      <w:r>
        <w:rPr>
          <w:rFonts w:ascii="Times New Roman" w:eastAsia="Times New Roman" w:hAnsi="Times New Roman" w:cs="Times New Roman"/>
          <w:sz w:val="24"/>
        </w:rPr>
        <w:t xml:space="preserve"> </w:t>
      </w:r>
    </w:p>
    <w:p w:rsidR="005A3F38" w:rsidRDefault="003114B5">
      <w:pPr>
        <w:spacing w:after="53"/>
        <w:ind w:left="734"/>
        <w:jc w:val="center"/>
      </w:pPr>
      <w:r>
        <w:rPr>
          <w:rFonts w:ascii="Times New Roman" w:eastAsia="Times New Roman" w:hAnsi="Times New Roman" w:cs="Times New Roman"/>
          <w:b/>
          <w:sz w:val="24"/>
        </w:rPr>
        <w:t xml:space="preserve"> </w:t>
      </w:r>
    </w:p>
    <w:p w:rsidR="005A3F38" w:rsidRDefault="003114B5">
      <w:pPr>
        <w:spacing w:after="0"/>
        <w:ind w:left="36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5A3F38" w:rsidRDefault="003114B5">
      <w:pPr>
        <w:spacing w:after="216" w:line="248" w:lineRule="auto"/>
        <w:ind w:left="370" w:hanging="10"/>
        <w:jc w:val="both"/>
      </w:pPr>
      <w:r>
        <w:rPr>
          <w:rFonts w:ascii="Times New Roman" w:eastAsia="Times New Roman" w:hAnsi="Times New Roman" w:cs="Times New Roman"/>
          <w:b/>
          <w:sz w:val="28"/>
        </w:rPr>
        <w:t xml:space="preserve">Термины и определения </w:t>
      </w:r>
    </w:p>
    <w:p w:rsidR="005A3F38" w:rsidRDefault="003114B5">
      <w:pPr>
        <w:spacing w:after="230" w:line="366" w:lineRule="auto"/>
        <w:ind w:left="355" w:hanging="10"/>
      </w:pPr>
      <w:r>
        <w:rPr>
          <w:rFonts w:ascii="Times New Roman" w:eastAsia="Times New Roman" w:hAnsi="Times New Roman" w:cs="Times New Roman"/>
          <w:sz w:val="24"/>
        </w:rPr>
        <w:t xml:space="preserve">Понятие </w:t>
      </w:r>
      <w:r>
        <w:rPr>
          <w:rFonts w:ascii="Times New Roman" w:eastAsia="Times New Roman" w:hAnsi="Times New Roman" w:cs="Times New Roman"/>
          <w:sz w:val="24"/>
        </w:rPr>
        <w:tab/>
        <w:t xml:space="preserve">«острая </w:t>
      </w:r>
      <w:r>
        <w:rPr>
          <w:rFonts w:ascii="Times New Roman" w:eastAsia="Times New Roman" w:hAnsi="Times New Roman" w:cs="Times New Roman"/>
          <w:sz w:val="24"/>
        </w:rPr>
        <w:tab/>
        <w:t xml:space="preserve">респираторная </w:t>
      </w:r>
      <w:r>
        <w:rPr>
          <w:rFonts w:ascii="Times New Roman" w:eastAsia="Times New Roman" w:hAnsi="Times New Roman" w:cs="Times New Roman"/>
          <w:sz w:val="24"/>
        </w:rPr>
        <w:tab/>
        <w:t xml:space="preserve">вирусная </w:t>
      </w:r>
      <w:r>
        <w:rPr>
          <w:rFonts w:ascii="Times New Roman" w:eastAsia="Times New Roman" w:hAnsi="Times New Roman" w:cs="Times New Roman"/>
          <w:sz w:val="24"/>
        </w:rPr>
        <w:tab/>
        <w:t xml:space="preserve">инфекция </w:t>
      </w:r>
      <w:r>
        <w:rPr>
          <w:rFonts w:ascii="Times New Roman" w:eastAsia="Times New Roman" w:hAnsi="Times New Roman" w:cs="Times New Roman"/>
          <w:sz w:val="24"/>
        </w:rPr>
        <w:tab/>
        <w:t xml:space="preserve">(ОРВИ)»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суммирует </w:t>
      </w:r>
      <w:r>
        <w:rPr>
          <w:rFonts w:ascii="Times New Roman" w:eastAsia="Times New Roman" w:hAnsi="Times New Roman" w:cs="Times New Roman"/>
          <w:sz w:val="24"/>
        </w:rPr>
        <w:tab/>
        <w:t xml:space="preserve">следующие нозологические формы: острый ринофарингит, острый трахеит, </w:t>
      </w:r>
      <w:r>
        <w:rPr>
          <w:rFonts w:ascii="Times New Roman" w:eastAsia="Times New Roman" w:hAnsi="Times New Roman" w:cs="Times New Roman"/>
          <w:sz w:val="24"/>
        </w:rPr>
        <w:t xml:space="preserve">острая инфекция верхних дыхательных путей неуточненная.  </w:t>
      </w:r>
    </w:p>
    <w:p w:rsidR="005A3F38" w:rsidRDefault="003114B5">
      <w:pPr>
        <w:spacing w:after="47" w:line="364" w:lineRule="auto"/>
        <w:ind w:left="355" w:right="2" w:hanging="10"/>
        <w:jc w:val="both"/>
      </w:pPr>
      <w:r>
        <w:rPr>
          <w:rFonts w:ascii="Times New Roman" w:eastAsia="Times New Roman" w:hAnsi="Times New Roman" w:cs="Times New Roman"/>
          <w:sz w:val="24"/>
        </w:rPr>
        <w:t xml:space="preserve">Новые и узконаправленные профессиональные термины в настоящих клинических рекомендациях не используются </w:t>
      </w:r>
    </w:p>
    <w:p w:rsidR="005A3F38" w:rsidRDefault="003114B5">
      <w:pPr>
        <w:spacing w:after="0"/>
        <w:ind w:left="36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8"/>
        </w:rPr>
        <w:t xml:space="preserve"> </w:t>
      </w:r>
      <w:r>
        <w:br w:type="page"/>
      </w:r>
    </w:p>
    <w:p w:rsidR="005A3F38" w:rsidRDefault="003114B5">
      <w:pPr>
        <w:pStyle w:val="Heading1"/>
        <w:spacing w:after="109" w:line="265" w:lineRule="auto"/>
        <w:ind w:left="370"/>
      </w:pPr>
      <w:bookmarkStart w:id="2" w:name="_Toc141875"/>
      <w:r>
        <w:rPr>
          <w:sz w:val="24"/>
          <w:u w:val="single" w:color="000000"/>
        </w:rPr>
        <w:t>1. Краткая информация</w:t>
      </w:r>
      <w:r>
        <w:rPr>
          <w:sz w:val="24"/>
          <w:u w:val="single" w:color="000000"/>
        </w:rPr>
        <w:t xml:space="preserve"> </w:t>
      </w:r>
      <w:r>
        <w:rPr>
          <w:sz w:val="24"/>
          <w:u w:val="single" w:color="000000"/>
        </w:rPr>
        <w:t>по заболеванию или состоянию (группе заболеваний или</w:t>
      </w:r>
      <w:r>
        <w:rPr>
          <w:sz w:val="24"/>
        </w:rPr>
        <w:t xml:space="preserve"> </w:t>
      </w:r>
      <w:r>
        <w:rPr>
          <w:sz w:val="24"/>
          <w:u w:val="single" w:color="000000"/>
        </w:rPr>
        <w:t>состояний)</w:t>
      </w:r>
      <w:r>
        <w:rPr>
          <w:sz w:val="24"/>
        </w:rPr>
        <w:t xml:space="preserve"> </w:t>
      </w:r>
      <w:bookmarkEnd w:id="2"/>
    </w:p>
    <w:p w:rsidR="005A3F38" w:rsidRDefault="003114B5">
      <w:pPr>
        <w:pStyle w:val="Heading2"/>
        <w:ind w:left="1063"/>
      </w:pPr>
      <w:bookmarkStart w:id="3" w:name="_Toc141876"/>
      <w:r>
        <w:t>1</w:t>
      </w:r>
      <w:r>
        <w:t>.1 Определение</w:t>
      </w:r>
      <w:r>
        <w:t xml:space="preserve"> </w:t>
      </w:r>
      <w:r>
        <w:t>заболевания или состояния (группы заболеваний или состояний)</w:t>
      </w:r>
      <w:r>
        <w:rPr>
          <w:u w:val="none"/>
        </w:rPr>
        <w:t xml:space="preserve"> </w:t>
      </w:r>
      <w:bookmarkEnd w:id="3"/>
    </w:p>
    <w:p w:rsidR="005A3F38" w:rsidRDefault="003114B5">
      <w:pPr>
        <w:spacing w:after="5" w:line="364" w:lineRule="auto"/>
        <w:ind w:left="345" w:right="2" w:firstLine="708"/>
        <w:jc w:val="both"/>
      </w:pPr>
      <w:r>
        <w:rPr>
          <w:rFonts w:ascii="Times New Roman" w:eastAsia="Times New Roman" w:hAnsi="Times New Roman" w:cs="Times New Roman"/>
          <w:b/>
          <w:sz w:val="24"/>
        </w:rPr>
        <w:t>Острая респираторная вирусная инфекция (ОРВИ)</w:t>
      </w:r>
      <w:r>
        <w:rPr>
          <w:rFonts w:ascii="Times New Roman" w:eastAsia="Times New Roman" w:hAnsi="Times New Roman" w:cs="Times New Roman"/>
          <w:sz w:val="24"/>
        </w:rPr>
        <w:t xml:space="preserve"> – это наиболее частая острая инфекция дыхательных путей, которая проявляется в виде их катарального воспаления и сопровождается лихор</w:t>
      </w:r>
      <w:r>
        <w:rPr>
          <w:rFonts w:ascii="Times New Roman" w:eastAsia="Times New Roman" w:hAnsi="Times New Roman" w:cs="Times New Roman"/>
          <w:sz w:val="24"/>
        </w:rPr>
        <w:t xml:space="preserve">адкой, ринитом, чиханием, кашлем, болью в горле, осиплостью/охриплостью голоса, нарушением общего состояния разной выраженности и в большинстве случаев проходит самостоятельно (т.е. не требует специфического лечения). </w:t>
      </w:r>
    </w:p>
    <w:p w:rsidR="005A3F38" w:rsidRDefault="003114B5">
      <w:pPr>
        <w:spacing w:after="117"/>
        <w:ind w:left="1068"/>
      </w:pPr>
      <w:r>
        <w:rPr>
          <w:rFonts w:ascii="Times New Roman" w:eastAsia="Times New Roman" w:hAnsi="Times New Roman" w:cs="Times New Roman"/>
          <w:sz w:val="24"/>
        </w:rPr>
        <w:t xml:space="preserve"> </w:t>
      </w:r>
    </w:p>
    <w:p w:rsidR="005A3F38" w:rsidRDefault="003114B5">
      <w:pPr>
        <w:spacing w:after="5" w:line="364" w:lineRule="auto"/>
        <w:ind w:left="345" w:right="2" w:firstLine="317"/>
        <w:jc w:val="both"/>
      </w:pPr>
      <w:r>
        <w:rPr>
          <w:rFonts w:ascii="Times New Roman" w:eastAsia="Times New Roman" w:hAnsi="Times New Roman" w:cs="Times New Roman"/>
          <w:sz w:val="24"/>
        </w:rPr>
        <w:t xml:space="preserve">– </w:t>
      </w:r>
      <w:r>
        <w:rPr>
          <w:rFonts w:ascii="Times New Roman" w:eastAsia="Times New Roman" w:hAnsi="Times New Roman" w:cs="Times New Roman"/>
          <w:b/>
          <w:sz w:val="24"/>
        </w:rPr>
        <w:t>Острая респираторная инфекция (ОР</w:t>
      </w:r>
      <w:r>
        <w:rPr>
          <w:rFonts w:ascii="Times New Roman" w:eastAsia="Times New Roman" w:hAnsi="Times New Roman" w:cs="Times New Roman"/>
          <w:b/>
          <w:sz w:val="24"/>
        </w:rPr>
        <w:t>И)</w:t>
      </w:r>
      <w:r>
        <w:rPr>
          <w:rFonts w:ascii="Times New Roman" w:eastAsia="Times New Roman" w:hAnsi="Times New Roman" w:cs="Times New Roman"/>
          <w:sz w:val="24"/>
        </w:rPr>
        <w:t xml:space="preserve"> без установленной этиологии: вирусная и/или бактериальная (ранее – острое респираторное заболевание (ОРЗ). </w:t>
      </w:r>
    </w:p>
    <w:p w:rsidR="005A3F38" w:rsidRDefault="003114B5">
      <w:pPr>
        <w:spacing w:after="5" w:line="364" w:lineRule="auto"/>
        <w:ind w:left="345" w:right="2" w:firstLine="317"/>
        <w:jc w:val="both"/>
      </w:pPr>
      <w:r>
        <w:rPr>
          <w:rFonts w:ascii="Times New Roman" w:eastAsia="Times New Roman" w:hAnsi="Times New Roman" w:cs="Times New Roman"/>
          <w:sz w:val="24"/>
        </w:rPr>
        <w:t xml:space="preserve"> Понятие «острая респираторная вирусная инфекция (ОРВИ)» используется при следующих нозологических формах: острый ринофарингит, острый фарингит, </w:t>
      </w:r>
      <w:r>
        <w:rPr>
          <w:rFonts w:ascii="Times New Roman" w:eastAsia="Times New Roman" w:hAnsi="Times New Roman" w:cs="Times New Roman"/>
          <w:sz w:val="24"/>
        </w:rPr>
        <w:t xml:space="preserve">острый трахеит, острая инфекция верхних дыхательных путей неуточненная. </w:t>
      </w:r>
    </w:p>
    <w:p w:rsidR="005A3F38" w:rsidRDefault="003114B5">
      <w:pPr>
        <w:pStyle w:val="Heading2"/>
        <w:ind w:left="370"/>
      </w:pPr>
      <w:bookmarkStart w:id="4" w:name="_Toc141877"/>
      <w:r>
        <w:t>1.2 Этиология и патогенез</w:t>
      </w:r>
      <w:r>
        <w:rPr>
          <w:b w:val="0"/>
          <w:sz w:val="20"/>
          <w:u w:val="none"/>
        </w:rPr>
        <w:t xml:space="preserve"> </w:t>
      </w:r>
      <w:r>
        <w:t>заболевания или состояния (группы заболеваний или</w:t>
      </w:r>
      <w:r>
        <w:rPr>
          <w:u w:val="none"/>
        </w:rPr>
        <w:t xml:space="preserve"> </w:t>
      </w:r>
      <w:r>
        <w:t>состояний)</w:t>
      </w:r>
      <w:r>
        <w:rPr>
          <w:u w:val="none"/>
        </w:rPr>
        <w:t xml:space="preserve"> </w:t>
      </w:r>
      <w:r>
        <w:rPr>
          <w:u w:val="none"/>
        </w:rPr>
        <w:t xml:space="preserve"> </w:t>
      </w:r>
      <w:bookmarkEnd w:id="4"/>
    </w:p>
    <w:p w:rsidR="005A3F38" w:rsidRDefault="003114B5">
      <w:pPr>
        <w:spacing w:after="115"/>
        <w:ind w:left="1078" w:hanging="10"/>
        <w:jc w:val="both"/>
      </w:pPr>
      <w:r>
        <w:rPr>
          <w:rFonts w:ascii="Times New Roman" w:eastAsia="Times New Roman" w:hAnsi="Times New Roman" w:cs="Times New Roman"/>
          <w:i/>
          <w:sz w:val="24"/>
        </w:rPr>
        <w:t xml:space="preserve">Возбудителями ОРИ являются преимущественно вирусы.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Сезонный комплекс возбудителей ОРВИ </w:t>
      </w:r>
      <w:r>
        <w:rPr>
          <w:rFonts w:ascii="Times New Roman" w:eastAsia="Times New Roman" w:hAnsi="Times New Roman" w:cs="Times New Roman"/>
          <w:i/>
          <w:sz w:val="24"/>
        </w:rPr>
        <w:t>включает десятки одновременно циркулирующих вирусов (&gt;200 генетических групп из 10 родов и 7 семейств), однако клиническая картина ОРВИ практически не зависит от этиологии (Приложения А3.2), а формулировка диагноза должна, в первую очередь, отражать нозоло</w:t>
      </w:r>
      <w:r>
        <w:rPr>
          <w:rFonts w:ascii="Times New Roman" w:eastAsia="Times New Roman" w:hAnsi="Times New Roman" w:cs="Times New Roman"/>
          <w:i/>
          <w:sz w:val="24"/>
        </w:rPr>
        <w:t xml:space="preserve">гическую форму (Приложение А3.3). </w:t>
      </w:r>
    </w:p>
    <w:p w:rsidR="005A3F38" w:rsidRDefault="003114B5">
      <w:pPr>
        <w:spacing w:after="112"/>
        <w:ind w:left="1068"/>
      </w:pPr>
      <w:r>
        <w:rPr>
          <w:rFonts w:ascii="Times New Roman" w:eastAsia="Times New Roman" w:hAnsi="Times New Roman" w:cs="Times New Roman"/>
          <w:i/>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sz w:val="24"/>
        </w:rPr>
        <w:t>Спектр возбудителей ОРВИ, ежегодно вызывающих эпидемии в мире в осенне-зимний период, составляют представители пяти семейств РНК-содержащих вирусов (ортомиксовирусы, парамиксовирусы, коронавирусы, пневмовирусы и пикрона</w:t>
      </w:r>
      <w:r>
        <w:rPr>
          <w:rFonts w:ascii="Times New Roman" w:eastAsia="Times New Roman" w:hAnsi="Times New Roman" w:cs="Times New Roman"/>
          <w:sz w:val="24"/>
        </w:rPr>
        <w:t>вирусы) и двух семейств ДНКсодержащих вирусов (парвовирусы и аденовирусы). Ортомиксовирусы включают вирусы гриппа (Influenza A и В virus). К парамиксовирусам относят вирусы парагриппа человека (HPIV 1-4), а также вирус кори и эпидемического паротита. Корон</w:t>
      </w:r>
      <w:r>
        <w:rPr>
          <w:rFonts w:ascii="Times New Roman" w:eastAsia="Times New Roman" w:hAnsi="Times New Roman" w:cs="Times New Roman"/>
          <w:sz w:val="24"/>
        </w:rPr>
        <w:t>авирусы представлены сезонными вирусами (HCoVOC 43, HCoV-HKU 1, HCoV-229E и HCoV-NL63) и SARS-CoV-2. Метапневмовирус человека (MPV) и респираторно-синцитиальный вирус человека (RSV), ранее относившиеся к парамиксовирусам, в настоящее время классифицируют в</w:t>
      </w:r>
      <w:r>
        <w:rPr>
          <w:rFonts w:ascii="Times New Roman" w:eastAsia="Times New Roman" w:hAnsi="Times New Roman" w:cs="Times New Roman"/>
          <w:sz w:val="24"/>
        </w:rPr>
        <w:t xml:space="preserve"> отдельном семействе пневмовирусов. Наиболее разнообразны респираторные вирусы из семейства пикорнавирусов, в которое входят риновирусы человека (более 150 серотипов) и энтеровирусы, включая множественные серотипы вирусов Коксаки и эховирусов. Среди парвов</w:t>
      </w:r>
      <w:r>
        <w:rPr>
          <w:rFonts w:ascii="Times New Roman" w:eastAsia="Times New Roman" w:hAnsi="Times New Roman" w:cs="Times New Roman"/>
          <w:sz w:val="24"/>
        </w:rPr>
        <w:t>ирусов клиническое значение имеют бокавирус человека (HBoV) и парвовирус В19 (возбудитель инфекционной эритемы). Аденовирусы подразделяют на 7 подгрупп (A, B, C и т.д.) и более 80 серотипов [1]. Видовое и серотиповое разнообразие респираторных вирусов подр</w:t>
      </w:r>
      <w:r>
        <w:rPr>
          <w:rFonts w:ascii="Times New Roman" w:eastAsia="Times New Roman" w:hAnsi="Times New Roman" w:cs="Times New Roman"/>
          <w:sz w:val="24"/>
        </w:rPr>
        <w:t>азумевает их иммунологическое разнообразие, поэтому «наивная» иммунная система ребенка воспринимает серовариант вируса как новый возбудитель, и заражение сопровождается симптомами ОРИ. В результате естественного контакта с множеством иммунологически разноо</w:t>
      </w:r>
      <w:r>
        <w:rPr>
          <w:rFonts w:ascii="Times New Roman" w:eastAsia="Times New Roman" w:hAnsi="Times New Roman" w:cs="Times New Roman"/>
          <w:sz w:val="24"/>
        </w:rPr>
        <w:t xml:space="preserve">бразных вирусов и формирования перекрестного иммунитета с возрастом частота ОРВИ уменьшается. </w:t>
      </w:r>
    </w:p>
    <w:p w:rsidR="005A3F38" w:rsidRDefault="003114B5">
      <w:pPr>
        <w:spacing w:after="5" w:line="364" w:lineRule="auto"/>
        <w:ind w:left="345" w:right="2" w:firstLine="319"/>
        <w:jc w:val="both"/>
      </w:pPr>
      <w:r>
        <w:rPr>
          <w:rFonts w:ascii="Times New Roman" w:eastAsia="Times New Roman" w:hAnsi="Times New Roman" w:cs="Times New Roman"/>
          <w:sz w:val="24"/>
        </w:rPr>
        <w:t xml:space="preserve">Циркуляция вируса SARS-CoV-2 осложнила идентификацию этиологии сезонных эпидемических вспышек с респираторным заражением. </w:t>
      </w:r>
    </w:p>
    <w:p w:rsidR="005A3F38" w:rsidRDefault="003114B5">
      <w:pPr>
        <w:spacing w:after="5" w:line="364" w:lineRule="auto"/>
        <w:ind w:left="345" w:right="2" w:firstLine="319"/>
        <w:jc w:val="both"/>
      </w:pPr>
      <w:r>
        <w:rPr>
          <w:rFonts w:ascii="Times New Roman" w:eastAsia="Times New Roman" w:hAnsi="Times New Roman" w:cs="Times New Roman"/>
          <w:sz w:val="24"/>
        </w:rPr>
        <w:t>Высокая заболеваемость ОРВИ после панд</w:t>
      </w:r>
      <w:r>
        <w:rPr>
          <w:rFonts w:ascii="Times New Roman" w:eastAsia="Times New Roman" w:hAnsi="Times New Roman" w:cs="Times New Roman"/>
          <w:sz w:val="24"/>
        </w:rPr>
        <w:t xml:space="preserve">емии COVID-19 на фоне снижения частоты выделения РНК SARS-CoV-2 свидетельствует об увеличении актуальности в популяции людей традиционных сезонных (всесезонных) возбудителей ОРВИ [2]. </w:t>
      </w:r>
    </w:p>
    <w:p w:rsidR="005A3F38" w:rsidRDefault="003114B5">
      <w:pPr>
        <w:spacing w:after="5" w:line="364" w:lineRule="auto"/>
        <w:ind w:left="345" w:right="2" w:firstLine="708"/>
        <w:jc w:val="both"/>
      </w:pPr>
      <w:r>
        <w:rPr>
          <w:rFonts w:ascii="Times New Roman" w:eastAsia="Times New Roman" w:hAnsi="Times New Roman" w:cs="Times New Roman"/>
          <w:sz w:val="24"/>
        </w:rPr>
        <w:t>Вирусы распространяются чаще всего путем самоинокуляции на слизистую об</w:t>
      </w:r>
      <w:r>
        <w:rPr>
          <w:rFonts w:ascii="Times New Roman" w:eastAsia="Times New Roman" w:hAnsi="Times New Roman" w:cs="Times New Roman"/>
          <w:sz w:val="24"/>
        </w:rPr>
        <w:t xml:space="preserve">олочку носа или конъюнктиву с рук, загрязненных при контакте с заболевшим (например, через рукопожатие) или зараженными поверхностями.  </w:t>
      </w:r>
    </w:p>
    <w:p w:rsidR="005A3F38" w:rsidRDefault="003114B5">
      <w:pPr>
        <w:spacing w:after="5" w:line="364" w:lineRule="auto"/>
        <w:ind w:left="345" w:right="2" w:firstLine="708"/>
        <w:jc w:val="both"/>
      </w:pPr>
      <w:r>
        <w:rPr>
          <w:rFonts w:ascii="Times New Roman" w:eastAsia="Times New Roman" w:hAnsi="Times New Roman" w:cs="Times New Roman"/>
          <w:sz w:val="24"/>
        </w:rPr>
        <w:t>Воздушно-капельный путь заражения реализуется при вдыхании частичек аэрозоля, содержащего вирус, или при попадании боле</w:t>
      </w:r>
      <w:r>
        <w:rPr>
          <w:rFonts w:ascii="Times New Roman" w:eastAsia="Times New Roman" w:hAnsi="Times New Roman" w:cs="Times New Roman"/>
          <w:sz w:val="24"/>
        </w:rPr>
        <w:t xml:space="preserve">е крупных капель на слизистые оболочки при тесном контакте с заболевшим. </w:t>
      </w:r>
    </w:p>
    <w:p w:rsidR="005A3F38" w:rsidRDefault="003114B5">
      <w:pPr>
        <w:spacing w:after="5" w:line="364" w:lineRule="auto"/>
        <w:ind w:left="345" w:right="2" w:firstLine="708"/>
        <w:jc w:val="both"/>
      </w:pPr>
      <w:r>
        <w:rPr>
          <w:rFonts w:ascii="Times New Roman" w:eastAsia="Times New Roman" w:hAnsi="Times New Roman" w:cs="Times New Roman"/>
          <w:sz w:val="24"/>
        </w:rPr>
        <w:t>Инкубационный период большинства вирусных инфекций составляет от 2 до 7 дней. Пик вирусовыделения у пациента приходится на 3 сутки после заражения с последующим быстрым снижением к 5</w:t>
      </w:r>
      <w:r>
        <w:rPr>
          <w:rFonts w:ascii="Times New Roman" w:eastAsia="Times New Roman" w:hAnsi="Times New Roman" w:cs="Times New Roman"/>
          <w:sz w:val="24"/>
        </w:rPr>
        <w:t xml:space="preserve"> дню; неинтенсивное выделение вируса может сохраняться до 2-х недель.  </w:t>
      </w:r>
    </w:p>
    <w:p w:rsidR="005A3F38" w:rsidRDefault="003114B5">
      <w:pPr>
        <w:spacing w:after="5" w:line="364" w:lineRule="auto"/>
        <w:ind w:left="345" w:right="2" w:firstLine="708"/>
        <w:jc w:val="both"/>
      </w:pPr>
      <w:r>
        <w:rPr>
          <w:rFonts w:ascii="Times New Roman" w:eastAsia="Times New Roman" w:hAnsi="Times New Roman" w:cs="Times New Roman"/>
          <w:sz w:val="24"/>
        </w:rPr>
        <w:t>Симптомы ОРВИ являются результатом не столько повреждающего влияния вируса, сколько реакции иммунной системы. Пораженные клетки эпителия выделяют цитокины, в т.ч. интерлейкин 8 (ИЛ 8),</w:t>
      </w:r>
      <w:r>
        <w:rPr>
          <w:rFonts w:ascii="Times New Roman" w:eastAsia="Times New Roman" w:hAnsi="Times New Roman" w:cs="Times New Roman"/>
          <w:sz w:val="24"/>
        </w:rPr>
        <w:t xml:space="preserve"> количество которого коррелирует как со степенью привлечения фагоцитов в подслизистый слой и эпителий, так и с выраженностью симптомов. Увеличение назальной секреции связано с повышением проницаемости сосудов и может сопровождаться многократным ростом числ</w:t>
      </w:r>
      <w:r>
        <w:rPr>
          <w:rFonts w:ascii="Times New Roman" w:eastAsia="Times New Roman" w:hAnsi="Times New Roman" w:cs="Times New Roman"/>
          <w:sz w:val="24"/>
        </w:rPr>
        <w:t xml:space="preserve">а лейкоцитов в назальном секрете, меняя его цвет с прозрачного на бело-желтый или зеленоватый, в связи с чем считать изменение цвета назальной слизи признаком бактериальной инфекции безосновательно [3].  </w:t>
      </w:r>
    </w:p>
    <w:p w:rsidR="005A3F38" w:rsidRDefault="003114B5">
      <w:pPr>
        <w:spacing w:after="5" w:line="364" w:lineRule="auto"/>
        <w:ind w:left="345" w:right="2" w:firstLine="708"/>
        <w:jc w:val="both"/>
      </w:pPr>
      <w:r>
        <w:rPr>
          <w:rFonts w:ascii="Times New Roman" w:eastAsia="Times New Roman" w:hAnsi="Times New Roman" w:cs="Times New Roman"/>
          <w:sz w:val="24"/>
        </w:rPr>
        <w:t>Установка на то, что при любой вирусной инфекции ак</w:t>
      </w:r>
      <w:r>
        <w:rPr>
          <w:rFonts w:ascii="Times New Roman" w:eastAsia="Times New Roman" w:hAnsi="Times New Roman" w:cs="Times New Roman"/>
          <w:sz w:val="24"/>
        </w:rPr>
        <w:t>тивируется бактериальная флора (так называемая «вирусно-бактериальная этиология</w:t>
      </w: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ОРИ») на основании, например, наличия у пациента лейкоцитоза) не подтверждается практикой. Бактериальные осложнения ОРВИ возникают относительно редко.  </w:t>
      </w:r>
    </w:p>
    <w:p w:rsidR="005A3F38" w:rsidRDefault="003114B5">
      <w:pPr>
        <w:spacing w:after="0"/>
        <w:ind w:left="360"/>
      </w:pPr>
      <w:r>
        <w:rPr>
          <w:rFonts w:ascii="Times New Roman" w:eastAsia="Times New Roman" w:hAnsi="Times New Roman" w:cs="Times New Roman"/>
          <w:sz w:val="23"/>
        </w:rPr>
        <w:t xml:space="preserve"> </w:t>
      </w:r>
    </w:p>
    <w:p w:rsidR="005A3F38" w:rsidRDefault="003114B5">
      <w:pPr>
        <w:spacing w:after="127" w:line="249" w:lineRule="auto"/>
        <w:ind w:left="1078" w:hanging="10"/>
      </w:pPr>
      <w:r>
        <w:rPr>
          <w:rFonts w:ascii="Times New Roman" w:eastAsia="Times New Roman" w:hAnsi="Times New Roman" w:cs="Times New Roman"/>
          <w:b/>
          <w:sz w:val="24"/>
        </w:rPr>
        <w:t>Особенности инфекцион</w:t>
      </w:r>
      <w:r>
        <w:rPr>
          <w:rFonts w:ascii="Times New Roman" w:eastAsia="Times New Roman" w:hAnsi="Times New Roman" w:cs="Times New Roman"/>
          <w:b/>
          <w:sz w:val="24"/>
        </w:rPr>
        <w:t xml:space="preserve">ного процесса в зависимости от вида возбудителя. </w:t>
      </w:r>
    </w:p>
    <w:p w:rsidR="005A3F38" w:rsidRDefault="003114B5">
      <w:pPr>
        <w:spacing w:after="4" w:line="357" w:lineRule="auto"/>
        <w:ind w:left="345" w:right="-7" w:firstLine="698"/>
        <w:jc w:val="both"/>
      </w:pPr>
      <w:r>
        <w:rPr>
          <w:rFonts w:ascii="Times New Roman" w:eastAsia="Times New Roman" w:hAnsi="Times New Roman" w:cs="Times New Roman"/>
          <w:b/>
          <w:sz w:val="24"/>
        </w:rPr>
        <w:t xml:space="preserve">Риновирусная (РВ) инфекция: </w:t>
      </w:r>
      <w:r>
        <w:rPr>
          <w:rFonts w:ascii="Times New Roman" w:eastAsia="Times New Roman" w:hAnsi="Times New Roman" w:cs="Times New Roman"/>
          <w:color w:val="333333"/>
          <w:sz w:val="24"/>
        </w:rPr>
        <w:t xml:space="preserve">в структуре ОРВИ составляет 25-40%, возбудители - РНКвирусы рода </w:t>
      </w:r>
      <w:r>
        <w:rPr>
          <w:rFonts w:ascii="Times New Roman" w:eastAsia="Times New Roman" w:hAnsi="Times New Roman" w:cs="Times New Roman"/>
          <w:i/>
          <w:color w:val="333333"/>
          <w:sz w:val="24"/>
        </w:rPr>
        <w:t xml:space="preserve">Rhinovirus </w:t>
      </w:r>
      <w:r>
        <w:rPr>
          <w:rFonts w:ascii="Times New Roman" w:eastAsia="Times New Roman" w:hAnsi="Times New Roman" w:cs="Times New Roman"/>
          <w:color w:val="333333"/>
          <w:sz w:val="24"/>
        </w:rPr>
        <w:t xml:space="preserve">семейства </w:t>
      </w:r>
      <w:r>
        <w:rPr>
          <w:rFonts w:ascii="Times New Roman" w:eastAsia="Times New Roman" w:hAnsi="Times New Roman" w:cs="Times New Roman"/>
          <w:i/>
          <w:color w:val="333333"/>
          <w:sz w:val="24"/>
        </w:rPr>
        <w:t xml:space="preserve">Picornaviridae. рода Enterovirus (HEV-D - энтеровирус D человека) </w:t>
      </w:r>
      <w:r>
        <w:rPr>
          <w:rFonts w:ascii="Times New Roman" w:eastAsia="Times New Roman" w:hAnsi="Times New Roman" w:cs="Times New Roman"/>
          <w:color w:val="333333"/>
          <w:sz w:val="24"/>
        </w:rPr>
        <w:t>[4, 5]. РВ нестойки во вне</w:t>
      </w:r>
      <w:r>
        <w:rPr>
          <w:rFonts w:ascii="Times New Roman" w:eastAsia="Times New Roman" w:hAnsi="Times New Roman" w:cs="Times New Roman"/>
          <w:color w:val="333333"/>
          <w:sz w:val="24"/>
        </w:rPr>
        <w:t>шней среде, инактивируются при 50°С в течение 10 минут, при нахождении на воздухе большая часть вирионов теряет инвазивность через несколько минут, однако на поверхностях инвазиность сохраняется до 1 суток. Резервуар и источник – больной человек. Выделение</w:t>
      </w:r>
      <w:r>
        <w:rPr>
          <w:rFonts w:ascii="Times New Roman" w:eastAsia="Times New Roman" w:hAnsi="Times New Roman" w:cs="Times New Roman"/>
          <w:color w:val="333333"/>
          <w:sz w:val="24"/>
        </w:rPr>
        <w:t xml:space="preserve"> возбудителя: начало - за 1 сутки до манифестации болезни, длительность - 5-10 дней. </w:t>
      </w:r>
    </w:p>
    <w:p w:rsidR="005A3F38" w:rsidRDefault="003114B5">
      <w:pPr>
        <w:spacing w:after="4" w:line="357" w:lineRule="auto"/>
        <w:ind w:left="345" w:right="-7"/>
        <w:jc w:val="both"/>
      </w:pPr>
      <w:r>
        <w:rPr>
          <w:rFonts w:ascii="Times New Roman" w:eastAsia="Times New Roman" w:hAnsi="Times New Roman" w:cs="Times New Roman"/>
          <w:color w:val="333333"/>
          <w:sz w:val="24"/>
        </w:rPr>
        <w:t xml:space="preserve">Риновирусная инфекция распространена повсеместно, в умеренном климате регистрируется круглогодично, в виде локальных вспышек, с подъёмом заболеваемости </w:t>
      </w:r>
      <w:r>
        <w:rPr>
          <w:rFonts w:ascii="Times New Roman" w:eastAsia="Times New Roman" w:hAnsi="Times New Roman" w:cs="Times New Roman"/>
          <w:color w:val="333333"/>
          <w:sz w:val="24"/>
        </w:rPr>
        <w:t xml:space="preserve">весной и осенью. Наиболее часто болеют дети до 5 лет, подвержены инфекции люди всех возрастов.  </w:t>
      </w:r>
    </w:p>
    <w:p w:rsidR="005A3F38" w:rsidRDefault="003114B5">
      <w:pPr>
        <w:spacing w:after="4" w:line="357" w:lineRule="auto"/>
        <w:ind w:left="345" w:right="-7" w:firstLine="698"/>
        <w:jc w:val="both"/>
      </w:pPr>
      <w:r>
        <w:rPr>
          <w:rFonts w:ascii="Times New Roman" w:eastAsia="Times New Roman" w:hAnsi="Times New Roman" w:cs="Times New Roman"/>
          <w:color w:val="333333"/>
          <w:sz w:val="24"/>
        </w:rPr>
        <w:t>РВ инфекция проявляется преимущественно в виде ринита, однако, вирус обладает тропностью и к эпителию нижних дыхательных путей, являясь, в том числе, этиологич</w:t>
      </w:r>
      <w:r>
        <w:rPr>
          <w:rFonts w:ascii="Times New Roman" w:eastAsia="Times New Roman" w:hAnsi="Times New Roman" w:cs="Times New Roman"/>
          <w:color w:val="333333"/>
          <w:sz w:val="24"/>
        </w:rPr>
        <w:t>еским фактором острого бронхита. Имеются убедительные свидетельства о роли риновирусной инфекции в формировании/провоциовании бронхообструкции и обострений бронхиальной астмы [6].</w:t>
      </w:r>
      <w:r>
        <w:rPr>
          <w:rFonts w:ascii="Times New Roman" w:eastAsia="Times New Roman" w:hAnsi="Times New Roman" w:cs="Times New Roman"/>
          <w:sz w:val="24"/>
        </w:rPr>
        <w:t xml:space="preserve"> </w:t>
      </w:r>
    </w:p>
    <w:p w:rsidR="005A3F38" w:rsidRDefault="003114B5">
      <w:pPr>
        <w:spacing w:after="33" w:line="357" w:lineRule="auto"/>
        <w:ind w:left="345" w:right="-7" w:firstLine="698"/>
        <w:jc w:val="both"/>
      </w:pPr>
      <w:r>
        <w:rPr>
          <w:rFonts w:ascii="Times New Roman" w:eastAsia="Times New Roman" w:hAnsi="Times New Roman" w:cs="Times New Roman"/>
          <w:color w:val="333333"/>
          <w:sz w:val="24"/>
        </w:rPr>
        <w:t>Несмотря на длительно сохраняющиеся после РВ антитела (в течение нескольких</w:t>
      </w:r>
      <w:r>
        <w:rPr>
          <w:rFonts w:ascii="Times New Roman" w:eastAsia="Times New Roman" w:hAnsi="Times New Roman" w:cs="Times New Roman"/>
          <w:color w:val="333333"/>
          <w:sz w:val="24"/>
        </w:rPr>
        <w:t xml:space="preserve"> лет), возможны повторные заболевания при инфицировании риновирусом иного серотипа </w:t>
      </w:r>
      <w:r>
        <w:rPr>
          <w:rFonts w:ascii="Times New Roman" w:eastAsia="Times New Roman" w:hAnsi="Times New Roman" w:cs="Times New Roman"/>
          <w:sz w:val="24"/>
        </w:rPr>
        <w:t xml:space="preserve">[7,8]. </w:t>
      </w:r>
    </w:p>
    <w:p w:rsidR="005A3F38" w:rsidRDefault="003114B5">
      <w:pPr>
        <w:tabs>
          <w:tab w:val="center" w:pos="1907"/>
          <w:tab w:val="center" w:pos="3587"/>
          <w:tab w:val="center" w:pos="5129"/>
          <w:tab w:val="center" w:pos="6153"/>
          <w:tab w:val="center" w:pos="7401"/>
          <w:tab w:val="center" w:pos="8991"/>
          <w:tab w:val="right" w:pos="10719"/>
        </w:tabs>
        <w:spacing w:after="117"/>
        <w:ind w:right="-1"/>
      </w:pPr>
      <w:r>
        <w:tab/>
      </w:r>
      <w:r>
        <w:rPr>
          <w:rFonts w:ascii="Times New Roman" w:eastAsia="Times New Roman" w:hAnsi="Times New Roman" w:cs="Times New Roman"/>
          <w:b/>
          <w:sz w:val="24"/>
        </w:rPr>
        <w:t xml:space="preserve">Аденовирусная </w:t>
      </w:r>
      <w:r>
        <w:rPr>
          <w:rFonts w:ascii="Times New Roman" w:eastAsia="Times New Roman" w:hAnsi="Times New Roman" w:cs="Times New Roman"/>
          <w:b/>
          <w:sz w:val="24"/>
        </w:rPr>
        <w:tab/>
        <w:t xml:space="preserve">инфекция. </w:t>
      </w:r>
      <w:r>
        <w:rPr>
          <w:rFonts w:ascii="Times New Roman" w:eastAsia="Times New Roman" w:hAnsi="Times New Roman" w:cs="Times New Roman"/>
          <w:b/>
          <w:sz w:val="24"/>
        </w:rPr>
        <w:tab/>
      </w:r>
      <w:r>
        <w:rPr>
          <w:rFonts w:ascii="Times New Roman" w:eastAsia="Times New Roman" w:hAnsi="Times New Roman" w:cs="Times New Roman"/>
          <w:sz w:val="24"/>
        </w:rPr>
        <w:t xml:space="preserve">Аденовирусы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ДНК-содержащие </w:t>
      </w:r>
      <w:r>
        <w:rPr>
          <w:rFonts w:ascii="Times New Roman" w:eastAsia="Times New Roman" w:hAnsi="Times New Roman" w:cs="Times New Roman"/>
          <w:sz w:val="24"/>
        </w:rPr>
        <w:tab/>
        <w:t xml:space="preserve">вирусы, </w:t>
      </w:r>
      <w:r>
        <w:rPr>
          <w:rFonts w:ascii="Times New Roman" w:eastAsia="Times New Roman" w:hAnsi="Times New Roman" w:cs="Times New Roman"/>
          <w:sz w:val="24"/>
        </w:rPr>
        <w:tab/>
        <w:t xml:space="preserve">семейство </w:t>
      </w:r>
    </w:p>
    <w:p w:rsidR="005A3F38" w:rsidRDefault="003114B5">
      <w:pPr>
        <w:spacing w:after="5" w:line="364" w:lineRule="auto"/>
        <w:ind w:left="355" w:right="2" w:hanging="10"/>
        <w:jc w:val="both"/>
      </w:pPr>
      <w:r>
        <w:rPr>
          <w:rFonts w:ascii="Times New Roman" w:eastAsia="Times New Roman" w:hAnsi="Times New Roman" w:cs="Times New Roman"/>
          <w:sz w:val="24"/>
        </w:rPr>
        <w:t>Adenoviridae, род Мastadenovirus. Описано более 80 серотипов, относящихся к 7 подгрупп</w:t>
      </w:r>
      <w:r>
        <w:rPr>
          <w:rFonts w:ascii="Times New Roman" w:eastAsia="Times New Roman" w:hAnsi="Times New Roman" w:cs="Times New Roman"/>
          <w:sz w:val="24"/>
        </w:rPr>
        <w:t xml:space="preserve">ам (А, В, С, D, E, F, G). Антигенная структура аденовируса представлена тремя антигенами: А-антиген – групповой, общий для всех серотипов; В-антиген – токсический, обусловливающий цитопатическое действие в культуре ткани, подавляет активность интерферона; </w:t>
      </w:r>
      <w:r>
        <w:rPr>
          <w:rFonts w:ascii="Times New Roman" w:eastAsia="Times New Roman" w:hAnsi="Times New Roman" w:cs="Times New Roman"/>
          <w:sz w:val="24"/>
        </w:rPr>
        <w:t>С-антиген - типоспецифический [4]. При аденовирусной инфекции поражаются эпителий дыхательных путей, лимфоидная ткань, конъюнктива и кишечник. Аденовирус обладает высокой устойчивостью во внешней среде. Вирус сохраняет жизнеспособность при комнатной темпер</w:t>
      </w:r>
      <w:r>
        <w:rPr>
          <w:rFonts w:ascii="Times New Roman" w:eastAsia="Times New Roman" w:hAnsi="Times New Roman" w:cs="Times New Roman"/>
          <w:sz w:val="24"/>
        </w:rPr>
        <w:t xml:space="preserve">атуре до 2 недель, выдерживает низкие температуры и высушивание. При этом инактивируется под воздействием ультрафиолетовых лучей и хлорсодержащих дезинфектантов. </w:t>
      </w:r>
    </w:p>
    <w:p w:rsidR="005A3F38" w:rsidRDefault="003114B5">
      <w:pPr>
        <w:spacing w:after="5" w:line="364" w:lineRule="auto"/>
        <w:ind w:left="345" w:right="2" w:firstLine="708"/>
        <w:jc w:val="both"/>
      </w:pPr>
      <w:r>
        <w:rPr>
          <w:rFonts w:ascii="Times New Roman" w:eastAsia="Times New Roman" w:hAnsi="Times New Roman" w:cs="Times New Roman"/>
          <w:sz w:val="24"/>
        </w:rPr>
        <w:t>Аденовирусы не опасны для детей в возрасте до 6 месяцев благодаря материнским антителам. Дале</w:t>
      </w:r>
      <w:r>
        <w:rPr>
          <w:rFonts w:ascii="Times New Roman" w:eastAsia="Times New Roman" w:hAnsi="Times New Roman" w:cs="Times New Roman"/>
          <w:sz w:val="24"/>
        </w:rPr>
        <w:t xml:space="preserve">е ребенок может несколько раз перенести аденовирусную инфекцию, постепенно формируя приобретенный иммунитет. С возрастом вероятность заболевания аденовирусной инфекцией уменьшается.  </w:t>
      </w:r>
    </w:p>
    <w:p w:rsidR="005A3F38" w:rsidRDefault="003114B5">
      <w:pPr>
        <w:spacing w:after="5" w:line="364" w:lineRule="auto"/>
        <w:ind w:left="345" w:right="2" w:firstLine="708"/>
        <w:jc w:val="both"/>
      </w:pPr>
      <w:r>
        <w:rPr>
          <w:rFonts w:ascii="Times New Roman" w:eastAsia="Times New Roman" w:hAnsi="Times New Roman" w:cs="Times New Roman"/>
          <w:sz w:val="24"/>
        </w:rPr>
        <w:t>Аденовирусная инфекция распространена повсеместно, возможны вспышки, осо</w:t>
      </w:r>
      <w:r>
        <w:rPr>
          <w:rFonts w:ascii="Times New Roman" w:eastAsia="Times New Roman" w:hAnsi="Times New Roman" w:cs="Times New Roman"/>
          <w:sz w:val="24"/>
        </w:rPr>
        <w:t xml:space="preserve">бенно в организованных детских коллективах [8.]. </w:t>
      </w:r>
    </w:p>
    <w:p w:rsidR="005A3F38" w:rsidRDefault="003114B5">
      <w:pPr>
        <w:spacing w:after="2" w:line="356" w:lineRule="auto"/>
        <w:ind w:left="360" w:firstLine="708"/>
      </w:pPr>
      <w:r>
        <w:rPr>
          <w:rFonts w:ascii="Times New Roman" w:eastAsia="Times New Roman" w:hAnsi="Times New Roman" w:cs="Times New Roman"/>
          <w:b/>
          <w:color w:val="000009"/>
          <w:sz w:val="24"/>
        </w:rPr>
        <w:t xml:space="preserve">Респираторно-синцитиальная вирусная инфекция (РСВИ) </w:t>
      </w:r>
      <w:r>
        <w:rPr>
          <w:rFonts w:ascii="Times New Roman" w:eastAsia="Times New Roman" w:hAnsi="Times New Roman" w:cs="Times New Roman"/>
          <w:color w:val="000009"/>
          <w:sz w:val="24"/>
        </w:rPr>
        <w:t xml:space="preserve">– высококонтагиозная респираторная инфекция.  </w:t>
      </w:r>
    </w:p>
    <w:p w:rsidR="005A3F38" w:rsidRDefault="003114B5">
      <w:pPr>
        <w:spacing w:after="0" w:line="358" w:lineRule="auto"/>
        <w:ind w:left="345" w:right="-8" w:firstLine="698"/>
        <w:jc w:val="both"/>
      </w:pPr>
      <w:r>
        <w:rPr>
          <w:rFonts w:ascii="Times New Roman" w:eastAsia="Times New Roman" w:hAnsi="Times New Roman" w:cs="Times New Roman"/>
          <w:color w:val="000009"/>
          <w:sz w:val="24"/>
        </w:rPr>
        <w:t>Возбудитель инфекции — РНК-содержащий вирус, семейства Pneumoviridae, род Pneumovirus</w:t>
      </w:r>
      <w:r>
        <w:rPr>
          <w:rFonts w:ascii="Times New Roman" w:eastAsia="Times New Roman" w:hAnsi="Times New Roman" w:cs="Times New Roman"/>
          <w:color w:val="000009"/>
          <w:sz w:val="24"/>
        </w:rPr>
        <w:t>. Антигенный состав вируса стабилен, все известные варианты, патогенные для человека, относятся к одному серотипу, при этом существует два подтипа возбудителя: А и В с разными поверхностными белками G. Общим стабильным компонентом всех подтипов является F-</w:t>
      </w:r>
      <w:r>
        <w:rPr>
          <w:rFonts w:ascii="Times New Roman" w:eastAsia="Times New Roman" w:hAnsi="Times New Roman" w:cs="Times New Roman"/>
          <w:color w:val="000009"/>
          <w:sz w:val="24"/>
        </w:rPr>
        <w:t xml:space="preserve">белок. Благодаря G-белку происходит прикрепление РСВ к клеточной стенке, F-белку - слияние с эпителиальной клеткой слизистой оболочки респираторного тракта.  </w:t>
      </w:r>
    </w:p>
    <w:p w:rsidR="005A3F38" w:rsidRDefault="003114B5">
      <w:pPr>
        <w:spacing w:after="115" w:line="358" w:lineRule="auto"/>
        <w:ind w:left="345" w:right="-8" w:firstLine="698"/>
        <w:jc w:val="both"/>
      </w:pPr>
      <w:r>
        <w:rPr>
          <w:rFonts w:ascii="Times New Roman" w:eastAsia="Times New Roman" w:hAnsi="Times New Roman" w:cs="Times New Roman"/>
          <w:color w:val="000009"/>
          <w:sz w:val="24"/>
        </w:rPr>
        <w:t xml:space="preserve">РСВИ распространена повсеместно, в последние годы – </w:t>
      </w:r>
      <w:r>
        <w:rPr>
          <w:rFonts w:ascii="Times New Roman" w:eastAsia="Times New Roman" w:hAnsi="Times New Roman" w:cs="Times New Roman"/>
          <w:color w:val="000009"/>
          <w:sz w:val="24"/>
        </w:rPr>
        <w:t>после пандемии коронавирусной инфекции нового типа (COVID-19) четкой сезонности инфекции не прослеживается. Иммунитет после перенесенной инфекции – нестойкий, ребенок может перенести РСВИ неоднократно не только в течение жизни, но и за один эпидемический с</w:t>
      </w:r>
      <w:r>
        <w:rPr>
          <w:rFonts w:ascii="Times New Roman" w:eastAsia="Times New Roman" w:hAnsi="Times New Roman" w:cs="Times New Roman"/>
          <w:color w:val="000009"/>
          <w:sz w:val="24"/>
        </w:rPr>
        <w:t xml:space="preserve">езон. Случаи реинфекции протекают менее тяжело [4, 7, 8, 9, 10]. </w:t>
      </w:r>
    </w:p>
    <w:p w:rsidR="005A3F38" w:rsidRDefault="003114B5">
      <w:pPr>
        <w:spacing w:after="0" w:line="358" w:lineRule="auto"/>
        <w:ind w:left="345" w:right="-8" w:firstLine="698"/>
        <w:jc w:val="both"/>
      </w:pPr>
      <w:r>
        <w:rPr>
          <w:rFonts w:ascii="Times New Roman" w:eastAsia="Times New Roman" w:hAnsi="Times New Roman" w:cs="Times New Roman"/>
          <w:color w:val="000009"/>
          <w:sz w:val="24"/>
        </w:rPr>
        <w:t>У детей возможно как легкое, так и тяжелое течение РСВИ. Тяжелая форма РСВИ в виде бронхиолита с дыхательной недостаточностью характерна для детей первых двух лет жизни; бронхит, пневмония м</w:t>
      </w:r>
      <w:r>
        <w:rPr>
          <w:rFonts w:ascii="Times New Roman" w:eastAsia="Times New Roman" w:hAnsi="Times New Roman" w:cs="Times New Roman"/>
          <w:color w:val="000009"/>
          <w:sz w:val="24"/>
        </w:rPr>
        <w:t>огут наблюдаться и у детей старше 2-х лет с отягощенным преморбидным фоном (бронхиальной астмой, иммунолодефицитом и другими хроническими заболеваниями). Имеются данные, что, перенесенная в раннем возрасте, РСВИ является одним из факторов, увеличивающим ри</w:t>
      </w:r>
      <w:r>
        <w:rPr>
          <w:rFonts w:ascii="Times New Roman" w:eastAsia="Times New Roman" w:hAnsi="Times New Roman" w:cs="Times New Roman"/>
          <w:color w:val="000009"/>
          <w:sz w:val="24"/>
        </w:rPr>
        <w:t xml:space="preserve">ск развития бронхиальной астмы и ХОБЛ в дальнейшем, особенно при отягощенном аллергоанамнезе [11]. </w:t>
      </w:r>
    </w:p>
    <w:p w:rsidR="005A3F38" w:rsidRDefault="003114B5">
      <w:pPr>
        <w:spacing w:after="0" w:line="358" w:lineRule="auto"/>
        <w:ind w:left="345" w:right="-8" w:firstLine="698"/>
        <w:jc w:val="both"/>
      </w:pPr>
      <w:r>
        <w:rPr>
          <w:rFonts w:ascii="Times New Roman" w:eastAsia="Times New Roman" w:hAnsi="Times New Roman" w:cs="Times New Roman"/>
          <w:color w:val="000009"/>
          <w:sz w:val="24"/>
        </w:rPr>
        <w:t>Имеется возможность проведения пассивной иммунизации для профилактики РСВИ у детей групп риска в возрасте до 2 лет.</w:t>
      </w:r>
      <w:r>
        <w:rPr>
          <w:rFonts w:ascii="Times New Roman" w:eastAsia="Times New Roman" w:hAnsi="Times New Roman" w:cs="Times New Roman"/>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Метапневмовирусная инфекция (МПИ). </w:t>
      </w:r>
      <w:r>
        <w:rPr>
          <w:rFonts w:ascii="Times New Roman" w:eastAsia="Times New Roman" w:hAnsi="Times New Roman" w:cs="Times New Roman"/>
          <w:sz w:val="24"/>
        </w:rPr>
        <w:t>Мета</w:t>
      </w:r>
      <w:r>
        <w:rPr>
          <w:rFonts w:ascii="Times New Roman" w:eastAsia="Times New Roman" w:hAnsi="Times New Roman" w:cs="Times New Roman"/>
          <w:sz w:val="24"/>
        </w:rPr>
        <w:t xml:space="preserve">пневмовирус человека – РНК-содержащий вирус семейства </w:t>
      </w:r>
      <w:r>
        <w:rPr>
          <w:rFonts w:ascii="Times New Roman" w:eastAsia="Times New Roman" w:hAnsi="Times New Roman" w:cs="Times New Roman"/>
          <w:i/>
          <w:sz w:val="24"/>
        </w:rPr>
        <w:t>Pneumoviridae</w:t>
      </w:r>
      <w:r>
        <w:rPr>
          <w:rFonts w:ascii="Times New Roman" w:eastAsia="Times New Roman" w:hAnsi="Times New Roman" w:cs="Times New Roman"/>
          <w:sz w:val="24"/>
        </w:rPr>
        <w:t xml:space="preserve">, род </w:t>
      </w:r>
      <w:r>
        <w:rPr>
          <w:rFonts w:ascii="Times New Roman" w:eastAsia="Times New Roman" w:hAnsi="Times New Roman" w:cs="Times New Roman"/>
          <w:i/>
          <w:sz w:val="24"/>
        </w:rPr>
        <w:t>Metapneumovirus.</w:t>
      </w:r>
      <w:r>
        <w:rPr>
          <w:rFonts w:ascii="Times New Roman" w:eastAsia="Times New Roman" w:hAnsi="Times New Roman" w:cs="Times New Roman"/>
          <w:sz w:val="24"/>
        </w:rPr>
        <w:t xml:space="preserve"> Проявления МПИ могут быть как легкими и незначительными, так и тяжелыми в виде бронхита, бронхиолита или вирусной пневмонии, сходными с таковыми при РСВИ. Для метапне</w:t>
      </w:r>
      <w:r>
        <w:rPr>
          <w:rFonts w:ascii="Times New Roman" w:eastAsia="Times New Roman" w:hAnsi="Times New Roman" w:cs="Times New Roman"/>
          <w:sz w:val="24"/>
        </w:rPr>
        <w:t xml:space="preserve">вмовируса характерна сезонность с пиком зимой и ранней весной. Среди детей раннего возраста, госпитализированных с ОРВИ, метапневмовирус, обнаруживают в 5–10% случаев [12, 13, 14]. </w:t>
      </w:r>
    </w:p>
    <w:p w:rsidR="005A3F38" w:rsidRDefault="003114B5">
      <w:pPr>
        <w:spacing w:after="5" w:line="364" w:lineRule="auto"/>
        <w:ind w:left="345" w:right="2" w:firstLine="708"/>
        <w:jc w:val="both"/>
      </w:pPr>
      <w:r>
        <w:rPr>
          <w:rFonts w:ascii="Times New Roman" w:eastAsia="Times New Roman" w:hAnsi="Times New Roman" w:cs="Times New Roman"/>
          <w:b/>
          <w:sz w:val="24"/>
        </w:rPr>
        <w:t>Грипп</w:t>
      </w:r>
      <w:r>
        <w:rPr>
          <w:rFonts w:ascii="Times New Roman" w:eastAsia="Times New Roman" w:hAnsi="Times New Roman" w:cs="Times New Roman"/>
          <w:sz w:val="24"/>
        </w:rPr>
        <w:t xml:space="preserve"> вызывают РНК-содержащие вирусы из семейства </w:t>
      </w:r>
      <w:r>
        <w:rPr>
          <w:rFonts w:ascii="Times New Roman" w:eastAsia="Times New Roman" w:hAnsi="Times New Roman" w:cs="Times New Roman"/>
          <w:i/>
          <w:sz w:val="24"/>
        </w:rPr>
        <w:t>Orthomyxoviridae</w:t>
      </w:r>
      <w:r>
        <w:rPr>
          <w:rFonts w:ascii="Times New Roman" w:eastAsia="Times New Roman" w:hAnsi="Times New Roman" w:cs="Times New Roman"/>
          <w:sz w:val="24"/>
        </w:rPr>
        <w:t xml:space="preserve">, род </w:t>
      </w:r>
      <w:r>
        <w:rPr>
          <w:rFonts w:ascii="Times New Roman" w:eastAsia="Times New Roman" w:hAnsi="Times New Roman" w:cs="Times New Roman"/>
          <w:i/>
          <w:sz w:val="24"/>
        </w:rPr>
        <w:t>In</w:t>
      </w:r>
      <w:r>
        <w:rPr>
          <w:rFonts w:ascii="Times New Roman" w:eastAsia="Times New Roman" w:hAnsi="Times New Roman" w:cs="Times New Roman"/>
          <w:i/>
          <w:sz w:val="24"/>
        </w:rPr>
        <w:t>fluenza virus</w:t>
      </w:r>
      <w:r>
        <w:rPr>
          <w:rFonts w:ascii="Times New Roman" w:eastAsia="Times New Roman" w:hAnsi="Times New Roman" w:cs="Times New Roman"/>
          <w:sz w:val="24"/>
        </w:rPr>
        <w:t xml:space="preserve">, включают типы A, B и C. Для вирусов гриппа характерна антигенная изменчивость, что определяет высокую восприимчивость людей. Грипп распространен повсеместно, интервалы между эпидемиями в среднем 1–2 года для гриппа А и 2–4 года — для гриппа </w:t>
      </w:r>
      <w:r>
        <w:rPr>
          <w:rFonts w:ascii="Times New Roman" w:eastAsia="Times New Roman" w:hAnsi="Times New Roman" w:cs="Times New Roman"/>
          <w:sz w:val="24"/>
        </w:rPr>
        <w:t>В. Болеют все возрастные группы. Репродукция новых вирионов сопровождается цитопатическим эффектом в отношении эпителиальных клеток дыхательных путей, их разрушением и отторжением вместе с вновь образующимися вирионами. При тяжело протекающей инфекции виру</w:t>
      </w:r>
      <w:r>
        <w:rPr>
          <w:rFonts w:ascii="Times New Roman" w:eastAsia="Times New Roman" w:hAnsi="Times New Roman" w:cs="Times New Roman"/>
          <w:sz w:val="24"/>
        </w:rPr>
        <w:t>с гриппа реплицируется и в клетках эндотелия кровеносных сосудов с развитием эндотелиоза в виде клеточного некроза и апоптоза, повышения проницаемости капилляров, а в наиболее критических случаях – и циркуляторных нарушений. При гриппе развиваются ринит, ф</w:t>
      </w:r>
      <w:r>
        <w:rPr>
          <w:rFonts w:ascii="Times New Roman" w:eastAsia="Times New Roman" w:hAnsi="Times New Roman" w:cs="Times New Roman"/>
          <w:sz w:val="24"/>
        </w:rPr>
        <w:t>арингит, трахеит, ларингит, бронхит, а также их сочетания друг с другом. Одним из самых тяжелых вариантов этого процесса, обусловленного новым (пандемическим) возбудителем, является развитие массивной пневмонии с острым респираторным дистресс-синдромом (ОР</w:t>
      </w:r>
      <w:r>
        <w:rPr>
          <w:rFonts w:ascii="Times New Roman" w:eastAsia="Times New Roman" w:hAnsi="Times New Roman" w:cs="Times New Roman"/>
          <w:sz w:val="24"/>
        </w:rPr>
        <w:t xml:space="preserve">ДС) и отеком легкого (подробнее – см. в соответствующих клинических рекомендациях) [7, 14, 15]. </w:t>
      </w:r>
    </w:p>
    <w:p w:rsidR="005A3F38" w:rsidRDefault="003114B5">
      <w:pPr>
        <w:spacing w:after="113"/>
        <w:ind w:left="1078" w:right="2" w:hanging="10"/>
        <w:jc w:val="both"/>
      </w:pPr>
      <w:r>
        <w:rPr>
          <w:rFonts w:ascii="Times New Roman" w:eastAsia="Times New Roman" w:hAnsi="Times New Roman" w:cs="Times New Roman"/>
          <w:sz w:val="24"/>
        </w:rPr>
        <w:t xml:space="preserve">Против гриппа имеется возможность проведения вакцинации.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Парагрипп </w:t>
      </w:r>
      <w:r>
        <w:rPr>
          <w:rFonts w:ascii="Times New Roman" w:eastAsia="Times New Roman" w:hAnsi="Times New Roman" w:cs="Times New Roman"/>
          <w:sz w:val="24"/>
        </w:rPr>
        <w:t>(или парагриппозная инфекция)</w:t>
      </w:r>
      <w:r>
        <w:rPr>
          <w:rFonts w:ascii="Times New Roman" w:eastAsia="Times New Roman" w:hAnsi="Times New Roman" w:cs="Times New Roman"/>
          <w:b/>
          <w:sz w:val="24"/>
        </w:rPr>
        <w:t xml:space="preserve"> </w:t>
      </w:r>
      <w:r>
        <w:rPr>
          <w:rFonts w:ascii="Times New Roman" w:eastAsia="Times New Roman" w:hAnsi="Times New Roman" w:cs="Times New Roman"/>
          <w:sz w:val="24"/>
        </w:rPr>
        <w:t>- ОРВИ, вызванная вирусом парагриппа человека (HPIV). РНК-вир</w:t>
      </w:r>
      <w:r>
        <w:rPr>
          <w:rFonts w:ascii="Times New Roman" w:eastAsia="Times New Roman" w:hAnsi="Times New Roman" w:cs="Times New Roman"/>
          <w:sz w:val="24"/>
        </w:rPr>
        <w:t xml:space="preserve">ус, принадлежащий к семейству </w:t>
      </w:r>
      <w:r>
        <w:rPr>
          <w:rFonts w:ascii="Times New Roman" w:eastAsia="Times New Roman" w:hAnsi="Times New Roman" w:cs="Times New Roman"/>
          <w:i/>
          <w:sz w:val="24"/>
        </w:rPr>
        <w:t>Paramyxoviridae</w:t>
      </w:r>
      <w:r>
        <w:rPr>
          <w:rFonts w:ascii="Times New Roman" w:eastAsia="Times New Roman" w:hAnsi="Times New Roman" w:cs="Times New Roman"/>
          <w:sz w:val="24"/>
        </w:rPr>
        <w:t xml:space="preserve"> порядка </w:t>
      </w:r>
      <w:r>
        <w:rPr>
          <w:rFonts w:ascii="Times New Roman" w:eastAsia="Times New Roman" w:hAnsi="Times New Roman" w:cs="Times New Roman"/>
          <w:i/>
          <w:sz w:val="24"/>
        </w:rPr>
        <w:t>Mononegavirales</w:t>
      </w:r>
      <w:r>
        <w:rPr>
          <w:rFonts w:ascii="Times New Roman" w:eastAsia="Times New Roman" w:hAnsi="Times New Roman" w:cs="Times New Roman"/>
          <w:sz w:val="24"/>
        </w:rPr>
        <w:t xml:space="preserve">, роду </w:t>
      </w:r>
      <w:r>
        <w:rPr>
          <w:rFonts w:ascii="Times New Roman" w:eastAsia="Times New Roman" w:hAnsi="Times New Roman" w:cs="Times New Roman"/>
          <w:i/>
          <w:sz w:val="24"/>
        </w:rPr>
        <w:t>Respirovirus</w:t>
      </w:r>
      <w:r>
        <w:rPr>
          <w:rFonts w:ascii="Times New Roman" w:eastAsia="Times New Roman" w:hAnsi="Times New Roman" w:cs="Times New Roman"/>
          <w:sz w:val="24"/>
        </w:rPr>
        <w:t xml:space="preserve"> для типов 1 и 3, </w:t>
      </w:r>
      <w:r>
        <w:rPr>
          <w:rFonts w:ascii="Times New Roman" w:eastAsia="Times New Roman" w:hAnsi="Times New Roman" w:cs="Times New Roman"/>
          <w:i/>
          <w:sz w:val="24"/>
        </w:rPr>
        <w:t>Rubulavirus</w:t>
      </w:r>
      <w:r>
        <w:rPr>
          <w:rFonts w:ascii="Times New Roman" w:eastAsia="Times New Roman" w:hAnsi="Times New Roman" w:cs="Times New Roman"/>
          <w:sz w:val="24"/>
        </w:rPr>
        <w:t xml:space="preserve"> — для типов 2 и 4. HPIV-1 и HPIV-3 - одна из основных причин инфекций нижних дыхательных путей у маленьких детей (в возрасте младше 5 лет)</w:t>
      </w:r>
      <w:r>
        <w:rPr>
          <w:rFonts w:ascii="Times New Roman" w:eastAsia="Times New Roman" w:hAnsi="Times New Roman" w:cs="Times New Roman"/>
          <w:sz w:val="24"/>
        </w:rPr>
        <w:t xml:space="preserve"> и людей с ослабленным иммунитетом. Чаще протекает в виде инфекции верхних дыхательных путей, с поражением слизистой оболочки носоглотки и гортани. У маленьких детей парагрипп может протекать тяжело с развитием «ложного крупа» (острый обструктивный ларинги</w:t>
      </w:r>
      <w:r>
        <w:rPr>
          <w:rFonts w:ascii="Times New Roman" w:eastAsia="Times New Roman" w:hAnsi="Times New Roman" w:cs="Times New Roman"/>
          <w:sz w:val="24"/>
        </w:rPr>
        <w:t xml:space="preserve">т) (см. соответствующие клинические рекомендации). </w:t>
      </w:r>
    </w:p>
    <w:p w:rsidR="005A3F38" w:rsidRDefault="003114B5">
      <w:pPr>
        <w:spacing w:after="5" w:line="364" w:lineRule="auto"/>
        <w:ind w:left="345" w:right="2" w:firstLine="708"/>
        <w:jc w:val="both"/>
      </w:pPr>
      <w:r>
        <w:rPr>
          <w:rFonts w:ascii="Times New Roman" w:eastAsia="Times New Roman" w:hAnsi="Times New Roman" w:cs="Times New Roman"/>
          <w:sz w:val="24"/>
        </w:rPr>
        <w:t xml:space="preserve">Парагриппозная инфекция распространена повсеместно, чаще встречается осенью и весной, хотя сезонность HPIV-инфекции может различаться в зависимости от типа вируса. Например, для HPIV-1 – раз в два года с </w:t>
      </w:r>
      <w:r>
        <w:rPr>
          <w:rFonts w:ascii="Times New Roman" w:eastAsia="Times New Roman" w:hAnsi="Times New Roman" w:cs="Times New Roman"/>
          <w:sz w:val="24"/>
        </w:rPr>
        <w:t>сентября по декабрь, а для HPIV-3 - ежегодно, преимущественно с апреля по июнь. В год, когда не циркулирует HPIV-1, HPIV-3 часто встречается на протяжении более продолжительного периода, вплоть до осени с повторным подъемом активности с ноября по декабрь т</w:t>
      </w:r>
      <w:r>
        <w:rPr>
          <w:rFonts w:ascii="Times New Roman" w:eastAsia="Times New Roman" w:hAnsi="Times New Roman" w:cs="Times New Roman"/>
          <w:sz w:val="24"/>
        </w:rPr>
        <w:t>ого же года. HPIV-2 может встречаться раз в два года, попеременно с HPIV-1, или ежегодно. HPIV4 встречается реже, с аналогичной для HPIV-3 сезонностью. Вспышки парагриппозной инфекции чаще наблюдаются в организованных коллективах. Иммунитет после перенесен</w:t>
      </w:r>
      <w:r>
        <w:rPr>
          <w:rFonts w:ascii="Times New Roman" w:eastAsia="Times New Roman" w:hAnsi="Times New Roman" w:cs="Times New Roman"/>
          <w:sz w:val="24"/>
        </w:rPr>
        <w:t xml:space="preserve">ного парагриппа нестойкий: через 3-4 года возможна повторная инфекция с поражением верхних дыхательных путей </w:t>
      </w:r>
    </w:p>
    <w:p w:rsidR="005A3F38" w:rsidRDefault="003114B5">
      <w:pPr>
        <w:spacing w:after="128" w:line="249" w:lineRule="auto"/>
        <w:ind w:left="355" w:right="11" w:hanging="10"/>
      </w:pPr>
      <w:r>
        <w:rPr>
          <w:rFonts w:ascii="Times New Roman" w:eastAsia="Times New Roman" w:hAnsi="Times New Roman" w:cs="Times New Roman"/>
          <w:sz w:val="24"/>
        </w:rPr>
        <w:t xml:space="preserve">[16].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Коронавирусная инфекция (сезонная). </w:t>
      </w:r>
      <w:r>
        <w:rPr>
          <w:rFonts w:ascii="Times New Roman" w:eastAsia="Times New Roman" w:hAnsi="Times New Roman" w:cs="Times New Roman"/>
          <w:sz w:val="24"/>
        </w:rPr>
        <w:t>Коронавирусы (</w:t>
      </w:r>
      <w:r>
        <w:rPr>
          <w:rFonts w:ascii="Times New Roman" w:eastAsia="Times New Roman" w:hAnsi="Times New Roman" w:cs="Times New Roman"/>
          <w:i/>
          <w:sz w:val="24"/>
        </w:rPr>
        <w:t>Coronaviridae</w:t>
      </w:r>
      <w:r>
        <w:rPr>
          <w:rFonts w:ascii="Times New Roman" w:eastAsia="Times New Roman" w:hAnsi="Times New Roman" w:cs="Times New Roman"/>
          <w:sz w:val="24"/>
        </w:rPr>
        <w:t xml:space="preserve">) — семейство </w:t>
      </w:r>
      <w:hyperlink r:id="rId8">
        <w:r>
          <w:rPr>
            <w:rFonts w:ascii="Times New Roman" w:eastAsia="Times New Roman" w:hAnsi="Times New Roman" w:cs="Times New Roman"/>
            <w:sz w:val="24"/>
          </w:rPr>
          <w:t>РНК</w:t>
        </w:r>
      </w:hyperlink>
      <w:hyperlink r:id="rId9"/>
      <w:r>
        <w:rPr>
          <w:rFonts w:ascii="Times New Roman" w:eastAsia="Times New Roman" w:hAnsi="Times New Roman" w:cs="Times New Roman"/>
          <w:sz w:val="24"/>
        </w:rPr>
        <w:t xml:space="preserve">содержащих </w:t>
      </w:r>
      <w:hyperlink r:id="rId10">
        <w:r>
          <w:rPr>
            <w:rFonts w:ascii="Times New Roman" w:eastAsia="Times New Roman" w:hAnsi="Times New Roman" w:cs="Times New Roman"/>
            <w:sz w:val="24"/>
          </w:rPr>
          <w:t>вирусов,</w:t>
        </w:r>
      </w:hyperlink>
      <w:r>
        <w:rPr>
          <w:rFonts w:ascii="Times New Roman" w:eastAsia="Times New Roman" w:hAnsi="Times New Roman" w:cs="Times New Roman"/>
          <w:sz w:val="24"/>
        </w:rPr>
        <w:t xml:space="preserve"> в настоящее время составляют до 30% случаев сезонной ОРВИ у детей. Известно 4 рода вирусов – альфа,</w:t>
      </w:r>
      <w:r>
        <w:rPr>
          <w:rFonts w:ascii="Times New Roman" w:eastAsia="Times New Roman" w:hAnsi="Times New Roman" w:cs="Times New Roman"/>
          <w:sz w:val="24"/>
        </w:rPr>
        <w:t xml:space="preserve"> бета, гамма и дельта. Пути передачи: воздушно-капельный, контактный, фекально-оральный. Инкубационный период - 2-3 дня. Чаще отмечается поражение респираторного (ринит, фарингит, сухой кашель) и желудочно-кишечного тракта (диарея), в редких случаях – пора</w:t>
      </w:r>
      <w:r>
        <w:rPr>
          <w:rFonts w:ascii="Times New Roman" w:eastAsia="Times New Roman" w:hAnsi="Times New Roman" w:cs="Times New Roman"/>
          <w:sz w:val="24"/>
        </w:rPr>
        <w:t xml:space="preserve">жение других органов [17, 18].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Бокавирусная инфекция </w:t>
      </w:r>
      <w:r>
        <w:rPr>
          <w:rFonts w:ascii="Times New Roman" w:eastAsia="Times New Roman" w:hAnsi="Times New Roman" w:cs="Times New Roman"/>
          <w:sz w:val="24"/>
        </w:rPr>
        <w:t xml:space="preserve">вызывается бокавирусом человека (HBoV) - вирус семейства </w:t>
      </w:r>
      <w:r>
        <w:rPr>
          <w:rFonts w:ascii="Times New Roman" w:eastAsia="Times New Roman" w:hAnsi="Times New Roman" w:cs="Times New Roman"/>
          <w:i/>
          <w:sz w:val="24"/>
        </w:rPr>
        <w:t>Parvoviridae</w:t>
      </w:r>
      <w:r>
        <w:rPr>
          <w:rFonts w:ascii="Times New Roman" w:eastAsia="Times New Roman" w:hAnsi="Times New Roman" w:cs="Times New Roman"/>
          <w:sz w:val="24"/>
        </w:rPr>
        <w:t xml:space="preserve">, род </w:t>
      </w:r>
      <w:r>
        <w:rPr>
          <w:rFonts w:ascii="Times New Roman" w:eastAsia="Times New Roman" w:hAnsi="Times New Roman" w:cs="Times New Roman"/>
          <w:i/>
          <w:sz w:val="24"/>
        </w:rPr>
        <w:t>Bocaparvovirus</w:t>
      </w:r>
      <w:r>
        <w:rPr>
          <w:rFonts w:ascii="Times New Roman" w:eastAsia="Times New Roman" w:hAnsi="Times New Roman" w:cs="Times New Roman"/>
          <w:sz w:val="24"/>
        </w:rPr>
        <w:t>. Клинически HBoV-инфекция проявляется в виде ринофарингита, иногда - бронхита, в т.ч. обструктивного, может ухуд</w:t>
      </w:r>
      <w:r>
        <w:rPr>
          <w:rFonts w:ascii="Times New Roman" w:eastAsia="Times New Roman" w:hAnsi="Times New Roman" w:cs="Times New Roman"/>
          <w:sz w:val="24"/>
        </w:rPr>
        <w:t xml:space="preserve">шать симптомы астмы. Чаще встречаются среднетяжелые формы заболевания. Некоторые формы бокавируса вызывают гастроэнтериты [19, </w:t>
      </w:r>
    </w:p>
    <w:p w:rsidR="005A3F38" w:rsidRDefault="003114B5">
      <w:pPr>
        <w:spacing w:after="200" w:line="249" w:lineRule="auto"/>
        <w:ind w:left="355" w:right="11" w:hanging="10"/>
      </w:pPr>
      <w:r>
        <w:rPr>
          <w:rFonts w:ascii="Times New Roman" w:eastAsia="Times New Roman" w:hAnsi="Times New Roman" w:cs="Times New Roman"/>
          <w:sz w:val="24"/>
        </w:rPr>
        <w:t xml:space="preserve">128]. </w:t>
      </w:r>
    </w:p>
    <w:p w:rsidR="005A3F38" w:rsidRDefault="003114B5">
      <w:pPr>
        <w:spacing w:after="78"/>
        <w:ind w:left="1068"/>
      </w:pPr>
      <w:r>
        <w:rPr>
          <w:rFonts w:ascii="Times New Roman" w:eastAsia="Times New Roman" w:hAnsi="Times New Roman" w:cs="Times New Roman"/>
          <w:sz w:val="32"/>
        </w:rPr>
        <w:t xml:space="preserve"> </w:t>
      </w:r>
    </w:p>
    <w:p w:rsidR="005A3F38" w:rsidRDefault="003114B5">
      <w:pPr>
        <w:pStyle w:val="Heading2"/>
        <w:ind w:left="370"/>
      </w:pPr>
      <w:bookmarkStart w:id="5" w:name="_Toc141878"/>
      <w:r>
        <w:t>1.3 Эпидемиология</w:t>
      </w:r>
      <w:r>
        <w:t xml:space="preserve"> </w:t>
      </w:r>
      <w:r>
        <w:t>заболевания или состояния (группы заболеваний или состояний)</w:t>
      </w:r>
      <w:r>
        <w:rPr>
          <w:u w:val="none"/>
        </w:rPr>
        <w:t xml:space="preserve">  </w:t>
      </w:r>
      <w:bookmarkEnd w:id="5"/>
    </w:p>
    <w:p w:rsidR="005A3F38" w:rsidRDefault="003114B5">
      <w:pPr>
        <w:spacing w:after="5" w:line="364" w:lineRule="auto"/>
        <w:ind w:left="345" w:right="2" w:firstLine="708"/>
        <w:jc w:val="both"/>
      </w:pPr>
      <w:r>
        <w:rPr>
          <w:rFonts w:ascii="Times New Roman" w:eastAsia="Times New Roman" w:hAnsi="Times New Roman" w:cs="Times New Roman"/>
          <w:sz w:val="24"/>
        </w:rPr>
        <w:t xml:space="preserve">ОРВИ – </w:t>
      </w:r>
      <w:r>
        <w:rPr>
          <w:rFonts w:ascii="Times New Roman" w:eastAsia="Times New Roman" w:hAnsi="Times New Roman" w:cs="Times New Roman"/>
          <w:sz w:val="24"/>
        </w:rPr>
        <w:t>самая частая инфекция человека: дети в возрасте до 5 лет переносят в среднем 6-8 эпизодов ОРВИ в год [20, 21], в детских дошкольных учреждениях особенно высока заболеваемость на 1-2 году посещения – на 10-15% выше, чем у неорганизованных детей, однако, в ш</w:t>
      </w:r>
      <w:r>
        <w:rPr>
          <w:rFonts w:ascii="Times New Roman" w:eastAsia="Times New Roman" w:hAnsi="Times New Roman" w:cs="Times New Roman"/>
          <w:sz w:val="24"/>
        </w:rPr>
        <w:t>коле последние болеют чаще [22]. С возрастом частота ОРВИ обычно снижается, если пациент не имеет отягощенного преморбидного фона, в т.ч., не иммунокомпрометирован. Заболеваемость наиболее высока в период с сентября по апрель, пик обычно приходится на февр</w:t>
      </w:r>
      <w:r>
        <w:rPr>
          <w:rFonts w:ascii="Times New Roman" w:eastAsia="Times New Roman" w:hAnsi="Times New Roman" w:cs="Times New Roman"/>
          <w:sz w:val="24"/>
        </w:rPr>
        <w:t xml:space="preserve">аль-март, в летние месяцы региструруют спад заболеваемости ОРВИ в 3-5 раз.  </w:t>
      </w:r>
    </w:p>
    <w:p w:rsidR="005A3F38" w:rsidRDefault="003114B5">
      <w:pPr>
        <w:spacing w:after="5" w:line="364" w:lineRule="auto"/>
        <w:ind w:left="345" w:right="2" w:firstLine="317"/>
        <w:jc w:val="both"/>
      </w:pPr>
      <w:r>
        <w:rPr>
          <w:rFonts w:ascii="Times New Roman" w:eastAsia="Times New Roman" w:hAnsi="Times New Roman" w:cs="Times New Roman"/>
          <w:sz w:val="24"/>
        </w:rPr>
        <w:t>Согласно данным Роспотребнадзора, в 2024 г. ОРВИ переболело 21,5 % населения страны (для сравнения – в 2023 г. – 23,6 %, в 2022 – 29,1 %). Всего в Российской Федерации в 2024г зар</w:t>
      </w:r>
      <w:r>
        <w:rPr>
          <w:rFonts w:ascii="Times New Roman" w:eastAsia="Times New Roman" w:hAnsi="Times New Roman" w:cs="Times New Roman"/>
          <w:sz w:val="24"/>
        </w:rPr>
        <w:t>егистрировано 31,4 млн случаев ОРВИ (21 457,88 на 100 тыс. населения). Заболеваемость детей в возрасте до 17 лет составила более 17,9 млн случаев или 59 711,52 на 100 тыс. населения. Среди детского населения наиболее высокая заболеваемость стабильно регист</w:t>
      </w:r>
      <w:r>
        <w:rPr>
          <w:rFonts w:ascii="Times New Roman" w:eastAsia="Times New Roman" w:hAnsi="Times New Roman" w:cs="Times New Roman"/>
          <w:sz w:val="24"/>
        </w:rPr>
        <w:t xml:space="preserve">рируется в возрастной группе 1–2 года (92 699,4 на 100 тыс. населения) [23]. </w:t>
      </w:r>
    </w:p>
    <w:p w:rsidR="005A3F38" w:rsidRDefault="003114B5">
      <w:pPr>
        <w:spacing w:after="5" w:line="364" w:lineRule="auto"/>
        <w:ind w:left="345" w:right="2" w:firstLine="317"/>
        <w:jc w:val="both"/>
      </w:pPr>
      <w:r>
        <w:rPr>
          <w:rFonts w:ascii="Times New Roman" w:eastAsia="Times New Roman" w:hAnsi="Times New Roman" w:cs="Times New Roman"/>
          <w:sz w:val="24"/>
        </w:rPr>
        <w:t xml:space="preserve">Приведенные данные отражают число случаев ОРВИ, зарегистрированных по обращаемости, истинная заболеваемость, несомненно, существенно выше. </w:t>
      </w:r>
    </w:p>
    <w:p w:rsidR="005A3F38" w:rsidRDefault="003114B5">
      <w:pPr>
        <w:spacing w:after="5" w:line="364" w:lineRule="auto"/>
        <w:ind w:left="345" w:right="2" w:firstLine="317"/>
        <w:jc w:val="both"/>
      </w:pPr>
      <w:r>
        <w:rPr>
          <w:rFonts w:ascii="Times New Roman" w:eastAsia="Times New Roman" w:hAnsi="Times New Roman" w:cs="Times New Roman"/>
          <w:sz w:val="24"/>
        </w:rPr>
        <w:t>Распространенность ОРВИ связана с нали</w:t>
      </w:r>
      <w:r>
        <w:rPr>
          <w:rFonts w:ascii="Times New Roman" w:eastAsia="Times New Roman" w:hAnsi="Times New Roman" w:cs="Times New Roman"/>
          <w:sz w:val="24"/>
        </w:rPr>
        <w:t>чием невероятного множества респираторных патогенов, формированием только типоспецифического постинфекционного иммунитета и легкостью передачи возбудителей. Дети первых месяцев жизни болеют редко, поскольку находятся в относительной изоляции, и многие из н</w:t>
      </w:r>
      <w:r>
        <w:rPr>
          <w:rFonts w:ascii="Times New Roman" w:eastAsia="Times New Roman" w:hAnsi="Times New Roman" w:cs="Times New Roman"/>
          <w:sz w:val="24"/>
        </w:rPr>
        <w:t>их сохраняют в течение некоторого времени факторы иммунитета, полученные от матери трансплацентарно и с грудным молоком. Наибольшая заболеваемость наблюдается среди детей от 3 до 6 лет жизни, что, как правило, связано с посещением ими детских учреждений, з</w:t>
      </w:r>
      <w:r>
        <w:rPr>
          <w:rFonts w:ascii="Times New Roman" w:eastAsia="Times New Roman" w:hAnsi="Times New Roman" w:cs="Times New Roman"/>
          <w:sz w:val="24"/>
        </w:rPr>
        <w:t xml:space="preserve">начительным увеличением числа контактов и встречей с новым вируснобактериальным ландшафтом. Спектр возбудителей разный, но он определяется сезоном года и возрастом пациента. При госпитализации возможна этиологическая расшифровка до 80% случаев заболеваний </w:t>
      </w:r>
      <w:r>
        <w:rPr>
          <w:rFonts w:ascii="Times New Roman" w:eastAsia="Times New Roman" w:hAnsi="Times New Roman" w:cs="Times New Roman"/>
          <w:sz w:val="24"/>
        </w:rPr>
        <w:t xml:space="preserve">[24].  </w:t>
      </w:r>
    </w:p>
    <w:p w:rsidR="005A3F38" w:rsidRDefault="003114B5">
      <w:pPr>
        <w:pStyle w:val="Heading2"/>
        <w:spacing w:after="1" w:line="357" w:lineRule="auto"/>
        <w:ind w:left="360" w:firstLine="708"/>
      </w:pPr>
      <w:bookmarkStart w:id="6" w:name="_Toc141879"/>
      <w:r>
        <w:t xml:space="preserve">1.4 </w:t>
      </w:r>
      <w:r>
        <w:t>Особенности кодирования заболевания или состояния (группы заболеваний или</w:t>
      </w:r>
      <w:r>
        <w:rPr>
          <w:u w:val="none"/>
        </w:rPr>
        <w:t xml:space="preserve"> </w:t>
      </w:r>
      <w:r>
        <w:t>состояний) по Международной статистической классификации болезней и проблем, связанных</w:t>
      </w:r>
      <w:r>
        <w:rPr>
          <w:u w:val="none"/>
        </w:rPr>
        <w:t xml:space="preserve"> </w:t>
      </w:r>
      <w:r>
        <w:t>со здоровьем</w:t>
      </w:r>
      <w:r>
        <w:rPr>
          <w:u w:val="none"/>
        </w:rPr>
        <w:t xml:space="preserve"> </w:t>
      </w:r>
      <w:bookmarkEnd w:id="6"/>
    </w:p>
    <w:p w:rsidR="005A3F38" w:rsidRDefault="003114B5">
      <w:pPr>
        <w:spacing w:after="127" w:line="249" w:lineRule="auto"/>
        <w:ind w:left="1078" w:hanging="10"/>
      </w:pPr>
      <w:r>
        <w:rPr>
          <w:rFonts w:ascii="Times New Roman" w:eastAsia="Times New Roman" w:hAnsi="Times New Roman" w:cs="Times New Roman"/>
          <w:b/>
          <w:sz w:val="24"/>
        </w:rPr>
        <w:t xml:space="preserve">Кодирование по МКБ-10 </w:t>
      </w:r>
    </w:p>
    <w:p w:rsidR="005A3F38" w:rsidRDefault="003114B5">
      <w:pPr>
        <w:spacing w:after="149"/>
        <w:ind w:left="1078" w:right="2" w:hanging="10"/>
        <w:jc w:val="both"/>
      </w:pPr>
      <w:r>
        <w:rPr>
          <w:rFonts w:ascii="Times New Roman" w:eastAsia="Times New Roman" w:hAnsi="Times New Roman" w:cs="Times New Roman"/>
          <w:sz w:val="24"/>
        </w:rPr>
        <w:t>J00 - Острый назофарингит (насморк)</w:t>
      </w:r>
      <w:r>
        <w:rPr>
          <w:rFonts w:ascii="Times New Roman" w:eastAsia="Times New Roman" w:hAnsi="Times New Roman" w:cs="Times New Roman"/>
          <w:sz w:val="24"/>
          <w:vertAlign w:val="superscript"/>
        </w:rPr>
        <w:t xml:space="preserve">1 </w:t>
      </w:r>
    </w:p>
    <w:p w:rsidR="005A3F38" w:rsidRDefault="003114B5">
      <w:pPr>
        <w:spacing w:after="112"/>
        <w:ind w:left="1078" w:right="2" w:hanging="10"/>
        <w:jc w:val="both"/>
      </w:pPr>
      <w:r>
        <w:rPr>
          <w:rFonts w:ascii="Times New Roman" w:eastAsia="Times New Roman" w:hAnsi="Times New Roman" w:cs="Times New Roman"/>
          <w:sz w:val="24"/>
        </w:rPr>
        <w:t xml:space="preserve">J04.1 - </w:t>
      </w:r>
      <w:r>
        <w:rPr>
          <w:rFonts w:ascii="Times New Roman" w:eastAsia="Times New Roman" w:hAnsi="Times New Roman" w:cs="Times New Roman"/>
          <w:sz w:val="24"/>
        </w:rPr>
        <w:t xml:space="preserve">Острый трахеит </w:t>
      </w:r>
    </w:p>
    <w:p w:rsidR="005A3F38" w:rsidRDefault="003114B5">
      <w:pPr>
        <w:spacing w:after="115"/>
        <w:ind w:left="1078" w:right="2" w:hanging="10"/>
        <w:jc w:val="both"/>
      </w:pPr>
      <w:r>
        <w:rPr>
          <w:rFonts w:ascii="Times New Roman" w:eastAsia="Times New Roman" w:hAnsi="Times New Roman" w:cs="Times New Roman"/>
          <w:sz w:val="24"/>
        </w:rPr>
        <w:t xml:space="preserve">J06.0 - Острый ларингофарингит </w:t>
      </w:r>
    </w:p>
    <w:p w:rsidR="005A3F38" w:rsidRDefault="003114B5">
      <w:pPr>
        <w:spacing w:after="112"/>
        <w:ind w:left="1078" w:right="2" w:hanging="10"/>
        <w:jc w:val="both"/>
      </w:pPr>
      <w:r>
        <w:rPr>
          <w:rFonts w:ascii="Times New Roman" w:eastAsia="Times New Roman" w:hAnsi="Times New Roman" w:cs="Times New Roman"/>
          <w:sz w:val="24"/>
        </w:rPr>
        <w:t xml:space="preserve">J06.8 – Другие острые инфекции верхних дыхательных путей множественной локализации </w:t>
      </w:r>
    </w:p>
    <w:p w:rsidR="005A3F38" w:rsidRDefault="003114B5">
      <w:pPr>
        <w:spacing w:after="115"/>
        <w:ind w:left="1078" w:right="2" w:hanging="10"/>
        <w:jc w:val="both"/>
      </w:pPr>
      <w:r>
        <w:rPr>
          <w:rFonts w:ascii="Times New Roman" w:eastAsia="Times New Roman" w:hAnsi="Times New Roman" w:cs="Times New Roman"/>
          <w:sz w:val="24"/>
        </w:rPr>
        <w:t xml:space="preserve">J06.9 - Острая инфекция верхних дыхательных путей неуточненная </w:t>
      </w:r>
    </w:p>
    <w:p w:rsidR="005A3F38" w:rsidRDefault="003114B5">
      <w:pPr>
        <w:spacing w:after="112"/>
        <w:ind w:left="1078" w:right="2" w:hanging="10"/>
        <w:jc w:val="both"/>
      </w:pPr>
      <w:r>
        <w:rPr>
          <w:rFonts w:ascii="Times New Roman" w:eastAsia="Times New Roman" w:hAnsi="Times New Roman" w:cs="Times New Roman"/>
          <w:sz w:val="24"/>
        </w:rPr>
        <w:t xml:space="preserve">J39.9 – Болезнь верхних дыхательных путей неуточненная </w:t>
      </w:r>
    </w:p>
    <w:p w:rsidR="005A3F38" w:rsidRDefault="003114B5">
      <w:pPr>
        <w:spacing w:after="115"/>
        <w:ind w:left="1078" w:right="2" w:hanging="10"/>
        <w:jc w:val="both"/>
      </w:pPr>
      <w:r>
        <w:rPr>
          <w:rFonts w:ascii="Times New Roman" w:eastAsia="Times New Roman" w:hAnsi="Times New Roman" w:cs="Times New Roman"/>
          <w:sz w:val="24"/>
        </w:rPr>
        <w:t>B</w:t>
      </w:r>
      <w:r>
        <w:rPr>
          <w:rFonts w:ascii="Times New Roman" w:eastAsia="Times New Roman" w:hAnsi="Times New Roman" w:cs="Times New Roman"/>
          <w:sz w:val="24"/>
        </w:rPr>
        <w:t xml:space="preserve">34.0 – Аденовирусная инфекция неуточненной локализации </w:t>
      </w:r>
    </w:p>
    <w:p w:rsidR="005A3F38" w:rsidRDefault="003114B5">
      <w:pPr>
        <w:spacing w:after="93"/>
        <w:ind w:left="1078" w:right="2" w:hanging="10"/>
        <w:jc w:val="both"/>
      </w:pPr>
      <w:r>
        <w:rPr>
          <w:rFonts w:ascii="Times New Roman" w:eastAsia="Times New Roman" w:hAnsi="Times New Roman" w:cs="Times New Roman"/>
          <w:sz w:val="24"/>
        </w:rPr>
        <w:t xml:space="preserve">B34.2 – Коронавирусная инфекция неуточненной локализации </w:t>
      </w:r>
    </w:p>
    <w:p w:rsidR="005A3F38" w:rsidRDefault="003114B5">
      <w:pPr>
        <w:spacing w:after="0"/>
        <w:ind w:left="1915" w:hanging="10"/>
        <w:jc w:val="both"/>
      </w:pPr>
      <w:r>
        <w:rPr>
          <w:rFonts w:ascii="Times New Roman" w:eastAsia="Times New Roman" w:hAnsi="Times New Roman" w:cs="Times New Roman"/>
          <w:i/>
        </w:rPr>
        <w:t xml:space="preserve">Исключено: </w:t>
      </w:r>
    </w:p>
    <w:p w:rsidR="005A3F38" w:rsidRDefault="003114B5">
      <w:pPr>
        <w:spacing w:after="0"/>
        <w:ind w:left="1915" w:hanging="10"/>
        <w:jc w:val="both"/>
      </w:pPr>
      <w:r>
        <w:rPr>
          <w:rFonts w:ascii="Times New Roman" w:eastAsia="Times New Roman" w:hAnsi="Times New Roman" w:cs="Times New Roman"/>
          <w:i/>
        </w:rPr>
        <w:t xml:space="preserve">тяжелый острый респираторный синдром [ТОРС], неуточненный (U04.9) </w:t>
      </w:r>
    </w:p>
    <w:p w:rsidR="005A3F38" w:rsidRDefault="003114B5">
      <w:pPr>
        <w:spacing w:after="0"/>
        <w:ind w:left="1915" w:hanging="10"/>
        <w:jc w:val="both"/>
      </w:pPr>
      <w:r>
        <w:rPr>
          <w:rFonts w:ascii="Times New Roman" w:eastAsia="Times New Roman" w:hAnsi="Times New Roman" w:cs="Times New Roman"/>
          <w:i/>
        </w:rPr>
        <w:t xml:space="preserve">COVID-19, вирус идентифицирован (U07.1) </w:t>
      </w:r>
    </w:p>
    <w:p w:rsidR="005A3F38" w:rsidRDefault="003114B5">
      <w:pPr>
        <w:spacing w:after="103"/>
        <w:ind w:left="1915" w:hanging="10"/>
        <w:jc w:val="both"/>
      </w:pPr>
      <w:r>
        <w:rPr>
          <w:rFonts w:ascii="Times New Roman" w:eastAsia="Times New Roman" w:hAnsi="Times New Roman" w:cs="Times New Roman"/>
          <w:i/>
        </w:rPr>
        <w:t>COVID-19, вирус не иде</w:t>
      </w:r>
      <w:r>
        <w:rPr>
          <w:rFonts w:ascii="Times New Roman" w:eastAsia="Times New Roman" w:hAnsi="Times New Roman" w:cs="Times New Roman"/>
          <w:i/>
        </w:rPr>
        <w:t xml:space="preserve">нтифицирован (U07.2) </w:t>
      </w:r>
    </w:p>
    <w:p w:rsidR="005A3F38" w:rsidRDefault="003114B5">
      <w:pPr>
        <w:spacing w:after="103"/>
        <w:ind w:left="1920"/>
      </w:pPr>
      <w:r>
        <w:rPr>
          <w:rFonts w:ascii="Times New Roman" w:eastAsia="Times New Roman" w:hAnsi="Times New Roman" w:cs="Times New Roman"/>
          <w:i/>
        </w:rPr>
        <w:t xml:space="preserve"> </w:t>
      </w:r>
    </w:p>
    <w:p w:rsidR="005A3F38" w:rsidRDefault="003114B5">
      <w:pPr>
        <w:spacing w:after="105"/>
        <w:ind w:left="1068"/>
      </w:pPr>
      <w:r>
        <w:rPr>
          <w:rFonts w:ascii="Times New Roman" w:eastAsia="Times New Roman" w:hAnsi="Times New Roman" w:cs="Times New Roman"/>
          <w:b/>
          <w:i/>
          <w:u w:val="single" w:color="000000"/>
        </w:rPr>
        <w:t>Примечания:</w:t>
      </w:r>
      <w:r>
        <w:rPr>
          <w:rFonts w:ascii="Times New Roman" w:eastAsia="Times New Roman" w:hAnsi="Times New Roman" w:cs="Times New Roman"/>
          <w:b/>
          <w:i/>
        </w:rPr>
        <w:t xml:space="preserve"> </w:t>
      </w:r>
    </w:p>
    <w:p w:rsidR="005A3F38" w:rsidRDefault="003114B5">
      <w:pPr>
        <w:spacing w:after="12"/>
        <w:ind w:left="1920"/>
      </w:pPr>
      <w:r>
        <w:rPr>
          <w:rFonts w:ascii="Times New Roman" w:eastAsia="Times New Roman" w:hAnsi="Times New Roman" w:cs="Times New Roman"/>
          <w:i/>
        </w:rPr>
        <w:t xml:space="preserve"> </w:t>
      </w:r>
    </w:p>
    <w:p w:rsidR="005A3F38" w:rsidRDefault="003114B5">
      <w:pPr>
        <w:spacing w:after="0"/>
        <w:ind w:left="1354"/>
      </w:pPr>
      <w:r>
        <w:rPr>
          <w:rFonts w:ascii="Times New Roman" w:eastAsia="Times New Roman" w:hAnsi="Times New Roman" w:cs="Times New Roman"/>
          <w:i/>
          <w:sz w:val="14"/>
        </w:rPr>
        <w:t xml:space="preserve">1 </w:t>
      </w:r>
    </w:p>
    <w:p w:rsidR="005A3F38" w:rsidRDefault="003114B5">
      <w:pPr>
        <w:spacing w:after="0" w:line="356" w:lineRule="auto"/>
        <w:ind w:left="1354" w:firstLine="103"/>
        <w:jc w:val="both"/>
      </w:pPr>
      <w:r>
        <w:rPr>
          <w:rFonts w:ascii="Times New Roman" w:eastAsia="Times New Roman" w:hAnsi="Times New Roman" w:cs="Times New Roman"/>
          <w:i/>
        </w:rPr>
        <w:t xml:space="preserve">- Острый назофарингит – согласно классификации менингококковой инфекции В.И.Покровского – используется только для определения локализованной формы МИ, в отношении настоящих клинических рекомендаций – </w:t>
      </w:r>
      <w:r>
        <w:rPr>
          <w:rFonts w:ascii="Times New Roman" w:eastAsia="Times New Roman" w:hAnsi="Times New Roman" w:cs="Times New Roman"/>
          <w:i/>
        </w:rPr>
        <w:t xml:space="preserve">код используется для обозначения острого ринофарингита, либо острого ринита </w:t>
      </w:r>
    </w:p>
    <w:p w:rsidR="005A3F38" w:rsidRDefault="003114B5">
      <w:pPr>
        <w:spacing w:after="120"/>
        <w:ind w:left="1920"/>
      </w:pPr>
      <w:r>
        <w:rPr>
          <w:rFonts w:ascii="Times New Roman" w:eastAsia="Times New Roman" w:hAnsi="Times New Roman" w:cs="Times New Roman"/>
          <w:i/>
        </w:rPr>
        <w:t xml:space="preserve"> </w:t>
      </w:r>
    </w:p>
    <w:p w:rsidR="005A3F38" w:rsidRDefault="003114B5">
      <w:pPr>
        <w:pStyle w:val="Heading2"/>
        <w:ind w:left="1063"/>
      </w:pPr>
      <w:bookmarkStart w:id="7" w:name="_Toc141880"/>
      <w:r>
        <w:t>1.5 Классификация</w:t>
      </w:r>
      <w:r>
        <w:t xml:space="preserve"> </w:t>
      </w:r>
      <w:r>
        <w:t>заболевания или состояния (группы заболеваний или состояний)</w:t>
      </w:r>
      <w:r>
        <w:rPr>
          <w:sz w:val="20"/>
          <w:u w:val="none"/>
        </w:rPr>
        <w:t xml:space="preserve"> </w:t>
      </w:r>
      <w:bookmarkEnd w:id="7"/>
    </w:p>
    <w:p w:rsidR="005A3F38" w:rsidRDefault="003114B5">
      <w:pPr>
        <w:spacing w:after="5" w:line="364" w:lineRule="auto"/>
        <w:ind w:left="345" w:right="2" w:firstLine="708"/>
        <w:jc w:val="both"/>
      </w:pPr>
      <w:r>
        <w:rPr>
          <w:rFonts w:ascii="Times New Roman" w:eastAsia="Times New Roman" w:hAnsi="Times New Roman" w:cs="Times New Roman"/>
          <w:sz w:val="24"/>
        </w:rPr>
        <w:t xml:space="preserve">Критерии определения степени тяжести </w:t>
      </w:r>
      <w:r>
        <w:rPr>
          <w:rFonts w:ascii="Times New Roman" w:eastAsia="Times New Roman" w:hAnsi="Times New Roman" w:cs="Times New Roman"/>
          <w:sz w:val="24"/>
        </w:rPr>
        <w:t xml:space="preserve">ОРВИ (фарингита, ларингита, трахеита) до настоящего времени дискутируются. </w:t>
      </w:r>
    </w:p>
    <w:p w:rsidR="005A3F38" w:rsidRDefault="003114B5">
      <w:pPr>
        <w:spacing w:after="0" w:line="359" w:lineRule="auto"/>
        <w:ind w:left="345" w:right="-3" w:firstLine="309"/>
        <w:jc w:val="both"/>
      </w:pPr>
      <w:r>
        <w:rPr>
          <w:rFonts w:ascii="Times New Roman" w:eastAsia="Times New Roman" w:hAnsi="Times New Roman" w:cs="Times New Roman"/>
          <w:b/>
          <w:sz w:val="24"/>
        </w:rPr>
        <w:t>Значения температуры тела у детей не показательны в отношении определения степени тяжести состояния пациента с острой респираторной инфекцией</w:t>
      </w:r>
      <w:r>
        <w:rPr>
          <w:rFonts w:ascii="Times New Roman" w:eastAsia="Times New Roman" w:hAnsi="Times New Roman" w:cs="Times New Roman"/>
          <w:sz w:val="24"/>
        </w:rPr>
        <w:t xml:space="preserve"> [25]. </w:t>
      </w:r>
      <w:r>
        <w:rPr>
          <w:rFonts w:ascii="Times New Roman" w:eastAsia="Times New Roman" w:hAnsi="Times New Roman" w:cs="Times New Roman"/>
          <w:b/>
          <w:i/>
          <w:sz w:val="24"/>
          <w:u w:val="single" w:color="000000"/>
        </w:rPr>
        <w:t>Опасные для жизни</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состояния могу</w:t>
      </w:r>
      <w:r>
        <w:rPr>
          <w:rFonts w:ascii="Times New Roman" w:eastAsia="Times New Roman" w:hAnsi="Times New Roman" w:cs="Times New Roman"/>
          <w:b/>
          <w:i/>
          <w:sz w:val="24"/>
          <w:u w:val="single" w:color="000000"/>
        </w:rPr>
        <w:t>т наблюдаться и при отсутствии повышения температуры тела у ребенка.</w:t>
      </w:r>
      <w:r>
        <w:rPr>
          <w:rFonts w:ascii="Times New Roman" w:eastAsia="Times New Roman" w:hAnsi="Times New Roman" w:cs="Times New Roman"/>
          <w:b/>
          <w:i/>
          <w:sz w:val="24"/>
        </w:rPr>
        <w:t xml:space="preserve">  </w:t>
      </w:r>
    </w:p>
    <w:p w:rsidR="005A3F38" w:rsidRDefault="003114B5">
      <w:pPr>
        <w:spacing w:after="5" w:line="364" w:lineRule="auto"/>
        <w:ind w:left="345" w:right="2" w:firstLine="319"/>
        <w:jc w:val="both"/>
      </w:pPr>
      <w:r>
        <w:rPr>
          <w:rFonts w:ascii="Times New Roman" w:eastAsia="Times New Roman" w:hAnsi="Times New Roman" w:cs="Times New Roman"/>
          <w:sz w:val="24"/>
        </w:rPr>
        <w:t>Также необходимо помнить о группах риска (в т.ч., детей с тяжелой преморбидной патологией), которым следует уделять повышенное внимание вследствие более высокой вероятности развития осл</w:t>
      </w:r>
      <w:r>
        <w:rPr>
          <w:rFonts w:ascii="Times New Roman" w:eastAsia="Times New Roman" w:hAnsi="Times New Roman" w:cs="Times New Roman"/>
          <w:sz w:val="24"/>
        </w:rPr>
        <w:t xml:space="preserve">ожнений даже при нетяжелом течении ОРВИ. </w:t>
      </w:r>
      <w:r>
        <w:rPr>
          <w:rFonts w:ascii="Times New Roman" w:eastAsia="Times New Roman" w:hAnsi="Times New Roman" w:cs="Times New Roman"/>
          <w:b/>
          <w:i/>
          <w:sz w:val="24"/>
        </w:rPr>
        <w:t>Таким образом, в практической работе первостепенное значение имеет стратификация риска для пациента</w:t>
      </w:r>
      <w:r>
        <w:rPr>
          <w:rFonts w:ascii="Times New Roman" w:eastAsia="Times New Roman" w:hAnsi="Times New Roman" w:cs="Times New Roman"/>
          <w:sz w:val="24"/>
        </w:rPr>
        <w:t xml:space="preserve">. </w:t>
      </w:r>
    </w:p>
    <w:p w:rsidR="005A3F38" w:rsidRDefault="003114B5">
      <w:pPr>
        <w:spacing w:after="112"/>
        <w:ind w:left="680"/>
      </w:pPr>
      <w:r>
        <w:rPr>
          <w:rFonts w:ascii="Times New Roman" w:eastAsia="Times New Roman" w:hAnsi="Times New Roman" w:cs="Times New Roman"/>
          <w:sz w:val="24"/>
        </w:rPr>
        <w:t xml:space="preserve"> </w:t>
      </w:r>
    </w:p>
    <w:p w:rsidR="005A3F38" w:rsidRDefault="003114B5">
      <w:pPr>
        <w:spacing w:after="127" w:line="249" w:lineRule="auto"/>
        <w:ind w:left="690" w:hanging="10"/>
      </w:pPr>
      <w:r>
        <w:rPr>
          <w:rFonts w:ascii="Times New Roman" w:eastAsia="Times New Roman" w:hAnsi="Times New Roman" w:cs="Times New Roman"/>
          <w:b/>
          <w:sz w:val="24"/>
        </w:rPr>
        <w:t xml:space="preserve">Условно можно определять следующие формы ОРВИ по степеням тяжести: </w:t>
      </w:r>
    </w:p>
    <w:p w:rsidR="005A3F38" w:rsidRDefault="003114B5">
      <w:pPr>
        <w:numPr>
          <w:ilvl w:val="0"/>
          <w:numId w:val="1"/>
        </w:numPr>
        <w:spacing w:after="5" w:line="364" w:lineRule="auto"/>
        <w:ind w:right="2" w:firstLine="319"/>
        <w:jc w:val="both"/>
      </w:pPr>
      <w:r>
        <w:rPr>
          <w:rFonts w:ascii="Times New Roman" w:eastAsia="Times New Roman" w:hAnsi="Times New Roman" w:cs="Times New Roman"/>
          <w:b/>
          <w:sz w:val="24"/>
        </w:rPr>
        <w:t>легкая форма</w:t>
      </w:r>
      <w:r>
        <w:rPr>
          <w:rFonts w:ascii="Times New Roman" w:eastAsia="Times New Roman" w:hAnsi="Times New Roman" w:cs="Times New Roman"/>
          <w:sz w:val="24"/>
        </w:rPr>
        <w:t xml:space="preserve"> - случаи заболевания, протекаю</w:t>
      </w:r>
      <w:r>
        <w:rPr>
          <w:rFonts w:ascii="Times New Roman" w:eastAsia="Times New Roman" w:hAnsi="Times New Roman" w:cs="Times New Roman"/>
          <w:sz w:val="24"/>
        </w:rPr>
        <w:t xml:space="preserve">щие со слабо выраженными симптомами интоксикации, неярко выраженными местными изменениями; </w:t>
      </w:r>
    </w:p>
    <w:p w:rsidR="005A3F38" w:rsidRDefault="003114B5">
      <w:pPr>
        <w:numPr>
          <w:ilvl w:val="0"/>
          <w:numId w:val="1"/>
        </w:numPr>
        <w:spacing w:after="5" w:line="364" w:lineRule="auto"/>
        <w:ind w:right="2" w:firstLine="319"/>
        <w:jc w:val="both"/>
      </w:pPr>
      <w:r>
        <w:rPr>
          <w:rFonts w:ascii="Times New Roman" w:eastAsia="Times New Roman" w:hAnsi="Times New Roman" w:cs="Times New Roman"/>
          <w:b/>
          <w:sz w:val="24"/>
        </w:rPr>
        <w:t>среднетяжелая форма</w:t>
      </w:r>
      <w:r>
        <w:rPr>
          <w:rFonts w:ascii="Times New Roman" w:eastAsia="Times New Roman" w:hAnsi="Times New Roman" w:cs="Times New Roman"/>
          <w:sz w:val="24"/>
        </w:rPr>
        <w:t xml:space="preserve"> – случаи заболевания, при которых симптомы интоксикации выражены умеренно: головная боль, слабость, ухудшение аппетита, возможен абдоминальный с</w:t>
      </w:r>
      <w:r>
        <w:rPr>
          <w:rFonts w:ascii="Times New Roman" w:eastAsia="Times New Roman" w:hAnsi="Times New Roman" w:cs="Times New Roman"/>
          <w:sz w:val="24"/>
        </w:rPr>
        <w:t xml:space="preserve">индром; </w:t>
      </w:r>
    </w:p>
    <w:p w:rsidR="005A3F38" w:rsidRDefault="003114B5">
      <w:pPr>
        <w:numPr>
          <w:ilvl w:val="0"/>
          <w:numId w:val="1"/>
        </w:numPr>
        <w:spacing w:after="5" w:line="364" w:lineRule="auto"/>
        <w:ind w:right="2" w:firstLine="319"/>
        <w:jc w:val="both"/>
      </w:pPr>
      <w:r>
        <w:rPr>
          <w:rFonts w:ascii="Times New Roman" w:eastAsia="Times New Roman" w:hAnsi="Times New Roman" w:cs="Times New Roman"/>
          <w:b/>
          <w:sz w:val="24"/>
        </w:rPr>
        <w:t>тяжелая форма</w:t>
      </w:r>
      <w:r>
        <w:rPr>
          <w:rFonts w:ascii="Times New Roman" w:eastAsia="Times New Roman" w:hAnsi="Times New Roman" w:cs="Times New Roman"/>
          <w:sz w:val="24"/>
        </w:rPr>
        <w:t xml:space="preserve"> – случаи заболевания с выраженным нарушением общего состояния, многократной рвотой/изменениями сердечно-сосудистой системы/выраженными местными проявлениями, тяжелыми метаболическими нарушениями, возможны головокружение/бред/ судорог</w:t>
      </w:r>
      <w:r>
        <w:rPr>
          <w:rFonts w:ascii="Times New Roman" w:eastAsia="Times New Roman" w:hAnsi="Times New Roman" w:cs="Times New Roman"/>
          <w:sz w:val="24"/>
        </w:rPr>
        <w:t xml:space="preserve">и/галлюцинации и др.; </w:t>
      </w:r>
    </w:p>
    <w:p w:rsidR="005A3F38" w:rsidRDefault="003114B5">
      <w:pPr>
        <w:spacing w:after="5" w:line="364" w:lineRule="auto"/>
        <w:ind w:left="345" w:right="2" w:firstLine="319"/>
        <w:jc w:val="both"/>
      </w:pPr>
      <w:r>
        <w:rPr>
          <w:rFonts w:ascii="Times New Roman" w:eastAsia="Times New Roman" w:hAnsi="Times New Roman" w:cs="Times New Roman"/>
          <w:b/>
          <w:sz w:val="24"/>
        </w:rPr>
        <w:t>Показателями особой тяжести</w:t>
      </w:r>
      <w:r>
        <w:rPr>
          <w:rFonts w:ascii="Times New Roman" w:eastAsia="Times New Roman" w:hAnsi="Times New Roman" w:cs="Times New Roman"/>
          <w:sz w:val="24"/>
        </w:rPr>
        <w:t xml:space="preserve"> являются судорожный, менингеальный, геморрагический синдромы и признаки энцефалита, гипотермия [8]. </w:t>
      </w:r>
    </w:p>
    <w:p w:rsidR="005A3F38" w:rsidRDefault="003114B5">
      <w:pPr>
        <w:spacing w:after="112"/>
        <w:ind w:left="680"/>
      </w:pPr>
      <w:r>
        <w:rPr>
          <w:rFonts w:ascii="Times New Roman" w:eastAsia="Times New Roman" w:hAnsi="Times New Roman" w:cs="Times New Roman"/>
          <w:sz w:val="24"/>
        </w:rPr>
        <w:t xml:space="preserve"> </w:t>
      </w:r>
    </w:p>
    <w:p w:rsidR="005A3F38" w:rsidRDefault="003114B5">
      <w:pPr>
        <w:spacing w:after="5" w:line="364" w:lineRule="auto"/>
        <w:ind w:left="345" w:right="2" w:firstLine="319"/>
        <w:jc w:val="both"/>
      </w:pPr>
      <w:r>
        <w:rPr>
          <w:rFonts w:ascii="Times New Roman" w:eastAsia="Times New Roman" w:hAnsi="Times New Roman" w:cs="Times New Roman"/>
          <w:sz w:val="24"/>
        </w:rPr>
        <w:t>Следует ориентироваться на критерии, на основании которых проводится сортировка и соответствующая марш</w:t>
      </w:r>
      <w:r>
        <w:rPr>
          <w:rFonts w:ascii="Times New Roman" w:eastAsia="Times New Roman" w:hAnsi="Times New Roman" w:cs="Times New Roman"/>
          <w:sz w:val="24"/>
        </w:rPr>
        <w:t xml:space="preserve">рутизация пациентов с признаками респираторной инфекции (см. алгоритм Б1, Б2, Раздел «Организация оказания медицинской помощи») и динамику состояния пациента. </w:t>
      </w:r>
    </w:p>
    <w:p w:rsidR="005A3F38" w:rsidRDefault="003114B5">
      <w:pPr>
        <w:spacing w:after="112"/>
        <w:ind w:left="680"/>
      </w:pPr>
      <w:r>
        <w:rPr>
          <w:rFonts w:ascii="Times New Roman" w:eastAsia="Times New Roman" w:hAnsi="Times New Roman" w:cs="Times New Roman"/>
          <w:sz w:val="24"/>
        </w:rPr>
        <w:t xml:space="preserve"> </w:t>
      </w:r>
    </w:p>
    <w:p w:rsidR="005A3F38" w:rsidRDefault="003114B5">
      <w:pPr>
        <w:pStyle w:val="Heading2"/>
        <w:ind w:left="690"/>
      </w:pPr>
      <w:bookmarkStart w:id="8" w:name="_Toc141881"/>
      <w:r>
        <w:t>1.6 Клиническая картина</w:t>
      </w:r>
      <w:r>
        <w:t xml:space="preserve"> </w:t>
      </w:r>
      <w:r>
        <w:t>заболевания или состояния (группы заболеваний или состояний)</w:t>
      </w:r>
      <w:r>
        <w:rPr>
          <w:u w:val="none"/>
        </w:rPr>
        <w:t xml:space="preserve"> </w:t>
      </w:r>
      <w:bookmarkEnd w:id="8"/>
    </w:p>
    <w:p w:rsidR="005A3F38" w:rsidRDefault="003114B5">
      <w:pPr>
        <w:spacing w:after="5" w:line="364" w:lineRule="auto"/>
        <w:ind w:left="345" w:right="2" w:firstLine="708"/>
        <w:jc w:val="both"/>
      </w:pPr>
      <w:r>
        <w:rPr>
          <w:rFonts w:ascii="Times New Roman" w:eastAsia="Times New Roman" w:hAnsi="Times New Roman" w:cs="Times New Roman"/>
          <w:sz w:val="24"/>
        </w:rPr>
        <w:t>Заболевание обычно начинается остро, часто сопровождается повышением температуры тела до субфебрильных цифр (37,5°С—38,0°С). Фебрильная лихорадка более свойственна гриппу, аденовирусной инфекции, энтеровирусным инфекциям. Повышенная температура у 82% пацие</w:t>
      </w:r>
      <w:r>
        <w:rPr>
          <w:rFonts w:ascii="Times New Roman" w:eastAsia="Times New Roman" w:hAnsi="Times New Roman" w:cs="Times New Roman"/>
          <w:sz w:val="24"/>
        </w:rPr>
        <w:t>нтов снижается на 2-3 день болезни; более длительно (до 5-7 дней) фебрилитет держится при гриппе и аденовирусной инфекции [26]. Нарастание уровня лихорадки в течение болезни, симптомы бактериальной интоксикации у ребенка должны настораживать в отношении пр</w:t>
      </w:r>
      <w:r>
        <w:rPr>
          <w:rFonts w:ascii="Times New Roman" w:eastAsia="Times New Roman" w:hAnsi="Times New Roman" w:cs="Times New Roman"/>
          <w:sz w:val="24"/>
        </w:rPr>
        <w:t xml:space="preserve">исоединения бактериальной инфекции. Повторный подъем температуры после кратковременного улучшения нередко бывает при развитии острого среднего отита на фоне продолжительного ринита. </w:t>
      </w:r>
    </w:p>
    <w:p w:rsidR="005A3F38" w:rsidRDefault="003114B5">
      <w:pPr>
        <w:spacing w:after="115"/>
        <w:ind w:left="1078" w:hanging="10"/>
        <w:jc w:val="both"/>
      </w:pPr>
      <w:r>
        <w:rPr>
          <w:rFonts w:ascii="Times New Roman" w:eastAsia="Times New Roman" w:hAnsi="Times New Roman" w:cs="Times New Roman"/>
          <w:i/>
          <w:sz w:val="24"/>
        </w:rPr>
        <w:t xml:space="preserve">Ринофарингит (ринит) </w:t>
      </w:r>
    </w:p>
    <w:p w:rsidR="005A3F38" w:rsidRDefault="003114B5">
      <w:pPr>
        <w:spacing w:after="0" w:line="358" w:lineRule="auto"/>
        <w:ind w:left="10" w:right="-1" w:hanging="10"/>
        <w:jc w:val="right"/>
      </w:pPr>
      <w:r>
        <w:rPr>
          <w:rFonts w:ascii="Times New Roman" w:eastAsia="Times New Roman" w:hAnsi="Times New Roman" w:cs="Times New Roman"/>
          <w:sz w:val="24"/>
        </w:rPr>
        <w:t>Для ринита характерны жалобы на заложенность носа, выделения из носовых ходов, неприятные ощущения в носоглотке: жжение, покалывание, сухость, нередко скопление слизистого отделяемого, которое, стекая по задней стенке глотки, может вызывать продуктивный ка</w:t>
      </w:r>
      <w:r>
        <w:rPr>
          <w:rFonts w:ascii="Times New Roman" w:eastAsia="Times New Roman" w:hAnsi="Times New Roman" w:cs="Times New Roman"/>
          <w:sz w:val="24"/>
        </w:rPr>
        <w:t xml:space="preserve">шель и чихание. Максимальная выраженность проявлений на 1-3 день, их длительность обычно не превышает 6-8 дней. Среди общих симптомов отмечается головная боль [27]. </w:t>
      </w:r>
    </w:p>
    <w:p w:rsidR="005A3F38" w:rsidRDefault="003114B5">
      <w:pPr>
        <w:spacing w:after="5" w:line="364" w:lineRule="auto"/>
        <w:ind w:left="345" w:right="2" w:firstLine="708"/>
        <w:jc w:val="both"/>
      </w:pPr>
      <w:r>
        <w:rPr>
          <w:rFonts w:ascii="Times New Roman" w:eastAsia="Times New Roman" w:hAnsi="Times New Roman" w:cs="Times New Roman"/>
          <w:sz w:val="24"/>
        </w:rPr>
        <w:t xml:space="preserve">При распространении воспаления на слизистую оболочку слуховых труб (евстахеит) появляются </w:t>
      </w:r>
      <w:r>
        <w:rPr>
          <w:rFonts w:ascii="Times New Roman" w:eastAsia="Times New Roman" w:hAnsi="Times New Roman" w:cs="Times New Roman"/>
          <w:sz w:val="24"/>
        </w:rPr>
        <w:t xml:space="preserve">пощелкивание, шум и боль в ушах, может снизиться слух. У грудных детей на фоне выраженного затруднения носового дыхания могут отмечаться беспокойство, трудности при кормлении и засыпании [27]. </w:t>
      </w:r>
    </w:p>
    <w:p w:rsidR="005A3F38" w:rsidRDefault="003114B5">
      <w:pPr>
        <w:spacing w:after="115"/>
        <w:ind w:left="1078" w:hanging="10"/>
        <w:jc w:val="both"/>
      </w:pPr>
      <w:r>
        <w:rPr>
          <w:rFonts w:ascii="Times New Roman" w:eastAsia="Times New Roman" w:hAnsi="Times New Roman" w:cs="Times New Roman"/>
          <w:i/>
          <w:sz w:val="24"/>
        </w:rPr>
        <w:t xml:space="preserve">Ларингит </w:t>
      </w:r>
    </w:p>
    <w:p w:rsidR="005A3F38" w:rsidRDefault="003114B5">
      <w:pPr>
        <w:spacing w:after="5" w:line="364" w:lineRule="auto"/>
        <w:ind w:left="345" w:right="2" w:firstLine="708"/>
        <w:jc w:val="both"/>
      </w:pPr>
      <w:r>
        <w:rPr>
          <w:rFonts w:ascii="Times New Roman" w:eastAsia="Times New Roman" w:hAnsi="Times New Roman" w:cs="Times New Roman"/>
          <w:sz w:val="24"/>
        </w:rPr>
        <w:t>Характерным симптомом ларингита является осиплость г</w:t>
      </w:r>
      <w:r>
        <w:rPr>
          <w:rFonts w:ascii="Times New Roman" w:eastAsia="Times New Roman" w:hAnsi="Times New Roman" w:cs="Times New Roman"/>
          <w:sz w:val="24"/>
        </w:rPr>
        <w:t xml:space="preserve">олоса. В отличие от синдрома крупа (обструктивного ларинготрахеита), ларингит не сопровождается стенозом гортани, дыхательной недостаточностью. Может отмечаться грубый сухой кашель (см. Клинические рекомендации «Острый ларингит»). </w:t>
      </w:r>
    </w:p>
    <w:p w:rsidR="005A3F38" w:rsidRDefault="003114B5">
      <w:pPr>
        <w:spacing w:after="112"/>
        <w:ind w:left="1078" w:hanging="10"/>
        <w:jc w:val="both"/>
      </w:pPr>
      <w:r>
        <w:rPr>
          <w:rFonts w:ascii="Times New Roman" w:eastAsia="Times New Roman" w:hAnsi="Times New Roman" w:cs="Times New Roman"/>
          <w:i/>
          <w:sz w:val="24"/>
        </w:rPr>
        <w:t xml:space="preserve">Фарингит </w:t>
      </w:r>
    </w:p>
    <w:p w:rsidR="005A3F38" w:rsidRDefault="003114B5">
      <w:pPr>
        <w:spacing w:after="5" w:line="364" w:lineRule="auto"/>
        <w:ind w:left="345" w:right="2" w:firstLine="708"/>
        <w:jc w:val="both"/>
      </w:pPr>
      <w:r>
        <w:rPr>
          <w:rFonts w:ascii="Times New Roman" w:eastAsia="Times New Roman" w:hAnsi="Times New Roman" w:cs="Times New Roman"/>
          <w:sz w:val="24"/>
        </w:rPr>
        <w:t xml:space="preserve">При фарингите </w:t>
      </w:r>
      <w:r>
        <w:rPr>
          <w:rFonts w:ascii="Times New Roman" w:eastAsia="Times New Roman" w:hAnsi="Times New Roman" w:cs="Times New Roman"/>
          <w:sz w:val="24"/>
        </w:rPr>
        <w:t>выявляют гиперемию и отёчность задней стенки глотки, её зернистость, вызванную гиперплазией лимфоидных фолликулов. На задней стенке глотки может быть заметно небольшое количество слизи (катаральный фарингит) [27], фарингит также характеризуется непродуктив</w:t>
      </w:r>
      <w:r>
        <w:rPr>
          <w:rFonts w:ascii="Times New Roman" w:eastAsia="Times New Roman" w:hAnsi="Times New Roman" w:cs="Times New Roman"/>
          <w:sz w:val="24"/>
        </w:rPr>
        <w:t xml:space="preserve">ным, часто навязчивым кашлем. Этот симптом вызывает крайнее беспокойство родителей, доставляет неприятные ощущения ребенку, поскольку кашель может быть очень частым (см. Клинические рекомендации «Острый тонзиллит и фарингит (тонзиллофарингит)»). </w:t>
      </w:r>
    </w:p>
    <w:p w:rsidR="005A3F38" w:rsidRDefault="003114B5">
      <w:pPr>
        <w:spacing w:after="115"/>
        <w:ind w:left="1078" w:hanging="10"/>
        <w:jc w:val="both"/>
      </w:pPr>
      <w:r>
        <w:rPr>
          <w:rFonts w:ascii="Times New Roman" w:eastAsia="Times New Roman" w:hAnsi="Times New Roman" w:cs="Times New Roman"/>
          <w:i/>
          <w:sz w:val="24"/>
        </w:rPr>
        <w:t>Трахеит</w:t>
      </w:r>
      <w:r>
        <w:rPr>
          <w:rFonts w:ascii="Times New Roman" w:eastAsia="Times New Roman" w:hAnsi="Times New Roman" w:cs="Times New Roman"/>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sz w:val="24"/>
        </w:rPr>
        <w:t xml:space="preserve">При трахеите отмечается навязчивый и частый, изнуряющий пациента кашель, который впоследствии становится влажным, продуктивным. Симптомы трахеита при ОРВИ могут продолжаться до 10-14 дней [27]. </w:t>
      </w:r>
    </w:p>
    <w:p w:rsidR="005A3F38" w:rsidRDefault="003114B5">
      <w:pPr>
        <w:pStyle w:val="Heading1"/>
        <w:spacing w:after="115" w:line="259" w:lineRule="auto"/>
        <w:ind w:left="10" w:right="-3"/>
        <w:jc w:val="right"/>
      </w:pPr>
      <w:bookmarkStart w:id="9" w:name="_Toc141882"/>
      <w:r>
        <w:rPr>
          <w:sz w:val="24"/>
          <w:u w:val="single" w:color="000000"/>
        </w:rPr>
        <w:t>2. Диагностика</w:t>
      </w:r>
      <w:r>
        <w:rPr>
          <w:sz w:val="24"/>
          <w:u w:val="single" w:color="000000"/>
        </w:rPr>
        <w:t xml:space="preserve"> </w:t>
      </w:r>
      <w:r>
        <w:rPr>
          <w:sz w:val="24"/>
          <w:u w:val="single" w:color="000000"/>
        </w:rPr>
        <w:t xml:space="preserve">заболевания или состояния (группы заболеваний </w:t>
      </w:r>
      <w:r>
        <w:rPr>
          <w:sz w:val="24"/>
          <w:u w:val="single" w:color="000000"/>
        </w:rPr>
        <w:t>или состояний),</w:t>
      </w:r>
      <w:r>
        <w:rPr>
          <w:sz w:val="24"/>
        </w:rPr>
        <w:t xml:space="preserve"> </w:t>
      </w:r>
      <w:r>
        <w:rPr>
          <w:sz w:val="24"/>
          <w:u w:val="single" w:color="000000"/>
        </w:rPr>
        <w:t>медицинские показания и противопоказания к применению методов диагностики</w:t>
      </w:r>
      <w:r>
        <w:rPr>
          <w:sz w:val="24"/>
        </w:rPr>
        <w:t xml:space="preserve"> </w:t>
      </w:r>
      <w:bookmarkEnd w:id="9"/>
    </w:p>
    <w:p w:rsidR="005A3F38" w:rsidRDefault="003114B5">
      <w:pPr>
        <w:spacing w:after="2" w:line="356" w:lineRule="auto"/>
        <w:ind w:left="1068" w:hanging="708"/>
        <w:jc w:val="both"/>
      </w:pPr>
      <w:r>
        <w:rPr>
          <w:rFonts w:ascii="Times New Roman" w:eastAsia="Times New Roman" w:hAnsi="Times New Roman" w:cs="Times New Roman"/>
          <w:i/>
          <w:sz w:val="24"/>
        </w:rPr>
        <w:t xml:space="preserve">Общепринятых критериев ОРВИ верхних дыхательных путей нет. </w:t>
      </w:r>
    </w:p>
    <w:p w:rsidR="005A3F38" w:rsidRDefault="003114B5">
      <w:pPr>
        <w:spacing w:after="4" w:line="367" w:lineRule="auto"/>
        <w:ind w:left="345" w:firstLine="708"/>
        <w:jc w:val="both"/>
      </w:pPr>
      <w:r>
        <w:rPr>
          <w:rFonts w:ascii="Times New Roman" w:eastAsia="Times New Roman" w:hAnsi="Times New Roman" w:cs="Times New Roman"/>
          <w:i/>
          <w:sz w:val="24"/>
        </w:rPr>
        <w:t>Наблюдается катаральное воспаление верхних дыхательных путей, возможна лихорадка, чихание, кашель, боль в</w:t>
      </w:r>
      <w:r>
        <w:rPr>
          <w:rFonts w:ascii="Times New Roman" w:eastAsia="Times New Roman" w:hAnsi="Times New Roman" w:cs="Times New Roman"/>
          <w:i/>
          <w:sz w:val="24"/>
        </w:rPr>
        <w:t xml:space="preserve"> горле, осиплость/охриплость голоса, нарушение обоняния, нарушение общего состояния. </w:t>
      </w:r>
    </w:p>
    <w:p w:rsidR="005A3F38" w:rsidRDefault="003114B5">
      <w:pPr>
        <w:spacing w:after="4" w:line="367" w:lineRule="auto"/>
        <w:ind w:left="345" w:firstLine="708"/>
        <w:jc w:val="both"/>
      </w:pPr>
      <w:r>
        <w:rPr>
          <w:rFonts w:ascii="Times New Roman" w:eastAsia="Times New Roman" w:hAnsi="Times New Roman" w:cs="Times New Roman"/>
          <w:i/>
          <w:sz w:val="24"/>
        </w:rPr>
        <w:t>ОРВИ у детей диагностируют, опираясь на анализ жалоб, анамнез болезни, клинический осмотр, оценку эпидемиологического анамнеза, при необходимости выполняют лабораторные и</w:t>
      </w:r>
      <w:r>
        <w:rPr>
          <w:rFonts w:ascii="Times New Roman" w:eastAsia="Times New Roman" w:hAnsi="Times New Roman" w:cs="Times New Roman"/>
          <w:i/>
          <w:sz w:val="24"/>
        </w:rPr>
        <w:t xml:space="preserve"> специальные методы обследования. Диагностика, в первую очередь, направлена на выявление осложнений, выбор тактики лечения и маршрутизации пациента. </w:t>
      </w:r>
    </w:p>
    <w:p w:rsidR="005A3F38" w:rsidRDefault="003114B5">
      <w:pPr>
        <w:spacing w:after="4" w:line="367" w:lineRule="auto"/>
        <w:ind w:left="345" w:firstLine="708"/>
        <w:jc w:val="both"/>
      </w:pPr>
      <w:r>
        <w:rPr>
          <w:rFonts w:ascii="Times New Roman" w:eastAsia="Times New Roman" w:hAnsi="Times New Roman" w:cs="Times New Roman"/>
          <w:i/>
          <w:sz w:val="24"/>
        </w:rPr>
        <w:t>Ориентировочные</w:t>
      </w:r>
      <w:r>
        <w:rPr>
          <w:rFonts w:ascii="Times New Roman" w:eastAsia="Times New Roman" w:hAnsi="Times New Roman" w:cs="Times New Roman"/>
          <w:sz w:val="24"/>
        </w:rPr>
        <w:t xml:space="preserve"> </w:t>
      </w:r>
      <w:r>
        <w:rPr>
          <w:rFonts w:ascii="Times New Roman" w:eastAsia="Times New Roman" w:hAnsi="Times New Roman" w:cs="Times New Roman"/>
          <w:i/>
          <w:sz w:val="24"/>
        </w:rPr>
        <w:t>клинические и лабораторные показатели при синдроме системной воспалительной реакции у дете</w:t>
      </w:r>
      <w:r>
        <w:rPr>
          <w:rFonts w:ascii="Times New Roman" w:eastAsia="Times New Roman" w:hAnsi="Times New Roman" w:cs="Times New Roman"/>
          <w:i/>
          <w:sz w:val="24"/>
        </w:rPr>
        <w:t xml:space="preserve">й представлены в Приложении А3.4. </w:t>
      </w:r>
    </w:p>
    <w:p w:rsidR="005A3F38" w:rsidRDefault="003114B5">
      <w:pPr>
        <w:pStyle w:val="Heading2"/>
        <w:ind w:left="1063"/>
      </w:pPr>
      <w:bookmarkStart w:id="10" w:name="_Toc141883"/>
      <w:r>
        <w:t xml:space="preserve">2.1 </w:t>
      </w:r>
      <w:r>
        <w:t>Жалобы</w:t>
      </w:r>
      <w:r>
        <w:t xml:space="preserve"> </w:t>
      </w:r>
      <w:r>
        <w:t>и анамнез</w:t>
      </w:r>
      <w:r>
        <w:rPr>
          <w:u w:val="none"/>
        </w:rPr>
        <w:t xml:space="preserve">  </w:t>
      </w:r>
      <w:bookmarkEnd w:id="10"/>
    </w:p>
    <w:p w:rsidR="005A3F38" w:rsidRDefault="003114B5">
      <w:pPr>
        <w:spacing w:after="4" w:line="367" w:lineRule="auto"/>
        <w:ind w:left="345" w:firstLine="708"/>
        <w:jc w:val="both"/>
      </w:pPr>
      <w:r>
        <w:rPr>
          <w:rFonts w:ascii="Times New Roman" w:eastAsia="Times New Roman" w:hAnsi="Times New Roman" w:cs="Times New Roman"/>
          <w:i/>
          <w:sz w:val="24"/>
        </w:rPr>
        <w:t xml:space="preserve">Пациент или родители (законные представители) могут пожаловаться на остро возникший ринит и/или кашель (иногда - гиперемию конъюнктив при катаральном конъюнктивите </w:t>
      </w:r>
      <w:r>
        <w:rPr>
          <w:rFonts w:ascii="Times New Roman" w:eastAsia="Times New Roman" w:hAnsi="Times New Roman" w:cs="Times New Roman"/>
          <w:i/>
          <w:sz w:val="24"/>
        </w:rPr>
        <w:t xml:space="preserve">в сочетании с явлениями ринита, фарингита).  </w:t>
      </w:r>
    </w:p>
    <w:p w:rsidR="005A3F38" w:rsidRDefault="003114B5">
      <w:pPr>
        <w:spacing w:after="115"/>
        <w:ind w:left="355" w:hanging="10"/>
        <w:jc w:val="both"/>
      </w:pPr>
      <w:r>
        <w:rPr>
          <w:rFonts w:ascii="Times New Roman" w:eastAsia="Times New Roman" w:hAnsi="Times New Roman" w:cs="Times New Roman"/>
          <w:i/>
          <w:sz w:val="24"/>
        </w:rPr>
        <w:t xml:space="preserve">При сборе анамнеза следует обратить внимание на: </w:t>
      </w:r>
    </w:p>
    <w:p w:rsidR="005A3F38" w:rsidRDefault="003114B5">
      <w:pPr>
        <w:numPr>
          <w:ilvl w:val="0"/>
          <w:numId w:val="2"/>
        </w:numPr>
        <w:spacing w:after="4" w:line="367" w:lineRule="auto"/>
        <w:ind w:left="484" w:hanging="139"/>
        <w:jc w:val="both"/>
      </w:pPr>
      <w:r>
        <w:rPr>
          <w:rFonts w:ascii="Times New Roman" w:eastAsia="Times New Roman" w:hAnsi="Times New Roman" w:cs="Times New Roman"/>
          <w:i/>
          <w:sz w:val="24"/>
        </w:rPr>
        <w:t>сведения эпидемиологического анамнеза: о пребывании в очаге ОРВИ, заболеваемости в детском учреждении, контактах с больными детьми и взрослыми в период, соответ</w:t>
      </w:r>
      <w:r>
        <w:rPr>
          <w:rFonts w:ascii="Times New Roman" w:eastAsia="Times New Roman" w:hAnsi="Times New Roman" w:cs="Times New Roman"/>
          <w:i/>
          <w:sz w:val="24"/>
        </w:rPr>
        <w:t xml:space="preserve">ствующий инкубационному периоду; </w:t>
      </w:r>
    </w:p>
    <w:p w:rsidR="005A3F38" w:rsidRDefault="003114B5">
      <w:pPr>
        <w:numPr>
          <w:ilvl w:val="0"/>
          <w:numId w:val="2"/>
        </w:numPr>
        <w:spacing w:after="115"/>
        <w:ind w:left="484" w:hanging="139"/>
        <w:jc w:val="both"/>
      </w:pPr>
      <w:r>
        <w:rPr>
          <w:rFonts w:ascii="Times New Roman" w:eastAsia="Times New Roman" w:hAnsi="Times New Roman" w:cs="Times New Roman"/>
          <w:i/>
          <w:sz w:val="24"/>
        </w:rPr>
        <w:t xml:space="preserve">наличие эпидемического подъема заболеваемости ОРВИ; </w:t>
      </w:r>
    </w:p>
    <w:p w:rsidR="005A3F38" w:rsidRDefault="003114B5">
      <w:pPr>
        <w:numPr>
          <w:ilvl w:val="0"/>
          <w:numId w:val="2"/>
        </w:numPr>
        <w:spacing w:after="4" w:line="367" w:lineRule="auto"/>
        <w:ind w:left="484" w:hanging="139"/>
        <w:jc w:val="both"/>
      </w:pPr>
      <w:r>
        <w:rPr>
          <w:rFonts w:ascii="Times New Roman" w:eastAsia="Times New Roman" w:hAnsi="Times New Roman" w:cs="Times New Roman"/>
          <w:i/>
          <w:sz w:val="24"/>
        </w:rPr>
        <w:t xml:space="preserve">сезонность ОРВИ (осенне-зимний, зимне-весенний период) с максимумом подъема заболеваемости; - характер и длительность жалоб и клинических проявлений: общее недомогание, </w:t>
      </w:r>
      <w:r>
        <w:rPr>
          <w:rFonts w:ascii="Times New Roman" w:eastAsia="Times New Roman" w:hAnsi="Times New Roman" w:cs="Times New Roman"/>
          <w:i/>
          <w:sz w:val="24"/>
        </w:rPr>
        <w:t>повышение температуры тела, утомляемость, слабость, снижение аппетита, у детей грудного возраста - отказ от груди матери или затрудненное кормление, немотивированное беспокойство, головные боли, боли в горле, затруднение носового дыхания, насморк (ринорея)</w:t>
      </w:r>
      <w:r>
        <w:rPr>
          <w:rFonts w:ascii="Times New Roman" w:eastAsia="Times New Roman" w:hAnsi="Times New Roman" w:cs="Times New Roman"/>
          <w:i/>
          <w:sz w:val="24"/>
        </w:rPr>
        <w:t xml:space="preserve">, осиплость голоса, кашель (сухой и влажный), увеличение лимфоузлов, боли в животе.  </w:t>
      </w:r>
    </w:p>
    <w:p w:rsidR="005A3F38" w:rsidRDefault="003114B5">
      <w:pPr>
        <w:spacing w:after="4" w:line="367" w:lineRule="auto"/>
        <w:ind w:left="355" w:hanging="10"/>
        <w:jc w:val="both"/>
      </w:pPr>
      <w:r>
        <w:rPr>
          <w:rFonts w:ascii="Times New Roman" w:eastAsia="Times New Roman" w:hAnsi="Times New Roman" w:cs="Times New Roman"/>
          <w:i/>
          <w:sz w:val="24"/>
        </w:rPr>
        <w:t>При осложненном течении ОРВИ возможно появление одышки, проявляющейся в виде затруднения вдоха и/или выдоха, ощущение сердцебиения или перебоев в работе сердца, а также в</w:t>
      </w:r>
      <w:r>
        <w:rPr>
          <w:rFonts w:ascii="Times New Roman" w:eastAsia="Times New Roman" w:hAnsi="Times New Roman" w:cs="Times New Roman"/>
          <w:i/>
          <w:sz w:val="24"/>
        </w:rPr>
        <w:t xml:space="preserve">ыраженные головные боли, при некоторых – тошнота, рвота, судороги и потеря сознания (симптомы нейронфекции с клиникой отёка мозга); </w:t>
      </w:r>
    </w:p>
    <w:p w:rsidR="005A3F38" w:rsidRDefault="003114B5">
      <w:pPr>
        <w:numPr>
          <w:ilvl w:val="0"/>
          <w:numId w:val="2"/>
        </w:numPr>
        <w:spacing w:after="4" w:line="367" w:lineRule="auto"/>
        <w:ind w:left="484" w:hanging="139"/>
        <w:jc w:val="both"/>
      </w:pPr>
      <w:r>
        <w:rPr>
          <w:rFonts w:ascii="Times New Roman" w:eastAsia="Times New Roman" w:hAnsi="Times New Roman" w:cs="Times New Roman"/>
          <w:i/>
          <w:sz w:val="24"/>
        </w:rPr>
        <w:t>длительность заболевания и переносимость температуры (в т.ч., наличие фебрильных судорог, судорожного синдрома в анамнезе),</w:t>
      </w:r>
      <w:r>
        <w:rPr>
          <w:rFonts w:ascii="Times New Roman" w:eastAsia="Times New Roman" w:hAnsi="Times New Roman" w:cs="Times New Roman"/>
          <w:i/>
          <w:sz w:val="24"/>
        </w:rPr>
        <w:t xml:space="preserve"> динамику клинических симптомов (для воспалительного процесса при ОРВИ типична смена симптоматики – заложенность носа может смениться ринореей, сухой кашель постепенно становится продуктивным, температура в первые 3-4 дня может находиться на фебрильных пок</w:t>
      </w:r>
      <w:r>
        <w:rPr>
          <w:rFonts w:ascii="Times New Roman" w:eastAsia="Times New Roman" w:hAnsi="Times New Roman" w:cs="Times New Roman"/>
          <w:i/>
          <w:sz w:val="24"/>
        </w:rPr>
        <w:t xml:space="preserve">азателях, затем постепенно снижается до субфебрильных цифр); </w:t>
      </w:r>
    </w:p>
    <w:p w:rsidR="005A3F38" w:rsidRDefault="003114B5">
      <w:pPr>
        <w:numPr>
          <w:ilvl w:val="0"/>
          <w:numId w:val="2"/>
        </w:numPr>
        <w:spacing w:after="4" w:line="367" w:lineRule="auto"/>
        <w:ind w:left="484" w:hanging="139"/>
        <w:jc w:val="both"/>
      </w:pPr>
      <w:r>
        <w:rPr>
          <w:rFonts w:ascii="Times New Roman" w:eastAsia="Times New Roman" w:hAnsi="Times New Roman" w:cs="Times New Roman"/>
          <w:i/>
          <w:sz w:val="24"/>
        </w:rPr>
        <w:t>наличие сопутствующих хронических заболеваний для выявления факторов риска осложненного течения (ОРВИ - провоцирующий фактор для развития обострений хронических заболеваний); - оценить вакциналь</w:t>
      </w:r>
      <w:r>
        <w:rPr>
          <w:rFonts w:ascii="Times New Roman" w:eastAsia="Times New Roman" w:hAnsi="Times New Roman" w:cs="Times New Roman"/>
          <w:i/>
          <w:sz w:val="24"/>
        </w:rPr>
        <w:t xml:space="preserve">ный статус у всех детей (включая вакцинацию матери в период беременности для детей первых 6 месяцев жизни) и наличие пассивной иммунизации против РС-вирусной инфекции у детей в группах риска (группы риска см. в КР «Острый бронхиолит). </w:t>
      </w:r>
    </w:p>
    <w:p w:rsidR="005A3F38" w:rsidRDefault="003114B5">
      <w:pPr>
        <w:pStyle w:val="Heading2"/>
        <w:ind w:left="1063"/>
      </w:pPr>
      <w:bookmarkStart w:id="11" w:name="_Toc141884"/>
      <w:r>
        <w:t>2.2 Физикальное обсл</w:t>
      </w:r>
      <w:r>
        <w:t>едование</w:t>
      </w:r>
      <w:r>
        <w:rPr>
          <w:u w:val="none"/>
        </w:rPr>
        <w:t xml:space="preserve"> </w:t>
      </w:r>
      <w:bookmarkEnd w:id="11"/>
    </w:p>
    <w:p w:rsidR="005A3F38" w:rsidRDefault="003114B5">
      <w:pPr>
        <w:spacing w:after="93" w:line="367" w:lineRule="auto"/>
        <w:ind w:left="345" w:firstLine="708"/>
        <w:jc w:val="both"/>
      </w:pPr>
      <w:r>
        <w:rPr>
          <w:rFonts w:ascii="Times New Roman" w:eastAsia="Times New Roman" w:hAnsi="Times New Roman" w:cs="Times New Roman"/>
          <w:i/>
          <w:sz w:val="24"/>
        </w:rPr>
        <w:t>Осмотр подразумевает оценку общего состояния, физического развития ребенка и измерение температуры, подсчет частоты дыхания, сердечных сокращений, осмотр верхних дыхательных путей и ротоглотки, пальпацию и перкуссию грудной клетки, аускультацию л</w:t>
      </w:r>
      <w:r>
        <w:rPr>
          <w:rFonts w:ascii="Times New Roman" w:eastAsia="Times New Roman" w:hAnsi="Times New Roman" w:cs="Times New Roman"/>
          <w:i/>
          <w:sz w:val="24"/>
        </w:rPr>
        <w:t>егких, пальпацию живота (проводятся в рамках приема (осмотра, консультации) врача-педиатра первичного и повторного/ приема (осмотра, консультации) врача-участкового педиатра первичного и повторного/ приема (осмотра, консультации) врача общей практики (семе</w:t>
      </w:r>
      <w:r>
        <w:rPr>
          <w:rFonts w:ascii="Times New Roman" w:eastAsia="Times New Roman" w:hAnsi="Times New Roman" w:cs="Times New Roman"/>
          <w:i/>
          <w:sz w:val="24"/>
        </w:rPr>
        <w:t xml:space="preserve">йного врача) первичного и повторного/ приема (осмотра, консультации) врача-инфекциониста первичного и повторного).  </w:t>
      </w:r>
    </w:p>
    <w:p w:rsidR="005A3F38" w:rsidRDefault="003114B5">
      <w:pPr>
        <w:numPr>
          <w:ilvl w:val="0"/>
          <w:numId w:val="3"/>
        </w:numPr>
        <w:spacing w:after="5" w:line="364" w:lineRule="auto"/>
        <w:ind w:right="326" w:hanging="10"/>
        <w:jc w:val="both"/>
      </w:pPr>
      <w:r>
        <w:rPr>
          <w:rFonts w:ascii="Times New Roman" w:eastAsia="Times New Roman" w:hAnsi="Times New Roman" w:cs="Times New Roman"/>
          <w:sz w:val="24"/>
        </w:rPr>
        <w:t>Рекомендовано всем пациентам с подозрением на ОРВИ для подтвеждения диагноза осмотреть кожные покровы и видимые слизистые оболочки и оценит</w:t>
      </w:r>
      <w:r>
        <w:rPr>
          <w:rFonts w:ascii="Times New Roman" w:eastAsia="Times New Roman" w:hAnsi="Times New Roman" w:cs="Times New Roman"/>
          <w:sz w:val="24"/>
        </w:rPr>
        <w:t>ь цвет (гиперемия, бледность, цианоз), влажность, наличие отечности и инъекции сосудов склер, гиперемии дужек и/или слизистой оболочки задней стенки глотки, ее рыхлость и зернистость, увеличение лимфоидных фолликулов по задней стенке глотки, реже миндалин,</w:t>
      </w:r>
      <w:r>
        <w:rPr>
          <w:rFonts w:ascii="Times New Roman" w:eastAsia="Times New Roman" w:hAnsi="Times New Roman" w:cs="Times New Roman"/>
          <w:sz w:val="24"/>
        </w:rPr>
        <w:t xml:space="preserve"> оценить состояние регионарных лимфатических узлов (визуальный осмотр терапевтический в рамках приема (осмотра, консультации) врача-педиатра первичного и повторного/ приема (осмотра, консультации) врача-участкового педиатра первичного и повторного/ приема </w:t>
      </w:r>
      <w:r>
        <w:rPr>
          <w:rFonts w:ascii="Times New Roman" w:eastAsia="Times New Roman" w:hAnsi="Times New Roman" w:cs="Times New Roman"/>
          <w:sz w:val="24"/>
        </w:rPr>
        <w:t xml:space="preserve">(осмотра, консультации) врача общей практики (семейного врача) первичного и повторного/ приема (осмотра, консультации) врача-инфекциониста первичного и повторного) [28, </w:t>
      </w:r>
    </w:p>
    <w:p w:rsidR="005A3F38" w:rsidRDefault="003114B5">
      <w:pPr>
        <w:spacing w:after="128" w:line="249" w:lineRule="auto"/>
        <w:ind w:left="355" w:right="11" w:hanging="10"/>
      </w:pPr>
      <w:r>
        <w:rPr>
          <w:rFonts w:ascii="Times New Roman" w:eastAsia="Times New Roman" w:hAnsi="Times New Roman" w:cs="Times New Roman"/>
          <w:sz w:val="24"/>
        </w:rPr>
        <w:t xml:space="preserve">29]. </w:t>
      </w:r>
    </w:p>
    <w:p w:rsidR="005A3F38" w:rsidRDefault="003114B5">
      <w:pPr>
        <w:spacing w:after="265" w:line="249" w:lineRule="auto"/>
        <w:ind w:left="355" w:hanging="10"/>
      </w:pPr>
      <w:r>
        <w:rPr>
          <w:rFonts w:ascii="Times New Roman" w:eastAsia="Times New Roman" w:hAnsi="Times New Roman" w:cs="Times New Roman"/>
          <w:b/>
          <w:sz w:val="24"/>
        </w:rPr>
        <w:t xml:space="preserve">Уровень убедительности рекомендаций – C (уровень доказательности - 5) </w:t>
      </w:r>
    </w:p>
    <w:p w:rsidR="005A3F38" w:rsidRDefault="003114B5">
      <w:pPr>
        <w:spacing w:after="4" w:line="365" w:lineRule="auto"/>
        <w:ind w:left="355" w:right="449" w:hanging="10"/>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 xml:space="preserve">на начальном этапе диагностики ОРВИ выявляют катаральные симптомы. В ряде случав - болезненность и увеличение размеров регионарных лимфатических узлов. Однако, вышеуказанные симптомы также могут являться проявлением некоторых бактериальных </w:t>
      </w:r>
      <w:r>
        <w:rPr>
          <w:rFonts w:ascii="Times New Roman" w:eastAsia="Times New Roman" w:hAnsi="Times New Roman" w:cs="Times New Roman"/>
          <w:i/>
          <w:sz w:val="24"/>
        </w:rPr>
        <w:tab/>
        <w:t>ин</w:t>
      </w:r>
      <w:r>
        <w:rPr>
          <w:rFonts w:ascii="Times New Roman" w:eastAsia="Times New Roman" w:hAnsi="Times New Roman" w:cs="Times New Roman"/>
          <w:i/>
          <w:sz w:val="24"/>
        </w:rPr>
        <w:t xml:space="preserve">фекций, </w:t>
      </w:r>
      <w:r>
        <w:rPr>
          <w:rFonts w:ascii="Times New Roman" w:eastAsia="Times New Roman" w:hAnsi="Times New Roman" w:cs="Times New Roman"/>
          <w:i/>
          <w:sz w:val="24"/>
        </w:rPr>
        <w:tab/>
        <w:t xml:space="preserve">в </w:t>
      </w:r>
      <w:r>
        <w:rPr>
          <w:rFonts w:ascii="Times New Roman" w:eastAsia="Times New Roman" w:hAnsi="Times New Roman" w:cs="Times New Roman"/>
          <w:i/>
          <w:sz w:val="24"/>
        </w:rPr>
        <w:tab/>
        <w:t xml:space="preserve">частности </w:t>
      </w:r>
      <w:r>
        <w:rPr>
          <w:rFonts w:ascii="Times New Roman" w:eastAsia="Times New Roman" w:hAnsi="Times New Roman" w:cs="Times New Roman"/>
          <w:i/>
          <w:sz w:val="24"/>
        </w:rPr>
        <w:tab/>
        <w:t xml:space="preserve">стрептококкового тонзиллофарингита </w:t>
      </w:r>
      <w:r>
        <w:rPr>
          <w:rFonts w:ascii="Times New Roman" w:eastAsia="Times New Roman" w:hAnsi="Times New Roman" w:cs="Times New Roman"/>
          <w:i/>
          <w:sz w:val="24"/>
        </w:rPr>
        <w:tab/>
        <w:t>(см. клинические рекомендации «Острый тонзиллит и фарингит (Острый тонзиллофарингит)»</w:t>
      </w:r>
      <w:r>
        <w:rPr>
          <w:rFonts w:ascii="Times New Roman" w:eastAsia="Times New Roman" w:hAnsi="Times New Roman" w:cs="Times New Roman"/>
          <w:sz w:val="24"/>
        </w:rPr>
        <w:t xml:space="preserve">. </w:t>
      </w:r>
    </w:p>
    <w:p w:rsidR="005A3F38" w:rsidRDefault="003114B5">
      <w:pPr>
        <w:numPr>
          <w:ilvl w:val="0"/>
          <w:numId w:val="3"/>
        </w:numPr>
        <w:spacing w:after="5" w:line="364" w:lineRule="auto"/>
        <w:ind w:right="326" w:hanging="10"/>
        <w:jc w:val="both"/>
      </w:pPr>
      <w:r>
        <w:rPr>
          <w:rFonts w:ascii="Times New Roman" w:eastAsia="Times New Roman" w:hAnsi="Times New Roman" w:cs="Times New Roman"/>
          <w:sz w:val="24"/>
        </w:rPr>
        <w:t>Рекомендовано всем пациентам с подозрением на ОРВИ провести измерение частоты сердцебиения, и аускультацию се</w:t>
      </w:r>
      <w:r>
        <w:rPr>
          <w:rFonts w:ascii="Times New Roman" w:eastAsia="Times New Roman" w:hAnsi="Times New Roman" w:cs="Times New Roman"/>
          <w:sz w:val="24"/>
        </w:rPr>
        <w:t xml:space="preserve">рдца (аускультация терапевтическая) для диагностики возможных осложнений ОРВИ (миокардит, кардиомиопатия, эндокардит, изменения сердечного ритма вследствие нарушения проводимости) [30]. </w:t>
      </w:r>
    </w:p>
    <w:p w:rsidR="005A3F38" w:rsidRDefault="003114B5">
      <w:pPr>
        <w:spacing w:after="153" w:line="249" w:lineRule="auto"/>
        <w:ind w:left="355" w:hanging="10"/>
      </w:pPr>
      <w:r>
        <w:rPr>
          <w:rFonts w:ascii="Times New Roman" w:eastAsia="Times New Roman" w:hAnsi="Times New Roman" w:cs="Times New Roman"/>
          <w:b/>
          <w:sz w:val="24"/>
        </w:rPr>
        <w:t>Уровень убедительности рекомендаций – С (уровень доказательства - 5).</w:t>
      </w:r>
      <w:r>
        <w:rPr>
          <w:rFonts w:ascii="Times New Roman" w:eastAsia="Times New Roman" w:hAnsi="Times New Roman" w:cs="Times New Roman"/>
          <w:b/>
          <w:sz w:val="24"/>
        </w:rPr>
        <w:t xml:space="preserve"> </w:t>
      </w:r>
    </w:p>
    <w:p w:rsidR="005A3F38" w:rsidRDefault="003114B5">
      <w:pPr>
        <w:numPr>
          <w:ilvl w:val="0"/>
          <w:numId w:val="3"/>
        </w:numPr>
        <w:spacing w:after="5" w:line="364" w:lineRule="auto"/>
        <w:ind w:right="326" w:hanging="10"/>
        <w:jc w:val="both"/>
      </w:pPr>
      <w:r>
        <w:rPr>
          <w:rFonts w:ascii="Times New Roman" w:eastAsia="Times New Roman" w:hAnsi="Times New Roman" w:cs="Times New Roman"/>
          <w:sz w:val="24"/>
        </w:rPr>
        <w:t xml:space="preserve">Рекомендовано всем пациентам с подозрением на ОРВИ провести пальпацию терапевтическую, аускультацию терапевтическую для оценки уровня поражения респираторного тракта [28, 29, 202].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 С (уровень доказательства - 5). </w:t>
      </w:r>
    </w:p>
    <w:p w:rsidR="005A3F38" w:rsidRDefault="003114B5">
      <w:pPr>
        <w:spacing w:after="4" w:line="367" w:lineRule="auto"/>
        <w:ind w:left="355" w:right="652" w:hanging="10"/>
        <w:jc w:val="both"/>
      </w:pPr>
      <w:r>
        <w:rPr>
          <w:rFonts w:ascii="Times New Roman" w:eastAsia="Times New Roman" w:hAnsi="Times New Roman" w:cs="Times New Roman"/>
          <w:b/>
          <w:sz w:val="24"/>
        </w:rPr>
        <w:t>К</w:t>
      </w:r>
      <w:r>
        <w:rPr>
          <w:rFonts w:ascii="Times New Roman" w:eastAsia="Times New Roman" w:hAnsi="Times New Roman" w:cs="Times New Roman"/>
          <w:b/>
          <w:sz w:val="24"/>
        </w:rPr>
        <w:t xml:space="preserve">омментарии: </w:t>
      </w:r>
      <w:r>
        <w:rPr>
          <w:rFonts w:ascii="Times New Roman" w:eastAsia="Times New Roman" w:hAnsi="Times New Roman" w:cs="Times New Roman"/>
          <w:i/>
          <w:sz w:val="24"/>
        </w:rPr>
        <w:t>физикальное исследование позволяет выявить изменения, характерные для бронхита, бронхообструктивного синдрома, появление локальной симптоматики, типичной для пневмонии (см. клинические рекомендации «Бронхит» (возрастная категория дети), «Пневмо</w:t>
      </w:r>
      <w:r>
        <w:rPr>
          <w:rFonts w:ascii="Times New Roman" w:eastAsia="Times New Roman" w:hAnsi="Times New Roman" w:cs="Times New Roman"/>
          <w:i/>
          <w:sz w:val="24"/>
        </w:rPr>
        <w:t xml:space="preserve">ния (внебольничная)» (возрастная категория дети старше 1 месяца)). </w:t>
      </w:r>
    </w:p>
    <w:p w:rsidR="005A3F38" w:rsidRDefault="003114B5">
      <w:pPr>
        <w:numPr>
          <w:ilvl w:val="0"/>
          <w:numId w:val="3"/>
        </w:numPr>
        <w:spacing w:after="5" w:line="364" w:lineRule="auto"/>
        <w:ind w:right="326" w:hanging="10"/>
        <w:jc w:val="both"/>
      </w:pPr>
      <w:r>
        <w:rPr>
          <w:rFonts w:ascii="Times New Roman" w:eastAsia="Times New Roman" w:hAnsi="Times New Roman" w:cs="Times New Roman"/>
          <w:sz w:val="24"/>
        </w:rPr>
        <w:t>Рекомендовано всем пациентам с подозрением на ОРВИ осмотреть и пропальпировать живот (визуальный осмотр терапевтический, пальпация терапевтическая) для оценки вовлеченности органов желудоч</w:t>
      </w:r>
      <w:r>
        <w:rPr>
          <w:rFonts w:ascii="Times New Roman" w:eastAsia="Times New Roman" w:hAnsi="Times New Roman" w:cs="Times New Roman"/>
          <w:sz w:val="24"/>
        </w:rPr>
        <w:t xml:space="preserve">но-кишечного тракта или выявления сопутствующих заболеваний [31, 32]. </w:t>
      </w:r>
      <w:r>
        <w:rPr>
          <w:rFonts w:ascii="Times New Roman" w:eastAsia="Times New Roman" w:hAnsi="Times New Roman" w:cs="Times New Roman"/>
          <w:b/>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 С (уровень доказательства - 5).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при ОРВИ, обусловленной аденовирусной инфекцией, возможно поражение органов ЖКТ, сопровождаемое тошн</w:t>
      </w:r>
      <w:r>
        <w:rPr>
          <w:rFonts w:ascii="Times New Roman" w:eastAsia="Times New Roman" w:hAnsi="Times New Roman" w:cs="Times New Roman"/>
          <w:i/>
          <w:sz w:val="24"/>
        </w:rPr>
        <w:t xml:space="preserve">отой, рвотой и диарей. Наличие гепатомегалии с/без спленомегалией может свидетельствовать об инфекционном мононуклеозе (Эпштейн-Бар вирус, цитомегаловирус, вирус герпеса 6 типа). </w:t>
      </w:r>
    </w:p>
    <w:p w:rsidR="005A3F38" w:rsidRDefault="003114B5">
      <w:pPr>
        <w:numPr>
          <w:ilvl w:val="0"/>
          <w:numId w:val="3"/>
        </w:numPr>
        <w:spacing w:after="5" w:line="364" w:lineRule="auto"/>
        <w:ind w:right="326" w:hanging="10"/>
        <w:jc w:val="both"/>
      </w:pPr>
      <w:r>
        <w:rPr>
          <w:rFonts w:ascii="Times New Roman" w:eastAsia="Times New Roman" w:hAnsi="Times New Roman" w:cs="Times New Roman"/>
          <w:sz w:val="24"/>
        </w:rPr>
        <w:t xml:space="preserve">Рекомендовано пациентам с подозрением на ОРВИ при наличии жалоб на головную </w:t>
      </w:r>
      <w:r>
        <w:rPr>
          <w:rFonts w:ascii="Times New Roman" w:eastAsia="Times New Roman" w:hAnsi="Times New Roman" w:cs="Times New Roman"/>
          <w:sz w:val="24"/>
        </w:rPr>
        <w:t xml:space="preserve">боль, а также вялость, сонливость - проверить менингеальные симптомы для дифференциальной диагностики с инфекциями ЦНС [28, 29]. </w:t>
      </w:r>
    </w:p>
    <w:p w:rsidR="005A3F38" w:rsidRDefault="003114B5">
      <w:pPr>
        <w:spacing w:after="203" w:line="249" w:lineRule="auto"/>
        <w:ind w:left="355" w:hanging="10"/>
      </w:pPr>
      <w:r>
        <w:rPr>
          <w:rFonts w:ascii="Times New Roman" w:eastAsia="Times New Roman" w:hAnsi="Times New Roman" w:cs="Times New Roman"/>
          <w:b/>
          <w:sz w:val="24"/>
        </w:rPr>
        <w:t xml:space="preserve">Уровень убедительности рекомендаций – С (уровень доказательства - 5).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 xml:space="preserve">Инфекционные заболевания, протекающие с </w:t>
      </w:r>
      <w:r>
        <w:rPr>
          <w:rFonts w:ascii="Times New Roman" w:eastAsia="Times New Roman" w:hAnsi="Times New Roman" w:cs="Times New Roman"/>
          <w:i/>
          <w:sz w:val="24"/>
        </w:rPr>
        <w:t xml:space="preserve">поражением ЦНС, могут иметь первые проявления в виде катаральныхсимптомов, типичных для ОРВИ (в т.ч., корь). </w:t>
      </w:r>
    </w:p>
    <w:p w:rsidR="005A3F38" w:rsidRDefault="003114B5">
      <w:pPr>
        <w:numPr>
          <w:ilvl w:val="0"/>
          <w:numId w:val="3"/>
        </w:numPr>
        <w:spacing w:after="5" w:line="364" w:lineRule="auto"/>
        <w:ind w:right="326" w:hanging="10"/>
        <w:jc w:val="both"/>
      </w:pPr>
      <w:r>
        <w:rPr>
          <w:rFonts w:ascii="Times New Roman" w:eastAsia="Times New Roman" w:hAnsi="Times New Roman" w:cs="Times New Roman"/>
          <w:sz w:val="24"/>
        </w:rPr>
        <w:t>Рекомендовано при лихорадке и/или рвоте, диарее у пациентов с подозрением на ОРВИ</w:t>
      </w:r>
      <w:r>
        <w:rPr>
          <w:rFonts w:ascii="Times New Roman" w:eastAsia="Times New Roman" w:hAnsi="Times New Roman" w:cs="Times New Roman"/>
          <w:color w:val="FF0000"/>
          <w:sz w:val="24"/>
        </w:rPr>
        <w:t xml:space="preserve"> </w:t>
      </w:r>
      <w:r>
        <w:rPr>
          <w:rFonts w:ascii="Times New Roman" w:eastAsia="Times New Roman" w:hAnsi="Times New Roman" w:cs="Times New Roman"/>
          <w:sz w:val="24"/>
        </w:rPr>
        <w:t xml:space="preserve">оценить степень дегидратациидля решения вопроса о необходимости </w:t>
      </w:r>
      <w:r>
        <w:rPr>
          <w:rFonts w:ascii="Times New Roman" w:eastAsia="Times New Roman" w:hAnsi="Times New Roman" w:cs="Times New Roman"/>
          <w:sz w:val="24"/>
        </w:rPr>
        <w:t xml:space="preserve">и выборе метода регидратации [33, 34, </w:t>
      </w:r>
    </w:p>
    <w:p w:rsidR="005A3F38" w:rsidRDefault="003114B5">
      <w:pPr>
        <w:spacing w:after="128" w:line="249" w:lineRule="auto"/>
        <w:ind w:left="355" w:right="11" w:hanging="10"/>
      </w:pPr>
      <w:r>
        <w:rPr>
          <w:rFonts w:ascii="Times New Roman" w:eastAsia="Times New Roman" w:hAnsi="Times New Roman" w:cs="Times New Roman"/>
          <w:sz w:val="24"/>
        </w:rPr>
        <w:t xml:space="preserve">35].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на каждый 1°C повышения температуры тела потери жидкости и электролитов возрастают примерно на 10% [36]. Длительн</w:t>
      </w:r>
      <w:r>
        <w:rPr>
          <w:rFonts w:ascii="Times New Roman" w:eastAsia="Times New Roman" w:hAnsi="Times New Roman" w:cs="Times New Roman"/>
          <w:i/>
          <w:sz w:val="24"/>
        </w:rPr>
        <w:t>ые лихорадочные состояния при ОРВИ у детей могут сопровождаться синдромом дегидратации и электролитными расстройствами.</w:t>
      </w:r>
      <w:r>
        <w:rPr>
          <w:rFonts w:ascii="Times New Roman" w:eastAsia="Times New Roman" w:hAnsi="Times New Roman" w:cs="Times New Roman"/>
          <w:sz w:val="24"/>
        </w:rPr>
        <w:t xml:space="preserve">  </w:t>
      </w:r>
    </w:p>
    <w:p w:rsidR="005A3F38" w:rsidRDefault="003114B5">
      <w:pPr>
        <w:spacing w:after="352"/>
        <w:ind w:left="355" w:hanging="10"/>
        <w:jc w:val="both"/>
      </w:pPr>
      <w:r>
        <w:rPr>
          <w:rFonts w:ascii="Times New Roman" w:eastAsia="Times New Roman" w:hAnsi="Times New Roman" w:cs="Times New Roman"/>
          <w:i/>
          <w:sz w:val="24"/>
        </w:rPr>
        <w:t xml:space="preserve">Для оценки степени дегидратации целесообразно применение шкалы СDS (Приложение Г1) [322]. </w:t>
      </w:r>
    </w:p>
    <w:p w:rsidR="005A3F38" w:rsidRDefault="003114B5">
      <w:pPr>
        <w:pStyle w:val="Heading2"/>
        <w:ind w:left="1063"/>
      </w:pPr>
      <w:bookmarkStart w:id="12" w:name="_Toc141885"/>
      <w:r>
        <w:t xml:space="preserve">2.3 </w:t>
      </w:r>
      <w:r>
        <w:t>Лабораторные диагностические исследован</w:t>
      </w:r>
      <w:r>
        <w:t>ия</w:t>
      </w:r>
      <w:r>
        <w:rPr>
          <w:u w:val="none"/>
        </w:rPr>
        <w:t xml:space="preserve"> </w:t>
      </w:r>
      <w:bookmarkEnd w:id="12"/>
    </w:p>
    <w:p w:rsidR="005A3F38" w:rsidRDefault="003114B5">
      <w:pPr>
        <w:spacing w:after="4" w:line="367" w:lineRule="auto"/>
        <w:ind w:left="345" w:firstLine="708"/>
        <w:jc w:val="both"/>
      </w:pPr>
      <w:r>
        <w:rPr>
          <w:rFonts w:ascii="Times New Roman" w:eastAsia="Times New Roman" w:hAnsi="Times New Roman" w:cs="Times New Roman"/>
          <w:i/>
          <w:sz w:val="24"/>
        </w:rPr>
        <w:t xml:space="preserve">Лабораторные анализы при неосложненном течении ОРВИ в амбулаторных условиях, как правило, не требуются.  </w:t>
      </w:r>
    </w:p>
    <w:p w:rsidR="005A3F38" w:rsidRDefault="003114B5">
      <w:pPr>
        <w:spacing w:after="4" w:line="365" w:lineRule="auto"/>
        <w:ind w:left="355" w:hanging="10"/>
      </w:pPr>
      <w:r>
        <w:rPr>
          <w:rFonts w:ascii="Times New Roman" w:eastAsia="Times New Roman" w:hAnsi="Times New Roman" w:cs="Times New Roman"/>
          <w:i/>
          <w:sz w:val="24"/>
        </w:rPr>
        <w:t>В стационарных условиях общий (клинический) анализ крови развернутый проводится всем пациентам, исследование уровня С-реактивного белка в сыворотк</w:t>
      </w:r>
      <w:r>
        <w:rPr>
          <w:rFonts w:ascii="Times New Roman" w:eastAsia="Times New Roman" w:hAnsi="Times New Roman" w:cs="Times New Roman"/>
          <w:i/>
          <w:sz w:val="24"/>
        </w:rPr>
        <w:t xml:space="preserve">е крови – опционно при подозрении на бактериальную инфекцию. Объем иных лабораторных исследований определяется клинической ситуацией.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Основная цель лабораторного обследования пациента с ОРВИ - выявление осложнений, в том числе бактериальных, а также, при </w:t>
      </w:r>
      <w:r>
        <w:rPr>
          <w:rFonts w:ascii="Times New Roman" w:eastAsia="Times New Roman" w:hAnsi="Times New Roman" w:cs="Times New Roman"/>
          <w:i/>
          <w:sz w:val="24"/>
        </w:rPr>
        <w:t xml:space="preserve">необходимости, - установление этиологии заболевания. </w:t>
      </w:r>
    </w:p>
    <w:p w:rsidR="005A3F38" w:rsidRDefault="003114B5">
      <w:pPr>
        <w:numPr>
          <w:ilvl w:val="0"/>
          <w:numId w:val="4"/>
        </w:numPr>
        <w:spacing w:after="0" w:line="359" w:lineRule="auto"/>
        <w:ind w:hanging="10"/>
        <w:jc w:val="both"/>
      </w:pPr>
      <w:r>
        <w:rPr>
          <w:rFonts w:ascii="Times New Roman" w:eastAsia="Times New Roman" w:hAnsi="Times New Roman" w:cs="Times New Roman"/>
          <w:sz w:val="24"/>
        </w:rPr>
        <w:t xml:space="preserve">Рекомендовано </w:t>
      </w:r>
      <w:r>
        <w:rPr>
          <w:rFonts w:ascii="Times New Roman" w:eastAsia="Times New Roman" w:hAnsi="Times New Roman" w:cs="Times New Roman"/>
          <w:b/>
          <w:sz w:val="24"/>
        </w:rPr>
        <w:t>пациентам с ОРВИ при подозрении на острый стрептококковый тонзиллит проведение экспресс-теста на β-гемолитическаий стрептококк группы А (Иммунохроматографическое экспресс-</w:t>
      </w:r>
      <w:r>
        <w:rPr>
          <w:rFonts w:ascii="Times New Roman" w:eastAsia="Times New Roman" w:hAnsi="Times New Roman" w:cs="Times New Roman"/>
          <w:b/>
          <w:sz w:val="24"/>
        </w:rPr>
        <w:t>исследование мазка из зева на стрептококки группы А)</w:t>
      </w:r>
      <w:r>
        <w:rPr>
          <w:rFonts w:ascii="Times New Roman" w:eastAsia="Times New Roman" w:hAnsi="Times New Roman" w:cs="Times New Roman"/>
          <w:sz w:val="24"/>
        </w:rPr>
        <w:t xml:space="preserve"> для подтверждения этиологии проявлений и своевременного начала терапии [38].</w:t>
      </w:r>
      <w:r>
        <w:rPr>
          <w:rFonts w:ascii="Times New Roman" w:eastAsia="Times New Roman" w:hAnsi="Times New Roman" w:cs="Times New Roman"/>
          <w:sz w:val="20"/>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(Уровень убедительности рекомендаций C; уровень достоверности доказательств - 5). Комментарий:</w:t>
      </w:r>
      <w:r>
        <w:rPr>
          <w:rFonts w:ascii="Times New Roman" w:eastAsia="Times New Roman" w:hAnsi="Times New Roman" w:cs="Times New Roman"/>
          <w:sz w:val="24"/>
        </w:rPr>
        <w:t xml:space="preserve"> </w:t>
      </w:r>
      <w:r>
        <w:rPr>
          <w:rFonts w:ascii="Times New Roman" w:eastAsia="Times New Roman" w:hAnsi="Times New Roman" w:cs="Times New Roman"/>
          <w:i/>
          <w:sz w:val="24"/>
        </w:rPr>
        <w:t>подробнее – см. клинические ре</w:t>
      </w:r>
      <w:r>
        <w:rPr>
          <w:rFonts w:ascii="Times New Roman" w:eastAsia="Times New Roman" w:hAnsi="Times New Roman" w:cs="Times New Roman"/>
          <w:i/>
          <w:sz w:val="24"/>
        </w:rPr>
        <w:t xml:space="preserve">комендации «Острый тонзиллит и фарингит (тонзиллофарингит)» (возрастная категория дети и взрослые). </w:t>
      </w:r>
    </w:p>
    <w:p w:rsidR="005A3F38" w:rsidRDefault="003114B5">
      <w:pPr>
        <w:spacing w:after="163"/>
        <w:ind w:left="360"/>
      </w:pPr>
      <w:r>
        <w:rPr>
          <w:rFonts w:ascii="Times New Roman" w:eastAsia="Times New Roman" w:hAnsi="Times New Roman" w:cs="Times New Roman"/>
          <w:i/>
          <w:sz w:val="24"/>
        </w:rPr>
        <w:t xml:space="preserve"> </w:t>
      </w:r>
    </w:p>
    <w:p w:rsidR="005A3F38" w:rsidRDefault="003114B5">
      <w:pPr>
        <w:numPr>
          <w:ilvl w:val="0"/>
          <w:numId w:val="4"/>
        </w:numPr>
        <w:spacing w:after="5" w:line="364" w:lineRule="auto"/>
        <w:ind w:hanging="10"/>
        <w:jc w:val="both"/>
      </w:pPr>
      <w:r>
        <w:rPr>
          <w:rFonts w:ascii="Times New Roman" w:eastAsia="Times New Roman" w:hAnsi="Times New Roman" w:cs="Times New Roman"/>
          <w:sz w:val="24"/>
        </w:rPr>
        <w:t xml:space="preserve">Рекомендовано проведение этиологической диагностики высоко лихорадящим пациентам с ОРВИ при подозрении на грипп: методом ПЦР-диагностики </w:t>
      </w:r>
      <w:r>
        <w:rPr>
          <w:rFonts w:ascii="Times New Roman" w:eastAsia="Times New Roman" w:hAnsi="Times New Roman" w:cs="Times New Roman"/>
          <w:sz w:val="24"/>
        </w:rPr>
        <w:t>(Определение РНК вируса гриппа A (Influenza virus А) в мазках со слизистой оболочки носоглотки методом ПЦР / определение РНК вируса гриппа В (Influenza virus В) в мазках со слизистой оболочки носоглотки методом ПЦР, Определение РНК вируса гриппа А в мокрот</w:t>
      </w:r>
      <w:r>
        <w:rPr>
          <w:rFonts w:ascii="Times New Roman" w:eastAsia="Times New Roman" w:hAnsi="Times New Roman" w:cs="Times New Roman"/>
          <w:sz w:val="24"/>
        </w:rPr>
        <w:t>е (индуцированной мокроте, фаринго-трахеальных аспиратах) методом ПЦР / определение РНК вируса вируса гриппа В в мокроте (индуцированной мокроте, фаринго-трахеальных аспиратах) методом ПЦР) или при помощи иммунохроматографического экспресс-теста (Иммунохро</w:t>
      </w:r>
      <w:r>
        <w:rPr>
          <w:rFonts w:ascii="Times New Roman" w:eastAsia="Times New Roman" w:hAnsi="Times New Roman" w:cs="Times New Roman"/>
          <w:sz w:val="24"/>
        </w:rPr>
        <w:t>матографическое экспресс-исследование носоглоточного мазка, эндотрахеального аспирата, бронхоальвеолярной лаважной жидкости на вирус гриппа A, Иммунохроматографическое экспресс-исследование носоглоточного мазка, эндотрахеального аспирата, бронхоальвеолярно</w:t>
      </w:r>
      <w:r>
        <w:rPr>
          <w:rFonts w:ascii="Times New Roman" w:eastAsia="Times New Roman" w:hAnsi="Times New Roman" w:cs="Times New Roman"/>
          <w:sz w:val="24"/>
        </w:rPr>
        <w:t xml:space="preserve">й лаважной жидкости на вирус гриппа B) для своевременного назначения этиотропного противовирусного лечения [38, 39, 353]. </w:t>
      </w:r>
    </w:p>
    <w:p w:rsidR="005A3F38" w:rsidRDefault="003114B5">
      <w:pPr>
        <w:spacing w:after="4" w:line="367" w:lineRule="auto"/>
        <w:ind w:left="355" w:hanging="10"/>
        <w:jc w:val="both"/>
      </w:pPr>
      <w:r>
        <w:rPr>
          <w:rFonts w:ascii="Times New Roman" w:eastAsia="Times New Roman" w:hAnsi="Times New Roman" w:cs="Times New Roman"/>
          <w:b/>
          <w:sz w:val="24"/>
        </w:rPr>
        <w:t>(Уровень убедительности рекомендаций B; уровень достоверности доказательств - 1). Комментарий:</w:t>
      </w:r>
      <w:r>
        <w:rPr>
          <w:rFonts w:ascii="Times New Roman" w:eastAsia="Times New Roman" w:hAnsi="Times New Roman" w:cs="Times New Roman"/>
          <w:sz w:val="24"/>
        </w:rPr>
        <w:t xml:space="preserve"> </w:t>
      </w:r>
      <w:r>
        <w:rPr>
          <w:rFonts w:ascii="Times New Roman" w:eastAsia="Times New Roman" w:hAnsi="Times New Roman" w:cs="Times New Roman"/>
          <w:i/>
          <w:sz w:val="24"/>
        </w:rPr>
        <w:t>случай гриппа считается подтвержденным</w:t>
      </w:r>
      <w:r>
        <w:rPr>
          <w:rFonts w:ascii="Times New Roman" w:eastAsia="Times New Roman" w:hAnsi="Times New Roman" w:cs="Times New Roman"/>
          <w:i/>
          <w:sz w:val="24"/>
        </w:rPr>
        <w:t xml:space="preserve"> после лабораторного подтверждения диагноза (любыми стандартизованными в Российской Федерации методами, рекомендованными для диагностики гриппа, или с использованием разрешенных на территории Российской Федерации медицинских изделий для диагностики гриппа)</w:t>
      </w:r>
      <w:r>
        <w:rPr>
          <w:rFonts w:ascii="Times New Roman" w:eastAsia="Times New Roman" w:hAnsi="Times New Roman" w:cs="Times New Roman"/>
          <w:i/>
          <w:sz w:val="24"/>
        </w:rPr>
        <w:t xml:space="preserve">.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В период эпидемических подъемов заболеваемости гриппом окончательный диагноз «грипп» может быть установлен как на основании лабораторного подтверждения, так и на основании клинических и эпидемиологических данных. </w:t>
      </w:r>
    </w:p>
    <w:p w:rsidR="005A3F38" w:rsidRDefault="003114B5">
      <w:pPr>
        <w:spacing w:after="4" w:line="367" w:lineRule="auto"/>
        <w:ind w:left="355" w:hanging="10"/>
        <w:jc w:val="both"/>
      </w:pPr>
      <w:r>
        <w:rPr>
          <w:rFonts w:ascii="Times New Roman" w:eastAsia="Times New Roman" w:hAnsi="Times New Roman" w:cs="Times New Roman"/>
          <w:i/>
          <w:sz w:val="24"/>
        </w:rPr>
        <w:t>При наличии типичных симптомов заболев</w:t>
      </w:r>
      <w:r>
        <w:rPr>
          <w:rFonts w:ascii="Times New Roman" w:eastAsia="Times New Roman" w:hAnsi="Times New Roman" w:cs="Times New Roman"/>
          <w:i/>
          <w:sz w:val="24"/>
        </w:rPr>
        <w:t>ания и отсутствии возможности определения его этиологии можно использовать диагноз «гриппоподобное заболевание» (ГПЗ), предложенный ВОЗ, наряду с терминами ОРИ (острая респираторная инфекция) и ТОРИ (тяжелая ОРИ), для более точной и быстрой возможности диа</w:t>
      </w:r>
      <w:r>
        <w:rPr>
          <w:rFonts w:ascii="Times New Roman" w:eastAsia="Times New Roman" w:hAnsi="Times New Roman" w:cs="Times New Roman"/>
          <w:i/>
          <w:sz w:val="24"/>
        </w:rPr>
        <w:t xml:space="preserve">гностики и лечения. </w:t>
      </w:r>
    </w:p>
    <w:p w:rsidR="005A3F38" w:rsidRDefault="003114B5">
      <w:pPr>
        <w:spacing w:after="4" w:line="367" w:lineRule="auto"/>
        <w:ind w:left="355" w:hanging="10"/>
        <w:jc w:val="both"/>
      </w:pPr>
      <w:r>
        <w:rPr>
          <w:rFonts w:ascii="Times New Roman" w:eastAsia="Times New Roman" w:hAnsi="Times New Roman" w:cs="Times New Roman"/>
          <w:i/>
          <w:sz w:val="24"/>
        </w:rPr>
        <w:t>Применение экспресс-тестов для диагностики вирусных инфекций в отделениях неотложной помощи и приемных отделениях стационаров может уменьшить риск необоснованной антибиотикотерапии, а также ненужных диагностических исследований, в т.ч.</w:t>
      </w:r>
      <w:r>
        <w:rPr>
          <w:rFonts w:ascii="Times New Roman" w:eastAsia="Times New Roman" w:hAnsi="Times New Roman" w:cs="Times New Roman"/>
          <w:i/>
          <w:sz w:val="24"/>
        </w:rPr>
        <w:t xml:space="preserve"> рентгенографии грудной клетки [40].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ПЦР - эффективный метод диагностики, который позволяет обнаружить нуклеиновые кислоты вируса в среднем до 7 дней, и максимум – до 2 недель от начала заболевания (при условии сохранении признаков поражения верхних дыха</w:t>
      </w:r>
      <w:r>
        <w:rPr>
          <w:rFonts w:ascii="Times New Roman" w:eastAsia="Times New Roman" w:hAnsi="Times New Roman" w:cs="Times New Roman"/>
          <w:i/>
          <w:sz w:val="24"/>
        </w:rPr>
        <w:t xml:space="preserve">тельных путей). Результаты получают в течение 4– 6 часов после представления образца.  </w:t>
      </w:r>
    </w:p>
    <w:p w:rsidR="005A3F38" w:rsidRDefault="003114B5">
      <w:pPr>
        <w:spacing w:after="115"/>
        <w:ind w:left="355" w:hanging="10"/>
        <w:jc w:val="both"/>
      </w:pPr>
      <w:r>
        <w:rPr>
          <w:rFonts w:ascii="Times New Roman" w:eastAsia="Times New Roman" w:hAnsi="Times New Roman" w:cs="Times New Roman"/>
          <w:i/>
          <w:sz w:val="24"/>
        </w:rPr>
        <w:t xml:space="preserve">Во всех остальных случаях этиологическая диагностика проводится опционно (см. ниже). </w:t>
      </w:r>
    </w:p>
    <w:p w:rsidR="005A3F38" w:rsidRDefault="003114B5">
      <w:pPr>
        <w:spacing w:after="140"/>
        <w:ind w:left="360"/>
      </w:pPr>
      <w:r>
        <w:rPr>
          <w:rFonts w:ascii="Times New Roman" w:eastAsia="Times New Roman" w:hAnsi="Times New Roman" w:cs="Times New Roman"/>
          <w:i/>
          <w:sz w:val="24"/>
        </w:rPr>
        <w:t xml:space="preserve"> </w:t>
      </w:r>
    </w:p>
    <w:p w:rsidR="005A3F38" w:rsidRDefault="003114B5">
      <w:pPr>
        <w:spacing w:after="5" w:line="364" w:lineRule="auto"/>
        <w:ind w:left="705" w:right="2" w:hanging="36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Рекомендовано пациентам с ОРВИ селективное (при необходимости и возможности (ч</w:t>
      </w:r>
      <w:r>
        <w:rPr>
          <w:rFonts w:ascii="Times New Roman" w:eastAsia="Times New Roman" w:hAnsi="Times New Roman" w:cs="Times New Roman"/>
          <w:sz w:val="24"/>
        </w:rPr>
        <w:t xml:space="preserve">аще в стационарных условиях)) проведение вирусологического и/или бактериологического обследования [41]:  </w:t>
      </w:r>
    </w:p>
    <w:p w:rsidR="005A3F38" w:rsidRDefault="003114B5">
      <w:pPr>
        <w:numPr>
          <w:ilvl w:val="0"/>
          <w:numId w:val="5"/>
        </w:numPr>
        <w:spacing w:after="117"/>
        <w:ind w:right="2" w:hanging="10"/>
        <w:jc w:val="both"/>
      </w:pPr>
      <w:r>
        <w:rPr>
          <w:rFonts w:ascii="Times New Roman" w:eastAsia="Times New Roman" w:hAnsi="Times New Roman" w:cs="Times New Roman"/>
          <w:sz w:val="24"/>
        </w:rPr>
        <w:t xml:space="preserve">Иммунохроматографическое экспресс-исследование мазка из зева, носоглоточного аспирата или назального смыва на аденовирус;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Иммунохроматографическое экспресс-исследование мазка из зева, носоглоточного аспирата или смыва на респираторно-синцитиальный вирус (Human Respiratory Syncytial virus), метапневмовирус (Human Metapneumo virus), вирусов парагриппа (Human Parainfluenza virus</w:t>
      </w:r>
      <w:r>
        <w:rPr>
          <w:rFonts w:ascii="Times New Roman" w:eastAsia="Times New Roman" w:hAnsi="Times New Roman" w:cs="Times New Roman"/>
          <w:sz w:val="24"/>
        </w:rPr>
        <w:t xml:space="preserve">), риновирусы (Human Rhinovirus), бокавирус (Human Bocavirus) на коронавирус SARS-CoV-2; или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Исследование с использованием набора реагентов для выявления нуклеиновых кислот возбудителей острых респираторных инфекций человека методом ОТ-ПЦР в режиме реальн</w:t>
      </w:r>
      <w:r>
        <w:rPr>
          <w:rFonts w:ascii="Times New Roman" w:eastAsia="Times New Roman" w:hAnsi="Times New Roman" w:cs="Times New Roman"/>
          <w:sz w:val="24"/>
        </w:rPr>
        <w:t xml:space="preserve">ого времени;  или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Молекулярно-биологическое исследование мазков со слизистой оболочки носоглотки на респираторно-синцитиальный вирус (Human Respiratory Syncytial virus)/Определение РНК респираторно-синцитиального вируса (Human Respiratory Syncytial virus)</w:t>
      </w:r>
      <w:r>
        <w:rPr>
          <w:rFonts w:ascii="Times New Roman" w:eastAsia="Times New Roman" w:hAnsi="Times New Roman" w:cs="Times New Roman"/>
          <w:sz w:val="24"/>
        </w:rPr>
        <w:t xml:space="preserve"> в мазках со слизистой оболочки носоглотки методом ПЦР;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Молекулярно-биологическое исследование мазков со слизистой оболочки носоглотки на аденовирус (Human Adenovirus)/Определение ДНК аденовируса (Human Adenovirus) в мазках со слизистой оболочки носоглотк</w:t>
      </w:r>
      <w:r>
        <w:rPr>
          <w:rFonts w:ascii="Times New Roman" w:eastAsia="Times New Roman" w:hAnsi="Times New Roman" w:cs="Times New Roman"/>
          <w:sz w:val="24"/>
        </w:rPr>
        <w:t xml:space="preserve">и методом ПЦР;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 xml:space="preserve">Молекулярно-биологическое исследование мазков со слизистой оболочки носоглотки на метапневмовирус (Human Metapneumo virus)/Определение РНК метапневмовируса (Human Metapneumo virus) в мазках со слизистой оболочки носоглотки методом ПЦР;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Мол</w:t>
      </w:r>
      <w:r>
        <w:rPr>
          <w:rFonts w:ascii="Times New Roman" w:eastAsia="Times New Roman" w:hAnsi="Times New Roman" w:cs="Times New Roman"/>
          <w:sz w:val="24"/>
        </w:rPr>
        <w:t xml:space="preserve">екулярно-биологическое исследование мазков со слизистой оболочки носоглотки вирусов парагриппа (Human Parainfluenza virus)/Определение РНК вирусов парагриппа (Human Parainfluenza virus) в мазках со слизистой оболочки носоглотки методом ПЦР;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Молекулярно-би</w:t>
      </w:r>
      <w:r>
        <w:rPr>
          <w:rFonts w:ascii="Times New Roman" w:eastAsia="Times New Roman" w:hAnsi="Times New Roman" w:cs="Times New Roman"/>
          <w:sz w:val="24"/>
        </w:rPr>
        <w:t xml:space="preserve">ологическое исследование мазков со слизистой оболочки носоглотки на риновирусы (Human Rhinovirus)/Определение РНК риновирусов (Human Rhinovirus) в мазках со слизистой оболочки носоглотки методом ПЦР;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Молекулярно-биологическое исследование мазков со слизис</w:t>
      </w:r>
      <w:r>
        <w:rPr>
          <w:rFonts w:ascii="Times New Roman" w:eastAsia="Times New Roman" w:hAnsi="Times New Roman" w:cs="Times New Roman"/>
          <w:sz w:val="24"/>
        </w:rPr>
        <w:t xml:space="preserve">той оболочки носоглотки на бокавирус (Human Bocavirus)/Определение ДНК бокавируса (Human Bocavirus) в мазках со слизистой оболочки носоглотки методом ПЦР; </w:t>
      </w:r>
    </w:p>
    <w:p w:rsidR="005A3F38" w:rsidRDefault="003114B5">
      <w:pPr>
        <w:numPr>
          <w:ilvl w:val="0"/>
          <w:numId w:val="5"/>
        </w:numPr>
        <w:spacing w:after="5" w:line="364" w:lineRule="auto"/>
        <w:ind w:right="2" w:hanging="10"/>
        <w:jc w:val="both"/>
      </w:pPr>
      <w:r>
        <w:rPr>
          <w:rFonts w:ascii="Times New Roman" w:eastAsia="Times New Roman" w:hAnsi="Times New Roman" w:cs="Times New Roman"/>
          <w:sz w:val="24"/>
        </w:rPr>
        <w:t>Молекулярно-биологическое исследование мазков со слизистой оболочки носоглотки на коронавирус SARS-C</w:t>
      </w:r>
      <w:r>
        <w:rPr>
          <w:rFonts w:ascii="Times New Roman" w:eastAsia="Times New Roman" w:hAnsi="Times New Roman" w:cs="Times New Roman"/>
          <w:sz w:val="24"/>
        </w:rPr>
        <w:t xml:space="preserve">oV-2 </w:t>
      </w:r>
    </w:p>
    <w:p w:rsidR="005A3F38" w:rsidRDefault="003114B5">
      <w:pPr>
        <w:spacing w:after="127" w:line="249" w:lineRule="auto"/>
        <w:ind w:left="355" w:hanging="10"/>
      </w:pP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(Уровень убедительности рекомендаций В; уровень достоверности доказательств - 2). </w:t>
      </w:r>
    </w:p>
    <w:p w:rsidR="005A3F38" w:rsidRDefault="003114B5">
      <w:pPr>
        <w:spacing w:after="127" w:line="249" w:lineRule="auto"/>
        <w:ind w:left="355" w:hanging="10"/>
      </w:pPr>
      <w:r>
        <w:rPr>
          <w:rFonts w:ascii="Times New Roman" w:eastAsia="Times New Roman" w:hAnsi="Times New Roman" w:cs="Times New Roman"/>
          <w:b/>
          <w:sz w:val="24"/>
        </w:rPr>
        <w:t xml:space="preserve">Комментарии: </w:t>
      </w:r>
    </w:p>
    <w:p w:rsidR="005A3F38" w:rsidRDefault="003114B5">
      <w:pPr>
        <w:spacing w:after="4" w:line="367" w:lineRule="auto"/>
        <w:ind w:left="345" w:firstLine="708"/>
        <w:jc w:val="both"/>
      </w:pPr>
      <w:r>
        <w:rPr>
          <w:rFonts w:ascii="Times New Roman" w:eastAsia="Times New Roman" w:hAnsi="Times New Roman" w:cs="Times New Roman"/>
          <w:i/>
          <w:sz w:val="24"/>
        </w:rPr>
        <w:t>Современные мультиплексные панели при помощи молекулярных методов позволяют выявлять десятки вирусов и бактерий в течение нескольких часов. Однако, дост</w:t>
      </w:r>
      <w:r>
        <w:rPr>
          <w:rFonts w:ascii="Times New Roman" w:eastAsia="Times New Roman" w:hAnsi="Times New Roman" w:cs="Times New Roman"/>
          <w:i/>
          <w:sz w:val="24"/>
        </w:rPr>
        <w:t>упны в основном в крупных стационарах при наличии специального оборудования и персонала соответствующей квалификации. В большинстве случаев выявление микроорганизмов не обязательно свидетельствует об их этиологической значимости в текущей ОРВИ, поскольку в</w:t>
      </w:r>
      <w:r>
        <w:rPr>
          <w:rFonts w:ascii="Times New Roman" w:eastAsia="Times New Roman" w:hAnsi="Times New Roman" w:cs="Times New Roman"/>
          <w:i/>
          <w:sz w:val="24"/>
        </w:rPr>
        <w:t>озможно их бессимптомное носительство. Учитывая ограниченные возможности этиотропной терапии вирусных заболеваний, необходимость в рутинной верификации вирусов сомнительна. Вирусологические и бактериологические методы при ОРВИ востребованы при проведении э</w:t>
      </w:r>
      <w:r>
        <w:rPr>
          <w:rFonts w:ascii="Times New Roman" w:eastAsia="Times New Roman" w:hAnsi="Times New Roman" w:cs="Times New Roman"/>
          <w:i/>
          <w:sz w:val="24"/>
        </w:rPr>
        <w:t xml:space="preserve">пидемиологических и клинических исследований, а также для обследования иммунокомпрометированных пациентов.  </w:t>
      </w:r>
    </w:p>
    <w:p w:rsidR="005A3F38" w:rsidRDefault="003114B5">
      <w:pPr>
        <w:tabs>
          <w:tab w:val="center" w:pos="360"/>
          <w:tab w:val="center" w:pos="5326"/>
        </w:tabs>
        <w:spacing w:after="119"/>
      </w:pPr>
      <w:r>
        <w:tab/>
      </w: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t xml:space="preserve">Проводятся при необходимости и возможности (чаще в стационарных условиях). </w:t>
      </w:r>
    </w:p>
    <w:p w:rsidR="005A3F38" w:rsidRDefault="003114B5">
      <w:pPr>
        <w:spacing w:after="142"/>
        <w:ind w:left="360"/>
      </w:pPr>
      <w:r>
        <w:rPr>
          <w:rFonts w:ascii="Times New Roman" w:eastAsia="Times New Roman" w:hAnsi="Times New Roman" w:cs="Times New Roman"/>
          <w:i/>
          <w:sz w:val="24"/>
        </w:rPr>
        <w:t xml:space="preserve"> </w:t>
      </w:r>
    </w:p>
    <w:p w:rsidR="005A3F38" w:rsidRDefault="003114B5">
      <w:pPr>
        <w:numPr>
          <w:ilvl w:val="0"/>
          <w:numId w:val="6"/>
        </w:numPr>
        <w:spacing w:after="5" w:line="364" w:lineRule="auto"/>
        <w:ind w:right="2" w:hanging="10"/>
        <w:jc w:val="both"/>
      </w:pPr>
      <w:r>
        <w:rPr>
          <w:rFonts w:ascii="Times New Roman" w:eastAsia="Times New Roman" w:hAnsi="Times New Roman" w:cs="Times New Roman"/>
          <w:sz w:val="24"/>
        </w:rPr>
        <w:t>Общий (клинический) анализ мочи (в т.ч. с использованием тест-поло</w:t>
      </w:r>
      <w:r>
        <w:rPr>
          <w:rFonts w:ascii="Times New Roman" w:eastAsia="Times New Roman" w:hAnsi="Times New Roman" w:cs="Times New Roman"/>
          <w:sz w:val="24"/>
        </w:rPr>
        <w:t>сок в амбулаторных условиях и приемных отделениях стационаров) рекомендуется проводить при подозрении на инфекцию мочевых путей у детей с ОРВИ, в т.ч. у лихорадящих детей без катаральных явлений с целью своевременной диагностики инфекции мочевых путей [42,</w:t>
      </w:r>
      <w:r>
        <w:rPr>
          <w:rFonts w:ascii="Times New Roman" w:eastAsia="Times New Roman" w:hAnsi="Times New Roman" w:cs="Times New Roman"/>
          <w:sz w:val="24"/>
        </w:rPr>
        <w:t xml:space="preserve"> 43].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- 3).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5-10% детей грудного и раннего возраста с инфекцией мочевых путей также имеют вирусную ко-</w:t>
      </w:r>
      <w:r>
        <w:rPr>
          <w:rFonts w:ascii="Times New Roman" w:eastAsia="Times New Roman" w:hAnsi="Times New Roman" w:cs="Times New Roman"/>
          <w:i/>
          <w:sz w:val="24"/>
        </w:rPr>
        <w:t>инфекцию с клиническими признаками ОРВИ. Вместе с тем исследование мочи у детей с назофарингитом или ларингитом без лихорадки проводится только при наличии жалоб или особых рекомендаций в связи с сопутствующей патологией мочевой системы (см. клинические ре</w:t>
      </w:r>
      <w:r>
        <w:rPr>
          <w:rFonts w:ascii="Times New Roman" w:eastAsia="Times New Roman" w:hAnsi="Times New Roman" w:cs="Times New Roman"/>
          <w:i/>
          <w:sz w:val="24"/>
        </w:rPr>
        <w:t xml:space="preserve">комендации «Инфекция мочевых путей» (возрастная категория дети). </w:t>
      </w:r>
    </w:p>
    <w:p w:rsidR="005A3F38" w:rsidRDefault="003114B5">
      <w:pPr>
        <w:numPr>
          <w:ilvl w:val="0"/>
          <w:numId w:val="6"/>
        </w:numPr>
        <w:spacing w:after="5" w:line="364" w:lineRule="auto"/>
        <w:ind w:right="2" w:hanging="10"/>
        <w:jc w:val="both"/>
      </w:pPr>
      <w:r>
        <w:rPr>
          <w:rFonts w:ascii="Times New Roman" w:eastAsia="Times New Roman" w:hAnsi="Times New Roman" w:cs="Times New Roman"/>
          <w:sz w:val="24"/>
        </w:rPr>
        <w:t>Общий (клинический) анализ крови развернутый рекомендован к проведению при выраженных общих симптомах у детей с ОРВИ и лихорадкой [42, 43, 44].</w:t>
      </w:r>
      <w:r>
        <w:rPr>
          <w:rFonts w:ascii="Times New Roman" w:eastAsia="Times New Roman" w:hAnsi="Times New Roman" w:cs="Times New Roman"/>
          <w:b/>
          <w:sz w:val="24"/>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(Уровень убедительности рекомендаций С; уров</w:t>
      </w:r>
      <w:r>
        <w:rPr>
          <w:rFonts w:ascii="Times New Roman" w:eastAsia="Times New Roman" w:hAnsi="Times New Roman" w:cs="Times New Roman"/>
          <w:b/>
          <w:sz w:val="24"/>
        </w:rPr>
        <w:t>ень достоверности доказательств - 3). 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Повышение уровня маркеров воспаления, в том числе бактериального, является поводом для поиска осложнений, в первую очередь, «немой» пневмонии, острого среднего отита, инфекции мочевых путей.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При анализе </w:t>
      </w:r>
      <w:r>
        <w:rPr>
          <w:rFonts w:ascii="Times New Roman" w:eastAsia="Times New Roman" w:hAnsi="Times New Roman" w:cs="Times New Roman"/>
          <w:i/>
          <w:sz w:val="24"/>
        </w:rPr>
        <w:t xml:space="preserve">результатов учитывают особенности лабораторных показателей при некоторых вирусных инфекциях: </w:t>
      </w:r>
    </w:p>
    <w:p w:rsidR="005A3F38" w:rsidRDefault="003114B5">
      <w:pPr>
        <w:numPr>
          <w:ilvl w:val="0"/>
          <w:numId w:val="7"/>
        </w:numPr>
        <w:spacing w:after="4" w:line="367" w:lineRule="auto"/>
        <w:ind w:hanging="137"/>
        <w:jc w:val="both"/>
      </w:pPr>
      <w:r>
        <w:rPr>
          <w:rFonts w:ascii="Times New Roman" w:eastAsia="Times New Roman" w:hAnsi="Times New Roman" w:cs="Times New Roman"/>
          <w:i/>
          <w:sz w:val="24"/>
        </w:rPr>
        <w:t xml:space="preserve">лейкопения, характерная для гриппа и энтеровирусных инфекций, обычно отсутствует при других ОРВИ; </w:t>
      </w:r>
    </w:p>
    <w:p w:rsidR="005A3F38" w:rsidRDefault="003114B5">
      <w:pPr>
        <w:numPr>
          <w:ilvl w:val="0"/>
          <w:numId w:val="7"/>
        </w:numPr>
        <w:spacing w:after="132"/>
        <w:ind w:hanging="137"/>
        <w:jc w:val="both"/>
      </w:pPr>
      <w:r>
        <w:rPr>
          <w:rFonts w:ascii="Times New Roman" w:eastAsia="Times New Roman" w:hAnsi="Times New Roman" w:cs="Times New Roman"/>
          <w:i/>
          <w:sz w:val="24"/>
        </w:rPr>
        <w:t>РС-вирусную инфекцию сопровождает лимфоцитарный лейкоцитоз, кот</w:t>
      </w:r>
      <w:r>
        <w:rPr>
          <w:rFonts w:ascii="Times New Roman" w:eastAsia="Times New Roman" w:hAnsi="Times New Roman" w:cs="Times New Roman"/>
          <w:i/>
          <w:sz w:val="24"/>
        </w:rPr>
        <w:t xml:space="preserve">орый может превышать </w:t>
      </w:r>
    </w:p>
    <w:p w:rsidR="005A3F38" w:rsidRDefault="003114B5">
      <w:pPr>
        <w:spacing w:after="165"/>
        <w:ind w:left="355" w:hanging="10"/>
        <w:jc w:val="both"/>
      </w:pPr>
      <w:r>
        <w:rPr>
          <w:rFonts w:ascii="Times New Roman" w:eastAsia="Times New Roman" w:hAnsi="Times New Roman" w:cs="Times New Roman"/>
          <w:i/>
          <w:sz w:val="24"/>
        </w:rPr>
        <w:t>15 х 10</w:t>
      </w:r>
      <w:r>
        <w:rPr>
          <w:rFonts w:ascii="Times New Roman" w:eastAsia="Times New Roman" w:hAnsi="Times New Roman" w:cs="Times New Roman"/>
          <w:i/>
          <w:sz w:val="24"/>
          <w:vertAlign w:val="superscript"/>
        </w:rPr>
        <w:t>9</w:t>
      </w:r>
      <w:r>
        <w:rPr>
          <w:rFonts w:ascii="Times New Roman" w:eastAsia="Times New Roman" w:hAnsi="Times New Roman" w:cs="Times New Roman"/>
          <w:i/>
          <w:sz w:val="24"/>
        </w:rPr>
        <w:t xml:space="preserve">/л.  </w:t>
      </w:r>
    </w:p>
    <w:p w:rsidR="005A3F38" w:rsidRDefault="003114B5">
      <w:pPr>
        <w:spacing w:after="4" w:line="367" w:lineRule="auto"/>
        <w:ind w:left="355" w:hanging="10"/>
        <w:jc w:val="both"/>
      </w:pPr>
      <w:r>
        <w:rPr>
          <w:rFonts w:ascii="Times New Roman" w:eastAsia="Times New Roman" w:hAnsi="Times New Roman" w:cs="Times New Roman"/>
          <w:i/>
          <w:sz w:val="24"/>
        </w:rPr>
        <w:t>- при аденовирусной инфекции лейкоцитоз может достигать уровня 15 – 20 х∙10</w:t>
      </w:r>
      <w:r>
        <w:rPr>
          <w:rFonts w:ascii="Times New Roman" w:eastAsia="Times New Roman" w:hAnsi="Times New Roman" w:cs="Times New Roman"/>
          <w:i/>
          <w:sz w:val="24"/>
          <w:vertAlign w:val="superscript"/>
        </w:rPr>
        <w:t>9</w:t>
      </w:r>
      <w:r>
        <w:rPr>
          <w:rFonts w:ascii="Times New Roman" w:eastAsia="Times New Roman" w:hAnsi="Times New Roman" w:cs="Times New Roman"/>
          <w:i/>
          <w:sz w:val="24"/>
        </w:rPr>
        <w:t>/л и даже выше, при этом возможны нейтрофилез более 10 х 10</w:t>
      </w:r>
      <w:r>
        <w:rPr>
          <w:rFonts w:ascii="Times New Roman" w:eastAsia="Times New Roman" w:hAnsi="Times New Roman" w:cs="Times New Roman"/>
          <w:i/>
          <w:sz w:val="24"/>
          <w:vertAlign w:val="superscript"/>
        </w:rPr>
        <w:t>9</w:t>
      </w:r>
      <w:r>
        <w:rPr>
          <w:rFonts w:ascii="Times New Roman" w:eastAsia="Times New Roman" w:hAnsi="Times New Roman" w:cs="Times New Roman"/>
          <w:i/>
          <w:sz w:val="24"/>
        </w:rPr>
        <w:t xml:space="preserve">/л, повышение уровня С-реактивного белка выше 30 мг/л.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Повторные клинические анализы крови и мочи необходимы только в случае выявления отклонений от нормы при первичном обследовании или появления новых симптомов, требующих диагностического поиска.  </w:t>
      </w:r>
    </w:p>
    <w:p w:rsidR="005A3F38" w:rsidRDefault="003114B5">
      <w:pPr>
        <w:spacing w:after="4" w:line="367" w:lineRule="auto"/>
        <w:ind w:left="355" w:hanging="10"/>
        <w:jc w:val="both"/>
      </w:pPr>
      <w:r>
        <w:rPr>
          <w:rFonts w:ascii="Times New Roman" w:eastAsia="Times New Roman" w:hAnsi="Times New Roman" w:cs="Times New Roman"/>
          <w:i/>
          <w:sz w:val="24"/>
        </w:rPr>
        <w:t>Если симптомы вирусной инфекции купировались, ребенок переста</w:t>
      </w:r>
      <w:r>
        <w:rPr>
          <w:rFonts w:ascii="Times New Roman" w:eastAsia="Times New Roman" w:hAnsi="Times New Roman" w:cs="Times New Roman"/>
          <w:i/>
          <w:sz w:val="24"/>
        </w:rPr>
        <w:t xml:space="preserve">л лихорадить и имеет хорошее самочувствие, повторное исследование общего (клинического) анализа крови нецелесообразно. </w:t>
      </w:r>
    </w:p>
    <w:p w:rsidR="005A3F38" w:rsidRDefault="003114B5">
      <w:pPr>
        <w:spacing w:after="5" w:line="364" w:lineRule="auto"/>
        <w:ind w:left="355" w:right="2" w:hanging="10"/>
        <w:jc w:val="both"/>
      </w:pPr>
      <w:r>
        <w:rPr>
          <w:rFonts w:ascii="Segoe UI Symbol" w:eastAsia="Segoe UI Symbol" w:hAnsi="Segoe UI Symbol" w:cs="Segoe UI Symbol"/>
          <w:sz w:val="20"/>
        </w:rPr>
        <w:t>•</w:t>
      </w:r>
      <w:r>
        <w:rPr>
          <w:rFonts w:ascii="Arial" w:eastAsia="Arial" w:hAnsi="Arial" w:cs="Arial"/>
          <w:sz w:val="20"/>
        </w:rPr>
        <w:t xml:space="preserve"> </w:t>
      </w:r>
      <w:r>
        <w:rPr>
          <w:rFonts w:ascii="Times New Roman" w:eastAsia="Times New Roman" w:hAnsi="Times New Roman" w:cs="Times New Roman"/>
          <w:sz w:val="24"/>
        </w:rPr>
        <w:t>Исследование уровня С-реактивного белка в сыворотке крови рекомендовано селективно проводить при необходимости исключения бактериально</w:t>
      </w:r>
      <w:r>
        <w:rPr>
          <w:rFonts w:ascii="Times New Roman" w:eastAsia="Times New Roman" w:hAnsi="Times New Roman" w:cs="Times New Roman"/>
          <w:sz w:val="24"/>
        </w:rPr>
        <w:t xml:space="preserve">й инфекции у детей с ОРВИ с фебрильной лихорадкой (повышение температуры выше 38ºС), особенно при отсутствии видимого очага инфекции [42, 43, 44]. </w:t>
      </w:r>
      <w:r>
        <w:rPr>
          <w:rFonts w:ascii="Times New Roman" w:eastAsia="Times New Roman" w:hAnsi="Times New Roman" w:cs="Times New Roman"/>
          <w:sz w:val="20"/>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- 3). Комментарии: </w:t>
      </w:r>
      <w:r>
        <w:rPr>
          <w:rFonts w:ascii="Times New Roman" w:eastAsia="Times New Roman" w:hAnsi="Times New Roman" w:cs="Times New Roman"/>
          <w:i/>
          <w:sz w:val="24"/>
        </w:rPr>
        <w:t>Повышение ег</w:t>
      </w:r>
      <w:r>
        <w:rPr>
          <w:rFonts w:ascii="Times New Roman" w:eastAsia="Times New Roman" w:hAnsi="Times New Roman" w:cs="Times New Roman"/>
          <w:i/>
          <w:sz w:val="24"/>
        </w:rPr>
        <w:t xml:space="preserve">о выше 50 мг/л более характерно для бактериальных инфекций (согласно инструкции к реактиву).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Согласно публикациям, «точки отсечения» уровня СРБ, при котором следует заподозрить бактериальную инфекцию, варьируют в диапазоне 40–100 мг/л. Таким образом, уро</w:t>
      </w:r>
      <w:r>
        <w:rPr>
          <w:rFonts w:ascii="Times New Roman" w:eastAsia="Times New Roman" w:hAnsi="Times New Roman" w:cs="Times New Roman"/>
          <w:i/>
          <w:sz w:val="24"/>
        </w:rPr>
        <w:t>вень СРБ необходимо оценивать в комплексе с оценкой состояния пациента и клинических проявлений.  Следует помнить, что низкие значения СРБ в первые 12 часов лихорадки не исключают бактериальную инфекцию, т.к. это особенность его повышения (в этот временной</w:t>
      </w:r>
      <w:r>
        <w:rPr>
          <w:rFonts w:ascii="Times New Roman" w:eastAsia="Times New Roman" w:hAnsi="Times New Roman" w:cs="Times New Roman"/>
          <w:i/>
          <w:sz w:val="24"/>
        </w:rPr>
        <w:t xml:space="preserve"> интервал можно получить низкие значения СРБ при подтвержденном бактериальном очаге инфекции). Кроме того, при наличии заболеваний печени (печеночная недостаточность и цирроз печени) и иммунодефицитных состояний уровень СРБ тоже может быть низким и не отра</w:t>
      </w:r>
      <w:r>
        <w:rPr>
          <w:rFonts w:ascii="Times New Roman" w:eastAsia="Times New Roman" w:hAnsi="Times New Roman" w:cs="Times New Roman"/>
          <w:i/>
          <w:sz w:val="24"/>
        </w:rPr>
        <w:t xml:space="preserve">жать связь с течением бактериальной инфекции [323, 324, 325, 326, 327, 328, 329]. </w:t>
      </w:r>
    </w:p>
    <w:p w:rsidR="005A3F38" w:rsidRDefault="003114B5">
      <w:pPr>
        <w:spacing w:after="234" w:line="365" w:lineRule="auto"/>
        <w:ind w:left="345" w:firstLine="708"/>
      </w:pPr>
      <w:r>
        <w:rPr>
          <w:rFonts w:ascii="Times New Roman" w:eastAsia="Times New Roman" w:hAnsi="Times New Roman" w:cs="Times New Roman"/>
          <w:i/>
          <w:sz w:val="24"/>
        </w:rPr>
        <w:t>Также следует обратить внимание на оценку СРБ в динамике и скорости его прироста, что в том числе может помочь в дифференциальной диагностике ОРВИ и бактериальной инфекции [</w:t>
      </w:r>
      <w:r>
        <w:rPr>
          <w:rFonts w:ascii="Times New Roman" w:eastAsia="Times New Roman" w:hAnsi="Times New Roman" w:cs="Times New Roman"/>
          <w:i/>
          <w:sz w:val="24"/>
        </w:rPr>
        <w:t xml:space="preserve">330].Рутинное исследование уровня прокальцитонина в крови – не показано [43, 44]. </w:t>
      </w:r>
    </w:p>
    <w:p w:rsidR="005A3F38" w:rsidRDefault="003114B5">
      <w:pPr>
        <w:pStyle w:val="Heading2"/>
        <w:spacing w:after="134"/>
        <w:ind w:left="1063"/>
      </w:pPr>
      <w:bookmarkStart w:id="13" w:name="_Toc141886"/>
      <w:r>
        <w:t xml:space="preserve">2.4 </w:t>
      </w:r>
      <w:r>
        <w:t>Инструментальные диагностические исследования</w:t>
      </w:r>
      <w:r>
        <w:rPr>
          <w:u w:val="none"/>
        </w:rPr>
        <w:t xml:space="preserve"> </w:t>
      </w:r>
      <w:bookmarkEnd w:id="13"/>
    </w:p>
    <w:p w:rsidR="005A3F38" w:rsidRDefault="003114B5">
      <w:pPr>
        <w:numPr>
          <w:ilvl w:val="0"/>
          <w:numId w:val="8"/>
        </w:numPr>
        <w:spacing w:after="5" w:line="364" w:lineRule="auto"/>
        <w:ind w:right="2" w:hanging="10"/>
        <w:jc w:val="both"/>
      </w:pPr>
      <w:r>
        <w:rPr>
          <w:rFonts w:ascii="Times New Roman" w:eastAsia="Times New Roman" w:hAnsi="Times New Roman" w:cs="Times New Roman"/>
          <w:sz w:val="24"/>
        </w:rPr>
        <w:t xml:space="preserve">Рекомендовано у детей с ОРВИ, сопровождающейся ринитом и лихорадкой, при возможности, проведение </w:t>
      </w:r>
      <w:r>
        <w:rPr>
          <w:rFonts w:ascii="Times New Roman" w:eastAsia="Times New Roman" w:hAnsi="Times New Roman" w:cs="Times New Roman"/>
          <w:sz w:val="24"/>
        </w:rPr>
        <w:t xml:space="preserve">осмотра органа слуха (отоскопии) для своевременной диагностики отита [45]. </w:t>
      </w:r>
      <w:r>
        <w:rPr>
          <w:rFonts w:ascii="Times New Roman" w:eastAsia="Times New Roman" w:hAnsi="Times New Roman" w:cs="Times New Roman"/>
          <w:b/>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spacing w:after="140"/>
        <w:ind w:left="360"/>
      </w:pPr>
      <w:r>
        <w:rPr>
          <w:rFonts w:ascii="Times New Roman" w:eastAsia="Times New Roman" w:hAnsi="Times New Roman" w:cs="Times New Roman"/>
          <w:b/>
          <w:sz w:val="24"/>
        </w:rPr>
        <w:t xml:space="preserve"> </w:t>
      </w:r>
    </w:p>
    <w:p w:rsidR="005A3F38" w:rsidRDefault="003114B5">
      <w:pPr>
        <w:numPr>
          <w:ilvl w:val="0"/>
          <w:numId w:val="8"/>
        </w:numPr>
        <w:spacing w:after="5" w:line="364" w:lineRule="auto"/>
        <w:ind w:right="2" w:hanging="10"/>
        <w:jc w:val="both"/>
      </w:pPr>
      <w:r>
        <w:rPr>
          <w:rFonts w:ascii="Times New Roman" w:eastAsia="Times New Roman" w:hAnsi="Times New Roman" w:cs="Times New Roman"/>
          <w:sz w:val="24"/>
        </w:rPr>
        <w:t>Рекомендовано выполнение пульсоксиметрии детям с ОРВИ и признаками дыхательной недостаточности</w:t>
      </w:r>
      <w:r>
        <w:rPr>
          <w:rFonts w:ascii="Times New Roman" w:eastAsia="Times New Roman" w:hAnsi="Times New Roman" w:cs="Times New Roman"/>
          <w:sz w:val="24"/>
        </w:rPr>
        <w:t xml:space="preserve"> для диагностики респираторных нарушений [331, 332].</w:t>
      </w:r>
      <w:r>
        <w:rPr>
          <w:rFonts w:ascii="Times New Roman" w:eastAsia="Times New Roman" w:hAnsi="Times New Roman" w:cs="Times New Roman"/>
          <w:i/>
          <w:sz w:val="24"/>
        </w:rPr>
        <w:t xml:space="preserve"> </w:t>
      </w:r>
    </w:p>
    <w:p w:rsidR="005A3F38" w:rsidRDefault="003114B5">
      <w:pPr>
        <w:spacing w:after="184" w:line="249" w:lineRule="auto"/>
        <w:ind w:left="355" w:hanging="10"/>
      </w:pPr>
      <w:r>
        <w:rPr>
          <w:rFonts w:ascii="Times New Roman" w:eastAsia="Times New Roman" w:hAnsi="Times New Roman" w:cs="Times New Roman"/>
          <w:b/>
          <w:sz w:val="24"/>
        </w:rPr>
        <w:t xml:space="preserve">Уровень убедительности рекомендаций – С (уровень достоверности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i/>
          <w:sz w:val="24"/>
        </w:rPr>
        <w:t xml:space="preserve"> пульсоксиметрия является простым скрининговым методом, позволяющим выявлять пациентов с гипоксемией, нужд</w:t>
      </w:r>
      <w:r>
        <w:rPr>
          <w:rFonts w:ascii="Times New Roman" w:eastAsia="Times New Roman" w:hAnsi="Times New Roman" w:cs="Times New Roman"/>
          <w:i/>
          <w:sz w:val="24"/>
        </w:rPr>
        <w:t xml:space="preserve">ающихся в респираторной поддержке и оценивать ее эффективность. </w:t>
      </w:r>
    </w:p>
    <w:p w:rsidR="005A3F38" w:rsidRDefault="003114B5">
      <w:pPr>
        <w:spacing w:after="115"/>
        <w:ind w:left="360"/>
      </w:pPr>
      <w:r>
        <w:rPr>
          <w:rFonts w:ascii="Times New Roman" w:eastAsia="Times New Roman" w:hAnsi="Times New Roman" w:cs="Times New Roman"/>
          <w:i/>
          <w:sz w:val="24"/>
        </w:rPr>
        <w:t xml:space="preserve"> </w:t>
      </w:r>
    </w:p>
    <w:p w:rsidR="005A3F38" w:rsidRDefault="003114B5">
      <w:pPr>
        <w:numPr>
          <w:ilvl w:val="0"/>
          <w:numId w:val="8"/>
        </w:numPr>
        <w:spacing w:after="5" w:line="364" w:lineRule="auto"/>
        <w:ind w:right="2" w:hanging="10"/>
        <w:jc w:val="both"/>
      </w:pPr>
      <w:r>
        <w:rPr>
          <w:rFonts w:ascii="Times New Roman" w:eastAsia="Times New Roman" w:hAnsi="Times New Roman" w:cs="Times New Roman"/>
          <w:sz w:val="24"/>
        </w:rPr>
        <w:t xml:space="preserve">Рентгенография органов грудной клетки (Рентгенография легких) и/или Спиральная компьютерная томография легких не рекомендованы для проведения каждому ребенку с симптомами ОРВИ во избежание </w:t>
      </w:r>
      <w:r>
        <w:rPr>
          <w:rFonts w:ascii="Times New Roman" w:eastAsia="Times New Roman" w:hAnsi="Times New Roman" w:cs="Times New Roman"/>
          <w:sz w:val="24"/>
        </w:rPr>
        <w:t>излишней лучевой нагрузки [48, 49, 50].</w:t>
      </w:r>
      <w:r>
        <w:rPr>
          <w:rFonts w:ascii="Times New Roman" w:eastAsia="Times New Roman" w:hAnsi="Times New Roman" w:cs="Times New Roman"/>
          <w:sz w:val="20"/>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- 1). </w:t>
      </w:r>
    </w:p>
    <w:p w:rsidR="005A3F38" w:rsidRDefault="003114B5">
      <w:pPr>
        <w:spacing w:after="127" w:line="249" w:lineRule="auto"/>
        <w:ind w:left="355" w:hanging="10"/>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sz w:val="24"/>
        </w:rPr>
        <w:t xml:space="preserve">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Показания для рентгенографии легких - см. клинические рекомендации «Пневмонии у детей»;  Следует помнить, что выявле</w:t>
      </w:r>
      <w:r>
        <w:rPr>
          <w:rFonts w:ascii="Times New Roman" w:eastAsia="Times New Roman" w:hAnsi="Times New Roman" w:cs="Times New Roman"/>
          <w:i/>
          <w:sz w:val="24"/>
        </w:rPr>
        <w:t xml:space="preserve">ние на рентгенограмме легких усиления бронхососудистого рисунка, расширение тени корней легких недостаточно для установления диагноза «пневмония» и не является показанием для антибактериальной терапии.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В сомнительных случаях может быть проведена Спираль</w:t>
      </w:r>
      <w:r>
        <w:rPr>
          <w:rFonts w:ascii="Times New Roman" w:eastAsia="Times New Roman" w:hAnsi="Times New Roman" w:cs="Times New Roman"/>
          <w:i/>
          <w:sz w:val="24"/>
        </w:rPr>
        <w:t>ная компьютерная томография легких (см. клинические рекомендации «Бронхит» (возрастная категория дети), «Пневмония (внебольничная)» (возрастная категория дети)). Также данное исследование показано при подозрении на коронавирусную инфекцию нового типа (COVI</w:t>
      </w:r>
      <w:r>
        <w:rPr>
          <w:rFonts w:ascii="Times New Roman" w:eastAsia="Times New Roman" w:hAnsi="Times New Roman" w:cs="Times New Roman"/>
          <w:i/>
          <w:sz w:val="24"/>
        </w:rPr>
        <w:t xml:space="preserve">D-19).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Следует избегать необоснованной лучевой нагрузки в связи с повышением риска развития онкологических заболеваний у детей [50]. </w:t>
      </w:r>
    </w:p>
    <w:p w:rsidR="005A3F38" w:rsidRDefault="003114B5">
      <w:pPr>
        <w:spacing w:after="116"/>
        <w:ind w:left="1068"/>
      </w:pPr>
      <w:r>
        <w:rPr>
          <w:rFonts w:ascii="Times New Roman" w:eastAsia="Times New Roman" w:hAnsi="Times New Roman" w:cs="Times New Roman"/>
          <w:i/>
          <w:sz w:val="24"/>
        </w:rPr>
        <w:t xml:space="preserve"> </w:t>
      </w:r>
    </w:p>
    <w:p w:rsidR="005A3F38" w:rsidRDefault="003114B5">
      <w:pPr>
        <w:numPr>
          <w:ilvl w:val="0"/>
          <w:numId w:val="9"/>
        </w:numPr>
        <w:spacing w:after="5" w:line="364" w:lineRule="auto"/>
        <w:ind w:right="2" w:hanging="10"/>
        <w:jc w:val="both"/>
      </w:pPr>
      <w:r>
        <w:rPr>
          <w:rFonts w:ascii="Times New Roman" w:eastAsia="Times New Roman" w:hAnsi="Times New Roman" w:cs="Times New Roman"/>
          <w:sz w:val="24"/>
        </w:rPr>
        <w:t>Рентгенография придаточных пазух носа не рекомендована пациентам с ОРВИ с острым ринитом/ринофарингитом в первые 10 -14</w:t>
      </w:r>
      <w:r>
        <w:rPr>
          <w:rFonts w:ascii="Times New Roman" w:eastAsia="Times New Roman" w:hAnsi="Times New Roman" w:cs="Times New Roman"/>
          <w:sz w:val="24"/>
        </w:rPr>
        <w:t xml:space="preserve"> дней болезни при отсутствии признаков острого бактериального синусита для исключения излишней лучевой нагрузки [51].</w:t>
      </w:r>
      <w:r>
        <w:rPr>
          <w:rFonts w:ascii="Times New Roman" w:eastAsia="Times New Roman" w:hAnsi="Times New Roman" w:cs="Times New Roman"/>
          <w:sz w:val="20"/>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проведение рентгенографии придаточных паз</w:t>
      </w:r>
      <w:r>
        <w:rPr>
          <w:rFonts w:ascii="Times New Roman" w:eastAsia="Times New Roman" w:hAnsi="Times New Roman" w:cs="Times New Roman"/>
          <w:i/>
          <w:sz w:val="24"/>
        </w:rPr>
        <w:t xml:space="preserve">ух носа на ранних сроках заболевания часто выявляет обусловленное вирусом воспаление придаточных пазух носа, которое самопроизвольно разрешается в течение 2 недель [37, 51].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При решении вопроса о необходимости обследования следует руководствоваться клини</w:t>
      </w:r>
      <w:r>
        <w:rPr>
          <w:rFonts w:ascii="Times New Roman" w:eastAsia="Times New Roman" w:hAnsi="Times New Roman" w:cs="Times New Roman"/>
          <w:i/>
          <w:sz w:val="24"/>
        </w:rPr>
        <w:t xml:space="preserve">ческими рекомендациями «Острый синусит» (возрастная категория взрослые/дети). </w:t>
      </w:r>
    </w:p>
    <w:p w:rsidR="005A3F38" w:rsidRDefault="003114B5">
      <w:pPr>
        <w:spacing w:after="115"/>
        <w:ind w:left="10" w:right="-7" w:hanging="10"/>
        <w:jc w:val="right"/>
      </w:pPr>
      <w:r>
        <w:rPr>
          <w:rFonts w:ascii="Times New Roman" w:eastAsia="Times New Roman" w:hAnsi="Times New Roman" w:cs="Times New Roman"/>
          <w:i/>
          <w:sz w:val="24"/>
        </w:rPr>
        <w:t xml:space="preserve">Необходимые исследования при подозрении на острый бактериальный синусит – см. </w:t>
      </w:r>
    </w:p>
    <w:p w:rsidR="005A3F38" w:rsidRDefault="003114B5">
      <w:pPr>
        <w:spacing w:after="313"/>
        <w:ind w:left="355" w:hanging="10"/>
        <w:jc w:val="both"/>
      </w:pPr>
      <w:r>
        <w:rPr>
          <w:rFonts w:ascii="Times New Roman" w:eastAsia="Times New Roman" w:hAnsi="Times New Roman" w:cs="Times New Roman"/>
          <w:i/>
          <w:sz w:val="24"/>
        </w:rPr>
        <w:t xml:space="preserve">клинические рекомендации «Острый синусит» (возрастная категория взрослые/дети). </w:t>
      </w:r>
    </w:p>
    <w:p w:rsidR="005A3F38" w:rsidRDefault="003114B5">
      <w:pPr>
        <w:numPr>
          <w:ilvl w:val="0"/>
          <w:numId w:val="9"/>
        </w:numPr>
        <w:spacing w:after="5" w:line="364" w:lineRule="auto"/>
        <w:ind w:right="2" w:hanging="10"/>
        <w:jc w:val="both"/>
      </w:pPr>
      <w:r>
        <w:rPr>
          <w:rFonts w:ascii="Times New Roman" w:eastAsia="Times New Roman" w:hAnsi="Times New Roman" w:cs="Times New Roman"/>
          <w:sz w:val="24"/>
        </w:rPr>
        <w:t>Рекомендовано пац</w:t>
      </w:r>
      <w:r>
        <w:rPr>
          <w:rFonts w:ascii="Times New Roman" w:eastAsia="Times New Roman" w:hAnsi="Times New Roman" w:cs="Times New Roman"/>
          <w:sz w:val="24"/>
        </w:rPr>
        <w:t>иентам с признаками ОРВИ и</w:t>
      </w:r>
      <w:r>
        <w:rPr>
          <w:rFonts w:ascii="Times New Roman" w:eastAsia="Times New Roman" w:hAnsi="Times New Roman" w:cs="Times New Roman"/>
          <w:b/>
          <w:sz w:val="24"/>
        </w:rPr>
        <w:t xml:space="preserve"> </w:t>
      </w:r>
      <w:r>
        <w:rPr>
          <w:rFonts w:ascii="Times New Roman" w:eastAsia="Times New Roman" w:hAnsi="Times New Roman" w:cs="Times New Roman"/>
          <w:sz w:val="24"/>
        </w:rPr>
        <w:t>с лабораторно подтвержденным ОРВИ и подозрением на развитие нарушений ритма сердца и/или миокардита выполнение электрокардиографии (регистрация электрокардиограммы, расшифровка, описание и интерпретация электрокардиографических д</w:t>
      </w:r>
      <w:r>
        <w:rPr>
          <w:rFonts w:ascii="Times New Roman" w:eastAsia="Times New Roman" w:hAnsi="Times New Roman" w:cs="Times New Roman"/>
          <w:sz w:val="24"/>
        </w:rPr>
        <w:t xml:space="preserve">анных) для своевременной диагностики нарушений ритма сердца и/или эхокардиографии для своевременной диагностики признаков миокардита [30].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− 4). </w:t>
      </w:r>
    </w:p>
    <w:p w:rsidR="005A3F38" w:rsidRDefault="003114B5">
      <w:pPr>
        <w:spacing w:after="4" w:line="367" w:lineRule="auto"/>
        <w:ind w:left="355" w:right="147"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 xml:space="preserve">исследование следует </w:t>
      </w:r>
      <w:r>
        <w:rPr>
          <w:rFonts w:ascii="Times New Roman" w:eastAsia="Times New Roman" w:hAnsi="Times New Roman" w:cs="Times New Roman"/>
          <w:i/>
          <w:sz w:val="24"/>
        </w:rPr>
        <w:t xml:space="preserve">проводить пациентам с тяжелой и осложненной ОРВИ, с пороками сердца, миокардиопатией или миокардитом в анамнезе, при клинических признаках нарушения ритма сердца. </w:t>
      </w:r>
    </w:p>
    <w:p w:rsidR="005A3F38" w:rsidRDefault="003114B5">
      <w:pPr>
        <w:numPr>
          <w:ilvl w:val="0"/>
          <w:numId w:val="9"/>
        </w:numPr>
        <w:spacing w:after="4" w:line="367" w:lineRule="auto"/>
        <w:ind w:right="2" w:hanging="10"/>
        <w:jc w:val="both"/>
      </w:pPr>
      <w:r>
        <w:rPr>
          <w:rFonts w:ascii="Times New Roman" w:eastAsia="Times New Roman" w:hAnsi="Times New Roman" w:cs="Times New Roman"/>
          <w:sz w:val="24"/>
        </w:rPr>
        <w:t xml:space="preserve">Рекомендовано пациентам c ОРВИ, в том числе вызванной гриппом, при развитии неврологической </w:t>
      </w:r>
      <w:r>
        <w:rPr>
          <w:rFonts w:ascii="Times New Roman" w:eastAsia="Times New Roman" w:hAnsi="Times New Roman" w:cs="Times New Roman"/>
          <w:sz w:val="24"/>
        </w:rPr>
        <w:t xml:space="preserve">симптоматики селективное проведение электроэнцефалографии [52, 53, 54]. </w:t>
      </w:r>
      <w:r>
        <w:rPr>
          <w:rFonts w:ascii="Times New Roman" w:eastAsia="Times New Roman" w:hAnsi="Times New Roman" w:cs="Times New Roman"/>
          <w:b/>
          <w:sz w:val="24"/>
        </w:rPr>
        <w:t>Уровень убедительности рекомендаций С (уровень достоверности доказательств – 4) 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Использовать метод следует у пациентов с декомпенсацией фоновой неврологической патологии, </w:t>
      </w:r>
      <w:r>
        <w:rPr>
          <w:rFonts w:ascii="Times New Roman" w:eastAsia="Times New Roman" w:hAnsi="Times New Roman" w:cs="Times New Roman"/>
          <w:i/>
          <w:sz w:val="24"/>
        </w:rPr>
        <w:t xml:space="preserve">при развитии афебрильного судорожного синдрома, подозрении на отек головного мозга, менингит, энцефалит на фоне течения ОРВИ/гриппа. </w:t>
      </w:r>
    </w:p>
    <w:p w:rsidR="005A3F38" w:rsidRDefault="003114B5">
      <w:pPr>
        <w:spacing w:after="112"/>
        <w:ind w:left="1068"/>
      </w:pPr>
      <w:r>
        <w:rPr>
          <w:rFonts w:ascii="Times New Roman" w:eastAsia="Times New Roman" w:hAnsi="Times New Roman" w:cs="Times New Roman"/>
          <w:i/>
          <w:sz w:val="24"/>
        </w:rPr>
        <w:t xml:space="preserve"> </w:t>
      </w:r>
    </w:p>
    <w:p w:rsidR="005A3F38" w:rsidRDefault="003114B5">
      <w:pPr>
        <w:pStyle w:val="Heading2"/>
        <w:spacing w:after="279"/>
        <w:ind w:left="1063"/>
      </w:pPr>
      <w:bookmarkStart w:id="14" w:name="_Toc141887"/>
      <w:r>
        <w:t>2.5 Иные диагностические исследования</w:t>
      </w:r>
      <w:r>
        <w:rPr>
          <w:u w:val="none"/>
        </w:rPr>
        <w:t xml:space="preserve"> </w:t>
      </w:r>
      <w:bookmarkEnd w:id="14"/>
    </w:p>
    <w:p w:rsidR="005A3F38" w:rsidRDefault="003114B5">
      <w:pPr>
        <w:numPr>
          <w:ilvl w:val="0"/>
          <w:numId w:val="10"/>
        </w:numPr>
        <w:spacing w:after="5" w:line="364" w:lineRule="auto"/>
        <w:ind w:right="2" w:hanging="10"/>
        <w:jc w:val="both"/>
      </w:pPr>
      <w:r>
        <w:rPr>
          <w:rFonts w:ascii="Times New Roman" w:eastAsia="Times New Roman" w:hAnsi="Times New Roman" w:cs="Times New Roman"/>
          <w:b/>
          <w:sz w:val="24"/>
        </w:rPr>
        <w:t xml:space="preserve">Рекомендовано </w:t>
      </w:r>
      <w:r>
        <w:rPr>
          <w:rFonts w:ascii="Times New Roman" w:eastAsia="Times New Roman" w:hAnsi="Times New Roman" w:cs="Times New Roman"/>
          <w:sz w:val="24"/>
        </w:rPr>
        <w:t xml:space="preserve">пациентам с ОРВИ при подозрении на развитие отита или синусита </w:t>
      </w:r>
      <w:r>
        <w:rPr>
          <w:rFonts w:ascii="Times New Roman" w:eastAsia="Times New Roman" w:hAnsi="Times New Roman" w:cs="Times New Roman"/>
          <w:sz w:val="24"/>
        </w:rPr>
        <w:t xml:space="preserve">прием (осмотр, консультация) врача–оториноларинголога первичный для определения дальнейшей тактики  ведения пациента [37, 45, 51]. </w:t>
      </w:r>
    </w:p>
    <w:p w:rsidR="005A3F38" w:rsidRDefault="003114B5">
      <w:pPr>
        <w:spacing w:after="153"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5) </w:t>
      </w:r>
    </w:p>
    <w:p w:rsidR="005A3F38" w:rsidRDefault="003114B5">
      <w:pPr>
        <w:numPr>
          <w:ilvl w:val="0"/>
          <w:numId w:val="10"/>
        </w:numPr>
        <w:spacing w:after="5" w:line="364" w:lineRule="auto"/>
        <w:ind w:right="2" w:hanging="10"/>
        <w:jc w:val="both"/>
      </w:pPr>
      <w:r>
        <w:rPr>
          <w:rFonts w:ascii="Times New Roman" w:eastAsia="Times New Roman" w:hAnsi="Times New Roman" w:cs="Times New Roman"/>
          <w:sz w:val="24"/>
        </w:rPr>
        <w:t>Рекомендуется консультация пациентам с ОРВИ:</w:t>
      </w:r>
      <w:r>
        <w:rPr>
          <w:rFonts w:ascii="Times New Roman" w:eastAsia="Times New Roman" w:hAnsi="Times New Roman" w:cs="Times New Roman"/>
          <w:sz w:val="24"/>
        </w:rPr>
        <w:t xml:space="preserve"> прием (осмотр, консультация) врачаневролога первичный (при подозрении на развитие нейроинфекции), прием (осмотр, консультация) врача-детского гематолога/врача-детского гематолога-онколога (при выраженных гематологических изменениях и геморрагическом синдр</w:t>
      </w:r>
      <w:r>
        <w:rPr>
          <w:rFonts w:ascii="Times New Roman" w:eastAsia="Times New Roman" w:hAnsi="Times New Roman" w:cs="Times New Roman"/>
          <w:sz w:val="24"/>
        </w:rPr>
        <w:t xml:space="preserve">оме), врача-детского кардиолога (при присоединении симптомов миокардита, острой сердечно-сосудистой недостаточности), для определения дальнейшей тактики ведения [7, 31, 47, 55, 56, 57, 58].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(уровень достоверности дока</w:t>
      </w:r>
      <w:r>
        <w:rPr>
          <w:rFonts w:ascii="Times New Roman" w:eastAsia="Times New Roman" w:hAnsi="Times New Roman" w:cs="Times New Roman"/>
          <w:b/>
          <w:sz w:val="24"/>
        </w:rPr>
        <w:t>зательств - 5).</w:t>
      </w:r>
      <w:r>
        <w:rPr>
          <w:rFonts w:ascii="Times New Roman" w:eastAsia="Times New Roman" w:hAnsi="Times New Roman" w:cs="Times New Roman"/>
          <w:sz w:val="24"/>
        </w:rPr>
        <w:t xml:space="preserve"> </w:t>
      </w:r>
    </w:p>
    <w:p w:rsidR="005A3F38" w:rsidRDefault="003114B5">
      <w:pPr>
        <w:spacing w:after="112"/>
        <w:ind w:left="1068"/>
      </w:pPr>
      <w:r>
        <w:rPr>
          <w:rFonts w:ascii="Times New Roman" w:eastAsia="Times New Roman" w:hAnsi="Times New Roman" w:cs="Times New Roman"/>
          <w:sz w:val="24"/>
        </w:rPr>
        <w:t xml:space="preserve"> </w:t>
      </w:r>
    </w:p>
    <w:p w:rsidR="005A3F38" w:rsidRDefault="003114B5">
      <w:pPr>
        <w:pStyle w:val="Heading1"/>
        <w:spacing w:after="3" w:line="356" w:lineRule="auto"/>
        <w:ind w:left="360" w:firstLine="708"/>
      </w:pPr>
      <w:bookmarkStart w:id="15" w:name="_Toc141888"/>
      <w:r>
        <w:rPr>
          <w:sz w:val="24"/>
          <w:u w:val="single" w:color="000000"/>
        </w:rPr>
        <w:t xml:space="preserve">3. </w:t>
      </w:r>
      <w:r>
        <w:rPr>
          <w:sz w:val="24"/>
          <w:u w:val="single" w:color="000000"/>
        </w:rPr>
        <w:t>Лечение, включая медикаментозную и немедикаментозную терапии, диетотерапию,</w:t>
      </w:r>
      <w:r>
        <w:rPr>
          <w:sz w:val="24"/>
        </w:rPr>
        <w:t xml:space="preserve"> </w:t>
      </w:r>
      <w:bookmarkEnd w:id="15"/>
    </w:p>
    <w:p w:rsidR="005A3F38" w:rsidRDefault="003114B5">
      <w:pPr>
        <w:pStyle w:val="Heading1"/>
        <w:spacing w:after="3" w:line="356" w:lineRule="auto"/>
        <w:ind w:left="360" w:firstLine="708"/>
      </w:pPr>
      <w:bookmarkStart w:id="16" w:name="_Toc141889"/>
      <w:r>
        <w:rPr>
          <w:sz w:val="24"/>
          <w:u w:val="single" w:color="000000"/>
        </w:rPr>
        <w:t>обезболивание, медицинские показания и противопоказания к применению методов лечения</w:t>
      </w:r>
      <w:r>
        <w:rPr>
          <w:sz w:val="24"/>
        </w:rPr>
        <w:t xml:space="preserve"> </w:t>
      </w:r>
      <w:r>
        <w:rPr>
          <w:sz w:val="24"/>
        </w:rPr>
        <w:t xml:space="preserve"> </w:t>
      </w:r>
      <w:bookmarkEnd w:id="16"/>
    </w:p>
    <w:p w:rsidR="005A3F38" w:rsidRDefault="003114B5">
      <w:pPr>
        <w:spacing w:after="112"/>
        <w:ind w:left="1068"/>
      </w:pPr>
      <w:r>
        <w:rPr>
          <w:rFonts w:ascii="Times New Roman" w:eastAsia="Times New Roman" w:hAnsi="Times New Roman" w:cs="Times New Roman"/>
          <w:sz w:val="24"/>
        </w:rPr>
        <w:t xml:space="preserve"> </w:t>
      </w:r>
    </w:p>
    <w:p w:rsidR="005A3F38" w:rsidRDefault="003114B5">
      <w:pPr>
        <w:pStyle w:val="Heading2"/>
        <w:ind w:left="1063"/>
      </w:pPr>
      <w:bookmarkStart w:id="17" w:name="_Toc141890"/>
      <w:r>
        <w:t xml:space="preserve">3.1 </w:t>
      </w:r>
      <w:r>
        <w:t>Консервативное лечение</w:t>
      </w:r>
      <w:r>
        <w:rPr>
          <w:u w:val="none"/>
        </w:rPr>
        <w:t xml:space="preserve"> </w:t>
      </w:r>
      <w:bookmarkEnd w:id="17"/>
    </w:p>
    <w:p w:rsidR="005A3F38" w:rsidRDefault="003114B5">
      <w:pPr>
        <w:spacing w:after="1" w:line="359" w:lineRule="auto"/>
        <w:ind w:left="345" w:firstLine="708"/>
        <w:jc w:val="both"/>
      </w:pPr>
      <w:r>
        <w:rPr>
          <w:rFonts w:ascii="Times New Roman" w:eastAsia="Times New Roman" w:hAnsi="Times New Roman" w:cs="Times New Roman"/>
          <w:i/>
          <w:sz w:val="24"/>
        </w:rPr>
        <w:t xml:space="preserve">ОРВИ - </w:t>
      </w:r>
      <w:r>
        <w:rPr>
          <w:rFonts w:ascii="Times New Roman" w:eastAsia="Times New Roman" w:hAnsi="Times New Roman" w:cs="Times New Roman"/>
          <w:i/>
          <w:sz w:val="24"/>
        </w:rPr>
        <w:t xml:space="preserve">наиболее частая причина применения различных лекарственных средств и процедур, чаще всего ненужных, с недоказанным действием, нередко вызывающих побочные эффекты. Поэтому </w:t>
      </w:r>
      <w:r>
        <w:rPr>
          <w:rFonts w:ascii="Times New Roman" w:eastAsia="Times New Roman" w:hAnsi="Times New Roman" w:cs="Times New Roman"/>
          <w:b/>
          <w:i/>
          <w:sz w:val="24"/>
        </w:rPr>
        <w:t>очень важно разъяснить родителям доброкачественный характер болезни и сообщить, каков</w:t>
      </w:r>
      <w:r>
        <w:rPr>
          <w:rFonts w:ascii="Times New Roman" w:eastAsia="Times New Roman" w:hAnsi="Times New Roman" w:cs="Times New Roman"/>
          <w:b/>
          <w:i/>
          <w:sz w:val="24"/>
        </w:rPr>
        <w:t>а предполагаемая длительность имеющихся симптомов, а также убедить их в достаточности минимальных вмешательств</w:t>
      </w:r>
      <w:r>
        <w:rPr>
          <w:rFonts w:ascii="Times New Roman" w:eastAsia="Times New Roman" w:hAnsi="Times New Roman" w:cs="Times New Roman"/>
          <w:i/>
          <w:sz w:val="24"/>
        </w:rPr>
        <w:t xml:space="preserve">. </w:t>
      </w:r>
    </w:p>
    <w:p w:rsidR="005A3F38" w:rsidRDefault="003114B5">
      <w:pPr>
        <w:spacing w:after="117"/>
        <w:ind w:left="1078" w:hanging="10"/>
        <w:jc w:val="both"/>
      </w:pPr>
      <w:r>
        <w:rPr>
          <w:rFonts w:ascii="Times New Roman" w:eastAsia="Times New Roman" w:hAnsi="Times New Roman" w:cs="Times New Roman"/>
          <w:b/>
          <w:i/>
          <w:sz w:val="24"/>
        </w:rPr>
        <w:t>Основным в лечении ОРВИ является облегчение симптомов</w:t>
      </w:r>
      <w:r>
        <w:rPr>
          <w:rFonts w:ascii="Times New Roman" w:eastAsia="Times New Roman" w:hAnsi="Times New Roman" w:cs="Times New Roman"/>
          <w:i/>
          <w:sz w:val="24"/>
        </w:rPr>
        <w:t xml:space="preserve"> [60]. </w:t>
      </w:r>
    </w:p>
    <w:p w:rsidR="005A3F38" w:rsidRDefault="003114B5">
      <w:pPr>
        <w:spacing w:after="4" w:line="367" w:lineRule="auto"/>
        <w:ind w:left="345" w:firstLine="708"/>
        <w:jc w:val="both"/>
      </w:pPr>
      <w:r>
        <w:rPr>
          <w:rFonts w:ascii="Times New Roman" w:eastAsia="Times New Roman" w:hAnsi="Times New Roman" w:cs="Times New Roman"/>
          <w:i/>
          <w:sz w:val="24"/>
        </w:rPr>
        <w:t>На выбор тактики лечения оказывают влияние следующие факторы: период и клиническая</w:t>
      </w:r>
      <w:r>
        <w:rPr>
          <w:rFonts w:ascii="Times New Roman" w:eastAsia="Times New Roman" w:hAnsi="Times New Roman" w:cs="Times New Roman"/>
          <w:i/>
          <w:sz w:val="24"/>
        </w:rPr>
        <w:t xml:space="preserve"> форма заболевания; ведущие клинические проявления и особенности течения болезни с учетом коморбидных состояний, в т.ч. признаков иммунодефицита, возраст больного; наличие и характер осложнений; доступность и возможность выполнения лечения в соответствии с</w:t>
      </w:r>
      <w:r>
        <w:rPr>
          <w:rFonts w:ascii="Times New Roman" w:eastAsia="Times New Roman" w:hAnsi="Times New Roman" w:cs="Times New Roman"/>
          <w:i/>
          <w:sz w:val="24"/>
        </w:rPr>
        <w:t xml:space="preserve"> необходимым видом оказания медицинской помощи. </w:t>
      </w:r>
    </w:p>
    <w:p w:rsidR="005A3F38" w:rsidRDefault="003114B5">
      <w:pPr>
        <w:spacing w:after="117" w:line="359" w:lineRule="auto"/>
        <w:ind w:left="345" w:firstLine="708"/>
        <w:jc w:val="both"/>
      </w:pPr>
      <w:r>
        <w:rPr>
          <w:rFonts w:ascii="Times New Roman" w:eastAsia="Times New Roman" w:hAnsi="Times New Roman" w:cs="Times New Roman"/>
          <w:b/>
          <w:i/>
          <w:sz w:val="24"/>
        </w:rPr>
        <w:t>Этиотропная (противовирусная терапия) не является компонентом рутинного медицинского лечения ОРВИ, большинство респираторных вирусных инфекций не требуют назначения противовирусной/иммуномодулирующей терапии</w:t>
      </w:r>
      <w:r>
        <w:rPr>
          <w:rFonts w:ascii="Times New Roman" w:eastAsia="Times New Roman" w:hAnsi="Times New Roman" w:cs="Times New Roman"/>
          <w:i/>
          <w:sz w:val="24"/>
        </w:rPr>
        <w:t xml:space="preserve">. Этиотропное лечение разработано только для гриппа [61; 62]. </w:t>
      </w:r>
    </w:p>
    <w:p w:rsidR="005A3F38" w:rsidRDefault="003114B5">
      <w:pPr>
        <w:spacing w:after="4" w:line="367" w:lineRule="auto"/>
        <w:ind w:left="345" w:firstLine="708"/>
        <w:jc w:val="both"/>
      </w:pPr>
      <w:r>
        <w:rPr>
          <w:rFonts w:ascii="Times New Roman" w:eastAsia="Times New Roman" w:hAnsi="Times New Roman" w:cs="Times New Roman"/>
          <w:i/>
          <w:sz w:val="24"/>
        </w:rPr>
        <w:t>Целесообразность назначения противовирусной терапии определяется врачом индивидуально для каждого пациента [63]. При принятии решения о ее использовании следует соблюдать осторожность и учитыва</w:t>
      </w:r>
      <w:r>
        <w:rPr>
          <w:rFonts w:ascii="Times New Roman" w:eastAsia="Times New Roman" w:hAnsi="Times New Roman" w:cs="Times New Roman"/>
          <w:i/>
          <w:sz w:val="24"/>
        </w:rPr>
        <w:t xml:space="preserve">ть соотношение пользы/вреда. </w:t>
      </w:r>
    </w:p>
    <w:p w:rsidR="005A3F38" w:rsidRDefault="003114B5">
      <w:pPr>
        <w:spacing w:after="343"/>
        <w:ind w:left="360"/>
      </w:pPr>
      <w:r>
        <w:rPr>
          <w:rFonts w:ascii="Times New Roman" w:eastAsia="Times New Roman" w:hAnsi="Times New Roman" w:cs="Times New Roman"/>
          <w:b/>
          <w:sz w:val="24"/>
        </w:rPr>
        <w:t xml:space="preserve"> </w:t>
      </w:r>
    </w:p>
    <w:p w:rsidR="005A3F38" w:rsidRDefault="003114B5">
      <w:pPr>
        <w:pStyle w:val="Heading3"/>
        <w:spacing w:after="0"/>
        <w:ind w:left="219" w:right="0" w:firstLine="0"/>
        <w:jc w:val="left"/>
      </w:pPr>
      <w:bookmarkStart w:id="18" w:name="_Toc141891"/>
      <w:r>
        <w:rPr>
          <w:i w:val="0"/>
          <w:color w:val="333333"/>
        </w:rPr>
        <w:t xml:space="preserve">3.1.1 Симптоматическая терапия </w:t>
      </w:r>
      <w:bookmarkEnd w:id="18"/>
    </w:p>
    <w:p w:rsidR="005A3F38" w:rsidRDefault="003114B5">
      <w:pPr>
        <w:spacing w:after="140"/>
        <w:ind w:left="360"/>
      </w:pPr>
      <w:r>
        <w:rPr>
          <w:rFonts w:ascii="Times New Roman" w:eastAsia="Times New Roman" w:hAnsi="Times New Roman" w:cs="Times New Roman"/>
          <w:b/>
          <w:sz w:val="24"/>
        </w:rPr>
        <w:t xml:space="preserve"> </w:t>
      </w:r>
    </w:p>
    <w:p w:rsidR="005A3F38" w:rsidRDefault="003114B5">
      <w:pPr>
        <w:spacing w:after="5"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Рекомендуется пациентам с ОРВИ и симптомами ринита проводить элиминационную терапию раствором натрия хлорида (0,9%) (с возраста 2 лет) или стерильным раствором морской воды несколько раз в</w:t>
      </w:r>
      <w:r>
        <w:rPr>
          <w:rFonts w:ascii="Times New Roman" w:eastAsia="Times New Roman" w:hAnsi="Times New Roman" w:cs="Times New Roman"/>
          <w:sz w:val="24"/>
        </w:rPr>
        <w:t xml:space="preserve"> день для удаления слизи и восстановления работы мерцательного эпителия слизистой оболочки носа [196].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В; уровень достоверности доказательств - 1).</w:t>
      </w:r>
      <w:r>
        <w:rPr>
          <w:rFonts w:ascii="Times New Roman" w:eastAsia="Times New Roman" w:hAnsi="Times New Roman" w:cs="Times New Roman"/>
          <w:sz w:val="24"/>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 xml:space="preserve">элиминационная терапия безопасна и эффективна. Возможно </w:t>
      </w:r>
      <w:r>
        <w:rPr>
          <w:rFonts w:ascii="Times New Roman" w:eastAsia="Times New Roman" w:hAnsi="Times New Roman" w:cs="Times New Roman"/>
          <w:i/>
          <w:sz w:val="24"/>
        </w:rPr>
        <w:t xml:space="preserve">использование назального душа или назального спрея. </w:t>
      </w:r>
    </w:p>
    <w:p w:rsidR="005A3F38" w:rsidRDefault="003114B5">
      <w:pPr>
        <w:spacing w:after="4" w:line="367" w:lineRule="auto"/>
        <w:ind w:left="355" w:hanging="10"/>
        <w:jc w:val="both"/>
      </w:pPr>
      <w:r>
        <w:rPr>
          <w:rFonts w:ascii="Times New Roman" w:eastAsia="Times New Roman" w:hAnsi="Times New Roman" w:cs="Times New Roman"/>
          <w:i/>
          <w:sz w:val="24"/>
        </w:rPr>
        <w:t>У младенцев и детей раннего возраста с обильным отделяемым эффективна аспирация слизи из носа специальным ручным отсосом с последующим введением натрия хлорида (0,9%) (с возраста 2 лет). Положение в кров</w:t>
      </w:r>
      <w:r>
        <w:rPr>
          <w:rFonts w:ascii="Times New Roman" w:eastAsia="Times New Roman" w:hAnsi="Times New Roman" w:cs="Times New Roman"/>
          <w:i/>
          <w:sz w:val="24"/>
        </w:rPr>
        <w:t xml:space="preserve">атке с приподнятым головным концом может способствовать отхождению слизи из носа.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Спреи с солевым изотоническим раствором натрия хлорида или стерильным раствором морской воды используют у детей более старшего возраста, согласно Инструкциям/ОХЛП. </w:t>
      </w:r>
    </w:p>
    <w:p w:rsidR="005A3F38" w:rsidRDefault="003114B5">
      <w:pPr>
        <w:spacing w:after="4" w:line="367" w:lineRule="auto"/>
        <w:ind w:left="355" w:hanging="10"/>
        <w:jc w:val="both"/>
      </w:pPr>
      <w:r>
        <w:rPr>
          <w:rFonts w:ascii="Times New Roman" w:eastAsia="Times New Roman" w:hAnsi="Times New Roman" w:cs="Times New Roman"/>
          <w:i/>
          <w:sz w:val="24"/>
        </w:rPr>
        <w:t>Существ</w:t>
      </w:r>
      <w:r>
        <w:rPr>
          <w:rFonts w:ascii="Times New Roman" w:eastAsia="Times New Roman" w:hAnsi="Times New Roman" w:cs="Times New Roman"/>
          <w:i/>
          <w:sz w:val="24"/>
        </w:rPr>
        <w:t>уют рекомендации возможного использования при заложенности носа морской воды (гипертонические растворы) [64, 196]. Однако следует учитывать, что применение морской воды (гипертонического раствора) может вызвать неприяные ощущения, в том числе болевые, в св</w:t>
      </w:r>
      <w:r>
        <w:rPr>
          <w:rFonts w:ascii="Times New Roman" w:eastAsia="Times New Roman" w:hAnsi="Times New Roman" w:cs="Times New Roman"/>
          <w:i/>
          <w:sz w:val="24"/>
        </w:rPr>
        <w:t xml:space="preserve">язи с чем перед назначением следует серьезно взвесить ожидаемые потенциальные пользу и вред от данного вмешательства. </w:t>
      </w:r>
    </w:p>
    <w:p w:rsidR="005A3F38" w:rsidRDefault="003114B5">
      <w:pPr>
        <w:numPr>
          <w:ilvl w:val="0"/>
          <w:numId w:val="11"/>
        </w:numPr>
        <w:spacing w:after="5" w:line="364" w:lineRule="auto"/>
        <w:ind w:right="2" w:hanging="10"/>
        <w:jc w:val="both"/>
      </w:pPr>
      <w:r>
        <w:rPr>
          <w:rFonts w:ascii="Times New Roman" w:eastAsia="Times New Roman" w:hAnsi="Times New Roman" w:cs="Times New Roman"/>
          <w:sz w:val="24"/>
        </w:rPr>
        <w:t>Рекомендуются пациентам с ОРВИ с симптомами ринита местные препараты, обладающие сосудосуживающим действием (группы АТХ R01AA «Симпатомим</w:t>
      </w:r>
      <w:r>
        <w:rPr>
          <w:rFonts w:ascii="Times New Roman" w:eastAsia="Times New Roman" w:hAnsi="Times New Roman" w:cs="Times New Roman"/>
          <w:sz w:val="24"/>
        </w:rPr>
        <w:t>етики» и R01AB «Симпатомиметики в комбинации с другими средствами, исключая кортикостероиды») в соответствии с инструкциями, интраназально, коротким курсом не более 5 дней для облегчения симптомов заложенности носа, восстановления функции слуховой трубы [2</w:t>
      </w:r>
      <w:r>
        <w:rPr>
          <w:rFonts w:ascii="Times New Roman" w:eastAsia="Times New Roman" w:hAnsi="Times New Roman" w:cs="Times New Roman"/>
          <w:sz w:val="24"/>
        </w:rPr>
        <w:t xml:space="preserve">2, 26, 197].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В; уровень достоверности доказательств - 1).</w:t>
      </w:r>
      <w:r>
        <w:rPr>
          <w:rFonts w:ascii="Times New Roman" w:eastAsia="Times New Roman" w:hAnsi="Times New Roman" w:cs="Times New Roman"/>
          <w:sz w:val="24"/>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Крайне нежелательно использование системных препаратов, содержащих деконгестанты  [199]. </w:t>
      </w:r>
    </w:p>
    <w:p w:rsidR="005A3F38" w:rsidRDefault="003114B5">
      <w:pPr>
        <w:numPr>
          <w:ilvl w:val="0"/>
          <w:numId w:val="11"/>
        </w:numPr>
        <w:spacing w:after="5" w:line="364" w:lineRule="auto"/>
        <w:ind w:right="2" w:hanging="10"/>
        <w:jc w:val="both"/>
      </w:pPr>
      <w:r>
        <w:rPr>
          <w:rFonts w:ascii="Times New Roman" w:eastAsia="Times New Roman" w:hAnsi="Times New Roman" w:cs="Times New Roman"/>
          <w:sz w:val="24"/>
        </w:rPr>
        <w:t>Рекомендуется при лихорадке у пациента с ОРВИ селективное, с осторожностью, использование физических методов для снижения температуры тела</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[65, 200, 202].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A; уровень достоверности доказательств - 1). </w:t>
      </w:r>
    </w:p>
    <w:p w:rsidR="005A3F38" w:rsidRDefault="003114B5">
      <w:pPr>
        <w:spacing w:after="115"/>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лихо</w:t>
      </w:r>
      <w:r>
        <w:rPr>
          <w:rFonts w:ascii="Times New Roman" w:eastAsia="Times New Roman" w:hAnsi="Times New Roman" w:cs="Times New Roman"/>
          <w:i/>
          <w:sz w:val="24"/>
        </w:rPr>
        <w:t xml:space="preserve">радящего ребенка раскрывают и с осторожностью обтирают водой Т° 2530°С. В ряде случаев такой метод приносит беспокойство ребенку, давая лишь временное облегчение </w:t>
      </w:r>
    </w:p>
    <w:p w:rsidR="005A3F38" w:rsidRDefault="003114B5">
      <w:pPr>
        <w:spacing w:after="113"/>
        <w:ind w:left="355" w:hanging="10"/>
      </w:pPr>
      <w:r>
        <w:rPr>
          <w:rFonts w:ascii="Times New Roman" w:eastAsia="Times New Roman" w:hAnsi="Times New Roman" w:cs="Times New Roman"/>
          <w:i/>
          <w:sz w:val="24"/>
        </w:rPr>
        <w:t xml:space="preserve">[65].  </w:t>
      </w:r>
    </w:p>
    <w:p w:rsidR="005A3F38" w:rsidRDefault="003114B5">
      <w:pPr>
        <w:spacing w:after="142"/>
        <w:ind w:left="355" w:hanging="10"/>
        <w:jc w:val="both"/>
      </w:pPr>
      <w:r>
        <w:rPr>
          <w:rFonts w:ascii="Times New Roman" w:eastAsia="Times New Roman" w:hAnsi="Times New Roman" w:cs="Times New Roman"/>
          <w:i/>
          <w:sz w:val="24"/>
        </w:rPr>
        <w:t xml:space="preserve">Не следует использовать физические методы охлаждения при «белой» лихорадке. </w:t>
      </w:r>
    </w:p>
    <w:p w:rsidR="005A3F38" w:rsidRDefault="003114B5">
      <w:pPr>
        <w:numPr>
          <w:ilvl w:val="0"/>
          <w:numId w:val="11"/>
        </w:numPr>
        <w:spacing w:after="5" w:line="364" w:lineRule="auto"/>
        <w:ind w:right="2" w:hanging="10"/>
        <w:jc w:val="both"/>
      </w:pPr>
      <w:r>
        <w:rPr>
          <w:rFonts w:ascii="Times New Roman" w:eastAsia="Times New Roman" w:hAnsi="Times New Roman" w:cs="Times New Roman"/>
          <w:sz w:val="24"/>
        </w:rPr>
        <w:t>Рекоменд</w:t>
      </w:r>
      <w:r>
        <w:rPr>
          <w:rFonts w:ascii="Times New Roman" w:eastAsia="Times New Roman" w:hAnsi="Times New Roman" w:cs="Times New Roman"/>
          <w:sz w:val="24"/>
        </w:rPr>
        <w:t xml:space="preserve">уется детям с ОРВИ и лихорадкой селективное применение парацетамола** до 60 мг/кг/сут (противопоказания – возраст до 3 мес.) или ибупрофена** до 30 мг/кг/сут (противопоказания – возраст до 3 мес.) с целью снижения температуры тела [22, 65, 198, 200, 202].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C; уровень достоверности доказательств - 5).</w:t>
      </w:r>
      <w:r>
        <w:rPr>
          <w:rFonts w:ascii="Times New Roman" w:eastAsia="Times New Roman" w:hAnsi="Times New Roman" w:cs="Times New Roman"/>
          <w:sz w:val="24"/>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 xml:space="preserve">Всемирная организация здравоохранения (ВОЗ) определяет лихорадку как температуру в подмышечной впадине ≥37,5ºC [66]. </w:t>
      </w:r>
    </w:p>
    <w:p w:rsidR="005A3F38" w:rsidRDefault="003114B5">
      <w:pPr>
        <w:spacing w:after="3" w:line="356" w:lineRule="auto"/>
        <w:ind w:left="345" w:firstLine="708"/>
        <w:jc w:val="both"/>
      </w:pPr>
      <w:r>
        <w:rPr>
          <w:rFonts w:ascii="Times New Roman" w:eastAsia="Times New Roman" w:hAnsi="Times New Roman" w:cs="Times New Roman"/>
          <w:b/>
          <w:i/>
          <w:sz w:val="24"/>
        </w:rPr>
        <w:t>Жаропонижающая терапия у здоровых детей ≥</w:t>
      </w:r>
      <w:r>
        <w:rPr>
          <w:rFonts w:ascii="Times New Roman" w:eastAsia="Times New Roman" w:hAnsi="Times New Roman" w:cs="Times New Roman"/>
          <w:b/>
          <w:i/>
          <w:sz w:val="24"/>
        </w:rPr>
        <w:t xml:space="preserve">3 месяцев оправдана при температуре выше 38,5 ºC (измеренной аксиллярно или выше 39 - 39,5°С, измеренной ректально).  </w:t>
      </w:r>
    </w:p>
    <w:p w:rsidR="005A3F38" w:rsidRDefault="003114B5">
      <w:pPr>
        <w:spacing w:after="0" w:line="359" w:lineRule="auto"/>
        <w:ind w:left="345" w:firstLine="708"/>
        <w:jc w:val="both"/>
      </w:pPr>
      <w:r>
        <w:rPr>
          <w:rFonts w:ascii="Times New Roman" w:eastAsia="Times New Roman" w:hAnsi="Times New Roman" w:cs="Times New Roman"/>
          <w:b/>
          <w:i/>
          <w:sz w:val="24"/>
        </w:rPr>
        <w:t>У детей младше 3 месяцев, пациентов с хронической патологией, а также при связанном с температурой дискомфорте, средства, снижающие темпе</w:t>
      </w:r>
      <w:r>
        <w:rPr>
          <w:rFonts w:ascii="Times New Roman" w:eastAsia="Times New Roman" w:hAnsi="Times New Roman" w:cs="Times New Roman"/>
          <w:b/>
          <w:i/>
          <w:sz w:val="24"/>
        </w:rPr>
        <w:t>ратуру, могут быть использованы и при менее выраженной лихорадке</w:t>
      </w:r>
      <w:r>
        <w:rPr>
          <w:rFonts w:ascii="Times New Roman" w:eastAsia="Times New Roman" w:hAnsi="Times New Roman" w:cs="Times New Roman"/>
          <w:i/>
          <w:sz w:val="24"/>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Для минимизации риска нежелательных реакций на парацетамол** следует первую дозу дать перорально [69]. </w:t>
      </w:r>
    </w:p>
    <w:p w:rsidR="005A3F38" w:rsidRDefault="003114B5">
      <w:pPr>
        <w:spacing w:after="4" w:line="367" w:lineRule="auto"/>
        <w:ind w:left="345" w:firstLine="708"/>
        <w:jc w:val="both"/>
      </w:pPr>
      <w:r>
        <w:rPr>
          <w:rFonts w:ascii="Times New Roman" w:eastAsia="Times New Roman" w:hAnsi="Times New Roman" w:cs="Times New Roman"/>
          <w:i/>
          <w:sz w:val="24"/>
        </w:rPr>
        <w:t>Регулярный (курсовой) прием нежелателен, повторную дозу вводят только после нового повышения температуры, строго соблюдая интервал между приемами [22, 43, 198]. Препарат может применяться внутрь или в форме ректальных суппозиториев, существует также параце</w:t>
      </w:r>
      <w:r>
        <w:rPr>
          <w:rFonts w:ascii="Times New Roman" w:eastAsia="Times New Roman" w:hAnsi="Times New Roman" w:cs="Times New Roman"/>
          <w:i/>
          <w:sz w:val="24"/>
        </w:rPr>
        <w:t>тамол** для внутривенного введения. Однако, ректальный путь введения препаратов с жаропонижающей целью имеет ограничения в назначении правильной дозы, учитывая изменчивую абсорбцию в кишечнике, в связи с чем ректальные формы рассматривают для назначения то</w:t>
      </w:r>
      <w:r>
        <w:rPr>
          <w:rFonts w:ascii="Times New Roman" w:eastAsia="Times New Roman" w:hAnsi="Times New Roman" w:cs="Times New Roman"/>
          <w:i/>
          <w:sz w:val="24"/>
        </w:rPr>
        <w:t xml:space="preserve">лько при наличии рвоты или иной непереносимости перорального пути введения [70]. </w:t>
      </w:r>
    </w:p>
    <w:p w:rsidR="005A3F38" w:rsidRDefault="003114B5">
      <w:pPr>
        <w:spacing w:after="0" w:line="360" w:lineRule="auto"/>
        <w:ind w:left="345" w:firstLine="708"/>
        <w:jc w:val="both"/>
      </w:pPr>
      <w:r>
        <w:rPr>
          <w:rFonts w:ascii="Times New Roman" w:eastAsia="Times New Roman" w:hAnsi="Times New Roman" w:cs="Times New Roman"/>
          <w:b/>
          <w:i/>
          <w:sz w:val="24"/>
        </w:rPr>
        <w:t>Не следует чередовать, применять одновременно несколько препаратов с жаропонижающей целью, а также принимать их курсом</w:t>
      </w:r>
      <w:r>
        <w:rPr>
          <w:rFonts w:ascii="Times New Roman" w:eastAsia="Times New Roman" w:hAnsi="Times New Roman" w:cs="Times New Roman"/>
          <w:i/>
          <w:sz w:val="24"/>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Необходимо строгое соблюдение интервалов между прием</w:t>
      </w:r>
      <w:r>
        <w:rPr>
          <w:rFonts w:ascii="Times New Roman" w:eastAsia="Times New Roman" w:hAnsi="Times New Roman" w:cs="Times New Roman"/>
          <w:i/>
          <w:sz w:val="24"/>
        </w:rPr>
        <w:t xml:space="preserve">ами парацетамола** и ибупрофена**.  </w:t>
      </w:r>
    </w:p>
    <w:p w:rsidR="005A3F38" w:rsidRDefault="003114B5">
      <w:pPr>
        <w:spacing w:after="2" w:line="357" w:lineRule="auto"/>
        <w:ind w:left="345" w:firstLine="708"/>
        <w:jc w:val="both"/>
      </w:pPr>
      <w:r>
        <w:rPr>
          <w:rFonts w:ascii="Times New Roman" w:eastAsia="Times New Roman" w:hAnsi="Times New Roman" w:cs="Times New Roman"/>
          <w:b/>
          <w:i/>
          <w:sz w:val="24"/>
        </w:rPr>
        <w:t xml:space="preserve">Разовое применение препарата обычно эффективно и безопасно, однако, следует помнить, что последующие приемы могут стать причиной нежелательных реакций и </w:t>
      </w:r>
    </w:p>
    <w:p w:rsidR="005A3F38" w:rsidRDefault="003114B5">
      <w:pPr>
        <w:spacing w:after="117"/>
        <w:ind w:left="355" w:hanging="10"/>
        <w:jc w:val="both"/>
      </w:pPr>
      <w:r>
        <w:rPr>
          <w:rFonts w:ascii="Times New Roman" w:eastAsia="Times New Roman" w:hAnsi="Times New Roman" w:cs="Times New Roman"/>
          <w:b/>
          <w:i/>
          <w:sz w:val="24"/>
        </w:rPr>
        <w:t xml:space="preserve">токсического действия.  </w:t>
      </w:r>
    </w:p>
    <w:p w:rsidR="005A3F38" w:rsidRDefault="003114B5">
      <w:pPr>
        <w:spacing w:after="118"/>
        <w:ind w:left="10" w:right="-1" w:hanging="10"/>
        <w:jc w:val="right"/>
      </w:pPr>
      <w:r>
        <w:rPr>
          <w:rFonts w:ascii="Times New Roman" w:eastAsia="Times New Roman" w:hAnsi="Times New Roman" w:cs="Times New Roman"/>
          <w:b/>
          <w:i/>
          <w:sz w:val="24"/>
        </w:rPr>
        <w:t xml:space="preserve">В большинстве случаев лихорадка вызвана </w:t>
      </w:r>
      <w:r>
        <w:rPr>
          <w:rFonts w:ascii="Times New Roman" w:eastAsia="Times New Roman" w:hAnsi="Times New Roman" w:cs="Times New Roman"/>
          <w:b/>
          <w:i/>
          <w:sz w:val="24"/>
        </w:rPr>
        <w:t xml:space="preserve">самокупирующейся вирусной инфекцией, </w:t>
      </w:r>
    </w:p>
    <w:p w:rsidR="005A3F38" w:rsidRDefault="003114B5">
      <w:pPr>
        <w:spacing w:after="117"/>
        <w:ind w:left="355" w:hanging="10"/>
        <w:jc w:val="both"/>
      </w:pPr>
      <w:r>
        <w:rPr>
          <w:rFonts w:ascii="Times New Roman" w:eastAsia="Times New Roman" w:hAnsi="Times New Roman" w:cs="Times New Roman"/>
          <w:b/>
          <w:i/>
          <w:sz w:val="24"/>
        </w:rPr>
        <w:t>однако может потребоваться исключение бактериальных осложнений и других причин</w:t>
      </w:r>
      <w:r>
        <w:rPr>
          <w:rFonts w:ascii="Times New Roman" w:eastAsia="Times New Roman" w:hAnsi="Times New Roman" w:cs="Times New Roman"/>
          <w:i/>
          <w:sz w:val="24"/>
        </w:rPr>
        <w:t xml:space="preserve"> [71]. </w:t>
      </w:r>
    </w:p>
    <w:p w:rsidR="005A3F38" w:rsidRDefault="003114B5">
      <w:pPr>
        <w:spacing w:after="0" w:line="359" w:lineRule="auto"/>
        <w:ind w:left="345" w:firstLine="708"/>
        <w:jc w:val="both"/>
      </w:pPr>
      <w:r>
        <w:rPr>
          <w:rFonts w:ascii="Times New Roman" w:eastAsia="Times New Roman" w:hAnsi="Times New Roman" w:cs="Times New Roman"/>
          <w:b/>
          <w:i/>
          <w:sz w:val="24"/>
        </w:rPr>
        <w:t>При лихорадке может быть затруднительно вовремя распознать бактериальную инфекцию</w:t>
      </w:r>
      <w:r>
        <w:rPr>
          <w:rFonts w:ascii="Times New Roman" w:eastAsia="Times New Roman" w:hAnsi="Times New Roman" w:cs="Times New Roman"/>
          <w:i/>
          <w:sz w:val="24"/>
        </w:rPr>
        <w:t>. Чаще бактериальная инфекция встречается у детей м</w:t>
      </w:r>
      <w:r>
        <w:rPr>
          <w:rFonts w:ascii="Times New Roman" w:eastAsia="Times New Roman" w:hAnsi="Times New Roman" w:cs="Times New Roman"/>
          <w:i/>
          <w:sz w:val="24"/>
        </w:rPr>
        <w:t xml:space="preserve">ладше 1 года.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Любая лихорадка у младенца в возрасте до 3 месяцев является серьезной и требует тщательного обследования и направления к специалисту или в стационар [70]. </w:t>
      </w:r>
    </w:p>
    <w:p w:rsidR="005A3F38" w:rsidRDefault="003114B5">
      <w:pPr>
        <w:spacing w:after="118"/>
        <w:ind w:left="10" w:right="-1" w:hanging="10"/>
        <w:jc w:val="right"/>
      </w:pPr>
      <w:r>
        <w:rPr>
          <w:rFonts w:ascii="Times New Roman" w:eastAsia="Times New Roman" w:hAnsi="Times New Roman" w:cs="Times New Roman"/>
          <w:i/>
          <w:sz w:val="24"/>
        </w:rPr>
        <w:t xml:space="preserve">Следует </w:t>
      </w:r>
      <w:r>
        <w:rPr>
          <w:rFonts w:ascii="Times New Roman" w:eastAsia="Times New Roman" w:hAnsi="Times New Roman" w:cs="Times New Roman"/>
          <w:i/>
          <w:sz w:val="24"/>
        </w:rPr>
        <w:tab/>
        <w:t xml:space="preserve">помнить, </w:t>
      </w:r>
      <w:r>
        <w:rPr>
          <w:rFonts w:ascii="Times New Roman" w:eastAsia="Times New Roman" w:hAnsi="Times New Roman" w:cs="Times New Roman"/>
          <w:i/>
          <w:sz w:val="24"/>
        </w:rPr>
        <w:tab/>
        <w:t xml:space="preserve">что </w:t>
      </w:r>
      <w:r>
        <w:rPr>
          <w:rFonts w:ascii="Times New Roman" w:eastAsia="Times New Roman" w:hAnsi="Times New Roman" w:cs="Times New Roman"/>
          <w:i/>
          <w:sz w:val="24"/>
        </w:rPr>
        <w:tab/>
      </w:r>
      <w:r>
        <w:rPr>
          <w:rFonts w:ascii="Times New Roman" w:eastAsia="Times New Roman" w:hAnsi="Times New Roman" w:cs="Times New Roman"/>
          <w:b/>
          <w:i/>
          <w:sz w:val="24"/>
        </w:rPr>
        <w:t xml:space="preserve">применение </w:t>
      </w:r>
      <w:r>
        <w:rPr>
          <w:rFonts w:ascii="Times New Roman" w:eastAsia="Times New Roman" w:hAnsi="Times New Roman" w:cs="Times New Roman"/>
          <w:b/>
          <w:i/>
          <w:sz w:val="24"/>
        </w:rPr>
        <w:tab/>
        <w:t xml:space="preserve">жаропонижающей </w:t>
      </w:r>
      <w:r>
        <w:rPr>
          <w:rFonts w:ascii="Times New Roman" w:eastAsia="Times New Roman" w:hAnsi="Times New Roman" w:cs="Times New Roman"/>
          <w:b/>
          <w:i/>
          <w:sz w:val="24"/>
        </w:rPr>
        <w:tab/>
        <w:t xml:space="preserve">терапии </w:t>
      </w:r>
      <w:r>
        <w:rPr>
          <w:rFonts w:ascii="Times New Roman" w:eastAsia="Times New Roman" w:hAnsi="Times New Roman" w:cs="Times New Roman"/>
          <w:b/>
          <w:i/>
          <w:sz w:val="24"/>
        </w:rPr>
        <w:tab/>
        <w:t xml:space="preserve">вместе </w:t>
      </w:r>
      <w:r>
        <w:rPr>
          <w:rFonts w:ascii="Times New Roman" w:eastAsia="Times New Roman" w:hAnsi="Times New Roman" w:cs="Times New Roman"/>
          <w:b/>
          <w:i/>
          <w:sz w:val="24"/>
        </w:rPr>
        <w:tab/>
        <w:t>с противомикробн</w:t>
      </w:r>
      <w:r>
        <w:rPr>
          <w:rFonts w:ascii="Times New Roman" w:eastAsia="Times New Roman" w:hAnsi="Times New Roman" w:cs="Times New Roman"/>
          <w:b/>
          <w:i/>
          <w:sz w:val="24"/>
        </w:rPr>
        <w:t xml:space="preserve">ыми </w:t>
      </w:r>
      <w:r>
        <w:rPr>
          <w:rFonts w:ascii="Times New Roman" w:eastAsia="Times New Roman" w:hAnsi="Times New Roman" w:cs="Times New Roman"/>
          <w:b/>
          <w:i/>
          <w:sz w:val="24"/>
        </w:rPr>
        <w:tab/>
        <w:t xml:space="preserve">препаратами </w:t>
      </w:r>
      <w:r>
        <w:rPr>
          <w:rFonts w:ascii="Times New Roman" w:eastAsia="Times New Roman" w:hAnsi="Times New Roman" w:cs="Times New Roman"/>
          <w:b/>
          <w:i/>
          <w:sz w:val="24"/>
        </w:rPr>
        <w:tab/>
        <w:t xml:space="preserve">системного </w:t>
      </w:r>
      <w:r>
        <w:rPr>
          <w:rFonts w:ascii="Times New Roman" w:eastAsia="Times New Roman" w:hAnsi="Times New Roman" w:cs="Times New Roman"/>
          <w:b/>
          <w:i/>
          <w:sz w:val="24"/>
        </w:rPr>
        <w:tab/>
        <w:t xml:space="preserve">действия </w:t>
      </w:r>
      <w:r>
        <w:rPr>
          <w:rFonts w:ascii="Times New Roman" w:eastAsia="Times New Roman" w:hAnsi="Times New Roman" w:cs="Times New Roman"/>
          <w:b/>
          <w:i/>
          <w:sz w:val="24"/>
        </w:rPr>
        <w:tab/>
        <w:t xml:space="preserve">может </w:t>
      </w:r>
      <w:r>
        <w:rPr>
          <w:rFonts w:ascii="Times New Roman" w:eastAsia="Times New Roman" w:hAnsi="Times New Roman" w:cs="Times New Roman"/>
          <w:b/>
          <w:i/>
          <w:sz w:val="24"/>
        </w:rPr>
        <w:tab/>
        <w:t xml:space="preserve">«маскировать» </w:t>
      </w:r>
    </w:p>
    <w:p w:rsidR="005A3F38" w:rsidRDefault="003114B5">
      <w:pPr>
        <w:spacing w:after="140"/>
        <w:ind w:left="355" w:hanging="10"/>
        <w:jc w:val="both"/>
      </w:pPr>
      <w:r>
        <w:rPr>
          <w:rFonts w:ascii="Times New Roman" w:eastAsia="Times New Roman" w:hAnsi="Times New Roman" w:cs="Times New Roman"/>
          <w:b/>
          <w:i/>
          <w:sz w:val="24"/>
        </w:rPr>
        <w:t xml:space="preserve">неэффективность последних.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 xml:space="preserve">Не рекомендуется детям с ОРВИ при повышении температуры тела применять «литические смеси» с целью избежания гипотермии и постуральной гипотензии [333]. </w:t>
      </w:r>
    </w:p>
    <w:p w:rsidR="005A3F38" w:rsidRDefault="003114B5">
      <w:pPr>
        <w:spacing w:after="150"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Не рекомендуется назначать с целью купирования лихорадки у детей с ОРВИ препараты группы АТХ H02 «Кортикостероиды системного действия»  с целью избежания неоправданного имму</w:t>
      </w:r>
      <w:r>
        <w:rPr>
          <w:rFonts w:ascii="Times New Roman" w:eastAsia="Times New Roman" w:hAnsi="Times New Roman" w:cs="Times New Roman"/>
          <w:sz w:val="24"/>
        </w:rPr>
        <w:t xml:space="preserve">носупрессивного эффекта и развития жизнеугрожающих состояний [73, 74, 75, 76, 77, 78, 79, 80, 81].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- 4).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ввиду того, что их антипиретический эффект основан на подавл</w:t>
      </w:r>
      <w:r>
        <w:rPr>
          <w:rFonts w:ascii="Times New Roman" w:eastAsia="Times New Roman" w:hAnsi="Times New Roman" w:cs="Times New Roman"/>
          <w:i/>
          <w:sz w:val="24"/>
        </w:rPr>
        <w:t>ении компонентов, участвующих в острой фазе воспалительного ответа, таких как: интерлейкин 1 и 6, фактор некроза опухоли альфа. В целом кортикостероиды системного действия обладают иммуносупрессивным эффектом, что также опосредованно приводит к снижению те</w:t>
      </w:r>
      <w:r>
        <w:rPr>
          <w:rFonts w:ascii="Times New Roman" w:eastAsia="Times New Roman" w:hAnsi="Times New Roman" w:cs="Times New Roman"/>
          <w:i/>
          <w:sz w:val="24"/>
        </w:rPr>
        <w:t>мпературы тела [72]. При многих инфекционных нозологиях, которые, как правило, сопровождаются лихорадкой, применение данных препаратов не показало должного клинического эффекта либо приводило к развитию жизнеугрожающих осложнений [73, 74, 75, 76, 77, 78, 7</w:t>
      </w:r>
      <w:r>
        <w:rPr>
          <w:rFonts w:ascii="Times New Roman" w:eastAsia="Times New Roman" w:hAnsi="Times New Roman" w:cs="Times New Roman"/>
          <w:i/>
          <w:sz w:val="24"/>
        </w:rPr>
        <w:t xml:space="preserve">9, 80, 81]. </w:t>
      </w:r>
    </w:p>
    <w:p w:rsidR="005A3F38" w:rsidRDefault="003114B5">
      <w:pPr>
        <w:spacing w:after="142"/>
        <w:ind w:left="360"/>
      </w:pPr>
      <w:r>
        <w:rPr>
          <w:rFonts w:ascii="Times New Roman" w:eastAsia="Times New Roman" w:hAnsi="Times New Roman" w:cs="Times New Roman"/>
          <w:i/>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 xml:space="preserve">У детей с жаропонижающей целью не рекомендуется применять ацетилсалициловую кислоту** в связи с высоким риском развития нежелательных реакций [275].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spacing w:after="142"/>
        <w:ind w:left="360"/>
      </w:pPr>
      <w:r>
        <w:rPr>
          <w:rFonts w:ascii="Times New Roman" w:eastAsia="Times New Roman" w:hAnsi="Times New Roman" w:cs="Times New Roman"/>
          <w:b/>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У дет</w:t>
      </w:r>
      <w:r>
        <w:rPr>
          <w:rFonts w:ascii="Times New Roman" w:eastAsia="Times New Roman" w:hAnsi="Times New Roman" w:cs="Times New Roman"/>
          <w:sz w:val="24"/>
        </w:rPr>
        <w:t xml:space="preserve">ей с жаропонижающей целью не рекомендуется применять нимесулид в связи с вероятным риском развития нежелательных реакций [201].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уровень достоверности доказательств - 4)</w:t>
      </w: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w:t>
      </w:r>
    </w:p>
    <w:p w:rsidR="005A3F38" w:rsidRDefault="003114B5">
      <w:pPr>
        <w:spacing w:after="142"/>
        <w:ind w:left="360"/>
      </w:pPr>
      <w:r>
        <w:rPr>
          <w:rFonts w:ascii="Times New Roman" w:eastAsia="Times New Roman" w:hAnsi="Times New Roman" w:cs="Times New Roman"/>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Не рекомендуется рутинное использование ме</w:t>
      </w:r>
      <w:r>
        <w:rPr>
          <w:rFonts w:ascii="Times New Roman" w:eastAsia="Times New Roman" w:hAnsi="Times New Roman" w:cs="Times New Roman"/>
          <w:sz w:val="24"/>
        </w:rPr>
        <w:t xml:space="preserve">тамизола натрия у детей при лихорадке в связи с риском развития агранулоцитоза [82, 83, 84, 85, 86, 204, 205].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spacing w:after="127" w:line="249" w:lineRule="auto"/>
        <w:ind w:left="355" w:hanging="10"/>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 </w:t>
      </w:r>
    </w:p>
    <w:p w:rsidR="005A3F38" w:rsidRDefault="003114B5">
      <w:pPr>
        <w:spacing w:after="4" w:line="367" w:lineRule="auto"/>
        <w:ind w:left="355" w:hanging="10"/>
        <w:jc w:val="both"/>
      </w:pPr>
      <w:r>
        <w:rPr>
          <w:rFonts w:ascii="Times New Roman" w:eastAsia="Times New Roman" w:hAnsi="Times New Roman" w:cs="Times New Roman"/>
          <w:i/>
          <w:sz w:val="24"/>
        </w:rPr>
        <w:t>Только в исключительных случаях, в том числе п</w:t>
      </w:r>
      <w:r>
        <w:rPr>
          <w:rFonts w:ascii="Times New Roman" w:eastAsia="Times New Roman" w:hAnsi="Times New Roman" w:cs="Times New Roman"/>
          <w:i/>
          <w:sz w:val="24"/>
        </w:rPr>
        <w:t xml:space="preserve">ри непереносимости парацетамола** или ибупрофена** или при необходимости проведения парентеральной жаропонижающей терапии и отсутствии альтернативы, оценив риски и ожидаемую пользу, - возможно </w:t>
      </w:r>
      <w:r>
        <w:rPr>
          <w:rFonts w:ascii="Times New Roman" w:eastAsia="Times New Roman" w:hAnsi="Times New Roman" w:cs="Times New Roman"/>
          <w:b/>
          <w:i/>
          <w:sz w:val="24"/>
        </w:rPr>
        <w:t xml:space="preserve">однократно </w:t>
      </w:r>
      <w:r>
        <w:rPr>
          <w:rFonts w:ascii="Times New Roman" w:eastAsia="Times New Roman" w:hAnsi="Times New Roman" w:cs="Times New Roman"/>
          <w:i/>
          <w:sz w:val="24"/>
        </w:rPr>
        <w:t>ситуативно назначить метамизол натрия [206, 207]</w:t>
      </w:r>
      <w:r>
        <w:rPr>
          <w:rFonts w:ascii="Times New Roman" w:eastAsia="Times New Roman" w:hAnsi="Times New Roman" w:cs="Times New Roman"/>
          <w:sz w:val="24"/>
        </w:rPr>
        <w:t xml:space="preserve">. </w:t>
      </w:r>
    </w:p>
    <w:p w:rsidR="005A3F38" w:rsidRDefault="003114B5">
      <w:pPr>
        <w:spacing w:after="117" w:line="358" w:lineRule="auto"/>
        <w:ind w:left="355" w:hanging="10"/>
        <w:jc w:val="both"/>
      </w:pPr>
      <w:r>
        <w:rPr>
          <w:rFonts w:ascii="Times New Roman" w:eastAsia="Times New Roman" w:hAnsi="Times New Roman" w:cs="Times New Roman"/>
          <w:b/>
          <w:i/>
          <w:sz w:val="24"/>
        </w:rPr>
        <w:t>Следует помнить, что при применении метамизола натрия на фоне лихорадки или антибактериальной терапии, некоторые ранние симптомы агранулоцитоза могут остаться незамеченными</w:t>
      </w:r>
      <w:r>
        <w:rPr>
          <w:rFonts w:ascii="Times New Roman" w:eastAsia="Times New Roman" w:hAnsi="Times New Roman" w:cs="Times New Roman"/>
          <w:i/>
          <w:sz w:val="24"/>
        </w:rPr>
        <w:t xml:space="preserve"> [82, 84, 85, 86]. </w:t>
      </w:r>
    </w:p>
    <w:p w:rsidR="005A3F38" w:rsidRDefault="003114B5">
      <w:pPr>
        <w:spacing w:after="142"/>
        <w:ind w:left="1068"/>
      </w:pPr>
      <w:r>
        <w:rPr>
          <w:rFonts w:ascii="Times New Roman" w:eastAsia="Times New Roman" w:hAnsi="Times New Roman" w:cs="Times New Roman"/>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 xml:space="preserve">Не рекомендовано применять жаропонижающую </w:t>
      </w:r>
      <w:r>
        <w:rPr>
          <w:rFonts w:ascii="Times New Roman" w:eastAsia="Times New Roman" w:hAnsi="Times New Roman" w:cs="Times New Roman"/>
          <w:sz w:val="24"/>
        </w:rPr>
        <w:t xml:space="preserve">терапию или противосудорожную терапию в качестве профилактики фебрильных судорог детям с фебрильными судорогами в анамнезе вследствие риска побочных эффектов и недостаточности доказательств эффективности [65, 87]. </w:t>
      </w:r>
    </w:p>
    <w:p w:rsidR="005A3F38" w:rsidRDefault="003114B5">
      <w:pPr>
        <w:spacing w:after="4" w:line="367" w:lineRule="auto"/>
        <w:ind w:left="355" w:hanging="10"/>
        <w:jc w:val="both"/>
      </w:pPr>
      <w:r>
        <w:rPr>
          <w:rFonts w:ascii="Times New Roman" w:eastAsia="Times New Roman" w:hAnsi="Times New Roman" w:cs="Times New Roman"/>
          <w:b/>
          <w:sz w:val="24"/>
        </w:rPr>
        <w:t>(Уровень убедительности рекомендаций C; у</w:t>
      </w:r>
      <w:r>
        <w:rPr>
          <w:rFonts w:ascii="Times New Roman" w:eastAsia="Times New Roman" w:hAnsi="Times New Roman" w:cs="Times New Roman"/>
          <w:b/>
          <w:sz w:val="24"/>
        </w:rPr>
        <w:t>ровень достоверности доказательств - 5). 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В большинстве случаев фебрильные судороги являются «доброкачественными» и данных о возможности их профилактики нет.  </w:t>
      </w:r>
    </w:p>
    <w:p w:rsidR="005A3F38" w:rsidRDefault="003114B5">
      <w:pPr>
        <w:spacing w:after="112"/>
        <w:ind w:left="355" w:hanging="10"/>
        <w:jc w:val="both"/>
      </w:pPr>
      <w:r>
        <w:rPr>
          <w:rFonts w:ascii="Times New Roman" w:eastAsia="Times New Roman" w:hAnsi="Times New Roman" w:cs="Times New Roman"/>
          <w:i/>
          <w:sz w:val="24"/>
        </w:rPr>
        <w:t xml:space="preserve">Родителей следует обучить распознаванию судорог.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Дальнейшие исследования у детей с </w:t>
      </w:r>
      <w:r>
        <w:rPr>
          <w:rFonts w:ascii="Times New Roman" w:eastAsia="Times New Roman" w:hAnsi="Times New Roman" w:cs="Times New Roman"/>
          <w:i/>
          <w:sz w:val="24"/>
        </w:rPr>
        <w:t xml:space="preserve">рецидивирующими фебрильными судорогами, возможно, уточнят факторы риска и характеристики подгруппы детей, которым может быть полезна профилактическая противосудорожная терапия. </w:t>
      </w:r>
    </w:p>
    <w:p w:rsidR="005A3F38" w:rsidRDefault="003114B5">
      <w:pPr>
        <w:spacing w:after="140"/>
        <w:ind w:left="360"/>
      </w:pPr>
      <w:r>
        <w:rPr>
          <w:rFonts w:ascii="Times New Roman" w:eastAsia="Times New Roman" w:hAnsi="Times New Roman" w:cs="Times New Roman"/>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Рекомендовано селективное (с осторожностью) применение пациентам с ОРВИ преп</w:t>
      </w:r>
      <w:r>
        <w:rPr>
          <w:rFonts w:ascii="Times New Roman" w:eastAsia="Times New Roman" w:hAnsi="Times New Roman" w:cs="Times New Roman"/>
          <w:sz w:val="24"/>
        </w:rPr>
        <w:t>аратов группы АТХ R02AA «Антисептики» в форме аэрозолей, спреев, таблеток и пастилок для рассасывания с целью уменьшения местного воспаления, профилактики вторичного инфицирования повреждённой слизистой ротоглотки в связи с риском развития антимикробной ре</w:t>
      </w:r>
      <w:r>
        <w:rPr>
          <w:rFonts w:ascii="Times New Roman" w:eastAsia="Times New Roman" w:hAnsi="Times New Roman" w:cs="Times New Roman"/>
          <w:sz w:val="24"/>
        </w:rPr>
        <w:t xml:space="preserve">зистентности [88, 89, 90, 208,  276, 277, 278] и риска нарушении нормального баланса микробиома рото- и носоглотки под их воздействием [91, 92].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имеются данные</w:t>
      </w:r>
      <w:r>
        <w:rPr>
          <w:rFonts w:ascii="Times New Roman" w:eastAsia="Times New Roman" w:hAnsi="Times New Roman" w:cs="Times New Roman"/>
          <w:i/>
          <w:sz w:val="24"/>
        </w:rPr>
        <w:t xml:space="preserve"> о возможности облегчения симптомов с помощью данных вмешательств [93, 94, 276, 277, 278], однако в настоящее время недостаточно доказательств для однозначных выводов [95]. Могут назначаться селективно, с осторожностью, по решению врача. </w:t>
      </w:r>
    </w:p>
    <w:p w:rsidR="005A3F38" w:rsidRDefault="003114B5">
      <w:pPr>
        <w:spacing w:after="142"/>
        <w:ind w:left="360"/>
      </w:pPr>
      <w:r>
        <w:rPr>
          <w:rFonts w:ascii="Times New Roman" w:eastAsia="Times New Roman" w:hAnsi="Times New Roman" w:cs="Times New Roman"/>
          <w:i/>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Не рекомендуютс</w:t>
      </w:r>
      <w:r>
        <w:rPr>
          <w:rFonts w:ascii="Times New Roman" w:eastAsia="Times New Roman" w:hAnsi="Times New Roman" w:cs="Times New Roman"/>
          <w:sz w:val="24"/>
        </w:rPr>
        <w:t xml:space="preserve">я для рутинного использования при ОРВИ препараты группы «противокашлевые препараты, кроме комбинаций с отхаркивающими средствами» </w:t>
      </w:r>
    </w:p>
    <w:p w:rsidR="005A3F38" w:rsidRDefault="003114B5">
      <w:pPr>
        <w:spacing w:after="119"/>
        <w:ind w:left="355" w:right="2" w:hanging="10"/>
        <w:jc w:val="both"/>
      </w:pPr>
      <w:r>
        <w:rPr>
          <w:rFonts w:ascii="Times New Roman" w:eastAsia="Times New Roman" w:hAnsi="Times New Roman" w:cs="Times New Roman"/>
          <w:sz w:val="24"/>
        </w:rPr>
        <w:t xml:space="preserve">(противокашлевые средства) вследствие неэффективности в большинстве случаев [208, 209].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w:t>
      </w:r>
      <w:r>
        <w:rPr>
          <w:rFonts w:ascii="Times New Roman" w:eastAsia="Times New Roman" w:hAnsi="Times New Roman" w:cs="Times New Roman"/>
          <w:b/>
          <w:sz w:val="24"/>
        </w:rPr>
        <w:t>й A; уровень достоверности доказательств - 1).</w:t>
      </w:r>
      <w:r>
        <w:rPr>
          <w:rFonts w:ascii="Times New Roman" w:eastAsia="Times New Roman" w:hAnsi="Times New Roman" w:cs="Times New Roman"/>
          <w:sz w:val="24"/>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сухой навязчивый кашель при ОРВИ, сопровождаемой фарингитом или ларинготрахеитом, в исключительных случаях возможно купировать при использовании бутамирата (доказательная база по его применению н</w:t>
      </w:r>
      <w:r>
        <w:rPr>
          <w:rFonts w:ascii="Times New Roman" w:eastAsia="Times New Roman" w:hAnsi="Times New Roman" w:cs="Times New Roman"/>
          <w:i/>
          <w:sz w:val="24"/>
        </w:rPr>
        <w:t xml:space="preserve">евелика) [320, 321] или леводропропизина [96] или преноксдиазина (применяются согласно инструкциям/ОХЛП). </w:t>
      </w:r>
    </w:p>
    <w:p w:rsidR="005A3F38" w:rsidRDefault="003114B5">
      <w:pPr>
        <w:spacing w:after="141"/>
        <w:ind w:left="360"/>
      </w:pPr>
      <w:r>
        <w:rPr>
          <w:rFonts w:ascii="Times New Roman" w:eastAsia="Times New Roman" w:hAnsi="Times New Roman" w:cs="Times New Roman"/>
          <w:i/>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b/>
          <w:sz w:val="24"/>
        </w:rPr>
        <w:t xml:space="preserve">Рекомендовано </w:t>
      </w:r>
      <w:r>
        <w:rPr>
          <w:rFonts w:ascii="Times New Roman" w:eastAsia="Times New Roman" w:hAnsi="Times New Roman" w:cs="Times New Roman"/>
          <w:sz w:val="24"/>
        </w:rPr>
        <w:t>пациентам с ОРВИ, проявляющейся трахеитом, сопровождаемым кашлем с трудноотделяемой мокротой, селективное назначение муколитических п</w:t>
      </w:r>
      <w:r>
        <w:rPr>
          <w:rFonts w:ascii="Times New Roman" w:eastAsia="Times New Roman" w:hAnsi="Times New Roman" w:cs="Times New Roman"/>
          <w:sz w:val="24"/>
        </w:rPr>
        <w:t xml:space="preserve">репаратов (Амброксол**, Ацетилцистеин** перорально, Карбоцистеин и др. (режимы дозирования – согласно инструкциям по применению)) и отхаркивающих препаратов для разжижения и улучшения отхождения мокроты [97].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(уровень</w:t>
      </w:r>
      <w:r>
        <w:rPr>
          <w:rFonts w:ascii="Times New Roman" w:eastAsia="Times New Roman" w:hAnsi="Times New Roman" w:cs="Times New Roman"/>
          <w:b/>
          <w:sz w:val="24"/>
        </w:rPr>
        <w:t xml:space="preserve"> достоверности доказательств – 5). </w:t>
      </w:r>
    </w:p>
    <w:p w:rsidR="005A3F38" w:rsidRDefault="003114B5">
      <w:pPr>
        <w:spacing w:after="127" w:line="249" w:lineRule="auto"/>
        <w:ind w:left="355" w:hanging="10"/>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w:t>
      </w:r>
      <w:r>
        <w:rPr>
          <w:rFonts w:ascii="Times New Roman" w:eastAsia="Times New Roman" w:hAnsi="Times New Roman" w:cs="Times New Roman"/>
          <w:i/>
          <w:sz w:val="24"/>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Муколитические препараты следует назначать короткими курсами с оценкой потенциальной пользы и вреда, под контролем эффективности и с осторожностью, особенно детям до 2 лет и пациентам с нервно-</w:t>
      </w:r>
      <w:r>
        <w:rPr>
          <w:rFonts w:ascii="Times New Roman" w:eastAsia="Times New Roman" w:hAnsi="Times New Roman" w:cs="Times New Roman"/>
          <w:i/>
          <w:sz w:val="24"/>
        </w:rPr>
        <w:t xml:space="preserve">мышечными заболеваниями в связи с риском «эффекта заболачивания» - нарушения эвакуации мокроты из нижних дыхательных путей. Данный эффект может потребовать проведения дренажных мероприятий. </w:t>
      </w:r>
    </w:p>
    <w:p w:rsidR="005A3F38" w:rsidRDefault="003114B5">
      <w:pPr>
        <w:spacing w:after="118"/>
        <w:ind w:left="10" w:right="-1" w:hanging="10"/>
        <w:jc w:val="right"/>
      </w:pPr>
      <w:r>
        <w:rPr>
          <w:rFonts w:ascii="Times New Roman" w:eastAsia="Times New Roman" w:hAnsi="Times New Roman" w:cs="Times New Roman"/>
          <w:b/>
          <w:i/>
          <w:sz w:val="24"/>
        </w:rPr>
        <w:t xml:space="preserve">Муколитические препараты не следует комбинировать с препаратами, </w:t>
      </w:r>
      <w:r>
        <w:rPr>
          <w:rFonts w:ascii="Times New Roman" w:eastAsia="Times New Roman" w:hAnsi="Times New Roman" w:cs="Times New Roman"/>
          <w:b/>
          <w:i/>
          <w:sz w:val="24"/>
        </w:rPr>
        <w:t xml:space="preserve">обладающими </w:t>
      </w:r>
    </w:p>
    <w:p w:rsidR="005A3F38" w:rsidRDefault="003114B5">
      <w:pPr>
        <w:spacing w:after="117"/>
        <w:ind w:left="355" w:hanging="10"/>
        <w:jc w:val="both"/>
      </w:pPr>
      <w:r>
        <w:rPr>
          <w:rFonts w:ascii="Times New Roman" w:eastAsia="Times New Roman" w:hAnsi="Times New Roman" w:cs="Times New Roman"/>
          <w:b/>
          <w:i/>
          <w:sz w:val="24"/>
        </w:rPr>
        <w:t xml:space="preserve">противокашлевыми свойствами, затрудняющими выведение мокроты. </w:t>
      </w:r>
    </w:p>
    <w:p w:rsidR="005A3F38" w:rsidRDefault="003114B5">
      <w:pPr>
        <w:spacing w:after="142"/>
        <w:ind w:left="1068"/>
      </w:pPr>
      <w:r>
        <w:rPr>
          <w:rFonts w:ascii="Times New Roman" w:eastAsia="Times New Roman" w:hAnsi="Times New Roman" w:cs="Times New Roman"/>
          <w:b/>
          <w:i/>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Не рекомендовано пациентам с ОРВИ, проявляющимся ларинготрахеитом, фарингитом, одновременное применение отхаркивающих препаратов и группы АТХ R05D «Противокашлевые препаратоы, кр</w:t>
      </w:r>
      <w:r>
        <w:rPr>
          <w:rFonts w:ascii="Times New Roman" w:eastAsia="Times New Roman" w:hAnsi="Times New Roman" w:cs="Times New Roman"/>
          <w:sz w:val="24"/>
        </w:rPr>
        <w:t xml:space="preserve">оме комбинаций с отхаркивающими средствами», к пациентам с кашлем [208, 277, 278, 276].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(уровень достоверности доказательств – 5).</w:t>
      </w:r>
      <w:r>
        <w:rPr>
          <w:rFonts w:ascii="Times New Roman" w:eastAsia="Times New Roman" w:hAnsi="Times New Roman" w:cs="Times New Roman"/>
          <w:sz w:val="24"/>
        </w:rPr>
        <w:t xml:space="preserve"> </w:t>
      </w:r>
    </w:p>
    <w:p w:rsidR="005A3F38" w:rsidRDefault="003114B5">
      <w:pPr>
        <w:spacing w:after="26" w:line="357" w:lineRule="auto"/>
        <w:ind w:left="360" w:right="7"/>
        <w:jc w:val="both"/>
      </w:pPr>
      <w:r>
        <w:rPr>
          <w:rFonts w:ascii="Times New Roman" w:eastAsia="Times New Roman" w:hAnsi="Times New Roman" w:cs="Times New Roman"/>
          <w:b/>
          <w:sz w:val="24"/>
        </w:rPr>
        <w:t>Комментарии</w:t>
      </w:r>
      <w:r>
        <w:rPr>
          <w:rFonts w:ascii="Times New Roman" w:eastAsia="Times New Roman" w:hAnsi="Times New Roman" w:cs="Times New Roman"/>
          <w:color w:val="212121"/>
          <w:sz w:val="24"/>
        </w:rPr>
        <w:t xml:space="preserve">: </w:t>
      </w:r>
      <w:r>
        <w:rPr>
          <w:rFonts w:ascii="Times New Roman" w:eastAsia="Times New Roman" w:hAnsi="Times New Roman" w:cs="Times New Roman"/>
          <w:i/>
          <w:color w:val="212121"/>
          <w:sz w:val="24"/>
        </w:rPr>
        <w:t>назначение препаратов группы АТХ R05D «Противокашлевые препаратыв, кроме</w:t>
      </w:r>
      <w:r>
        <w:rPr>
          <w:rFonts w:ascii="Times New Roman" w:eastAsia="Times New Roman" w:hAnsi="Times New Roman" w:cs="Times New Roman"/>
          <w:i/>
          <w:color w:val="212121"/>
          <w:sz w:val="24"/>
        </w:rPr>
        <w:t xml:space="preserve"> комбинаций с отхаркивающими средствами» пациентам с кашлем </w:t>
      </w:r>
      <w:r>
        <w:rPr>
          <w:rFonts w:ascii="Times New Roman" w:eastAsia="Times New Roman" w:hAnsi="Times New Roman" w:cs="Times New Roman"/>
          <w:i/>
          <w:sz w:val="24"/>
        </w:rPr>
        <w:t xml:space="preserve">может способствовать застою мокроты за счет подавления кашлевого рефлекса.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Паровые ингаляции для лечения ОРВИ у детей не рекомендуются в связи с опасностью возникновения ожогов [100] и отсутствие</w:t>
      </w:r>
      <w:r>
        <w:rPr>
          <w:rFonts w:ascii="Times New Roman" w:eastAsia="Times New Roman" w:hAnsi="Times New Roman" w:cs="Times New Roman"/>
          <w:sz w:val="24"/>
        </w:rPr>
        <w:t xml:space="preserve">м убедительных данных об их пользе [101]. ВОЗ не рекомендует использовать паровые ингаляции для лечения кашля и ОРВИ у детей [102, 210, 211].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A; уровень достоверности доказательств - 1). </w:t>
      </w:r>
    </w:p>
    <w:p w:rsidR="005A3F38" w:rsidRDefault="003114B5">
      <w:pPr>
        <w:spacing w:after="115"/>
        <w:ind w:left="360"/>
      </w:pPr>
      <w:r>
        <w:rPr>
          <w:rFonts w:ascii="Times New Roman" w:eastAsia="Times New Roman" w:hAnsi="Times New Roman" w:cs="Times New Roman"/>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Не рекомендовано пациентам с ОРВИ назначение антигистаминных средств системного действия, так как они не показали эффективности в уменьшении симптомов ринита и кашля при ОРВИ [103, 104, 208, 212].</w:t>
      </w:r>
      <w:r>
        <w:rPr>
          <w:rFonts w:ascii="Times New Roman" w:eastAsia="Times New Roman" w:hAnsi="Times New Roman" w:cs="Times New Roman"/>
          <w:sz w:val="20"/>
        </w:rPr>
        <w:t xml:space="preserve">  </w:t>
      </w:r>
    </w:p>
    <w:p w:rsidR="005A3F38" w:rsidRDefault="003114B5">
      <w:pPr>
        <w:spacing w:after="153" w:line="249" w:lineRule="auto"/>
        <w:ind w:left="355" w:hanging="10"/>
      </w:pPr>
      <w:r>
        <w:rPr>
          <w:rFonts w:ascii="Times New Roman" w:eastAsia="Times New Roman" w:hAnsi="Times New Roman" w:cs="Times New Roman"/>
          <w:b/>
          <w:sz w:val="24"/>
        </w:rPr>
        <w:t>(Уровень убедительности рекомендаций A; уровень достоверн</w:t>
      </w:r>
      <w:r>
        <w:rPr>
          <w:rFonts w:ascii="Times New Roman" w:eastAsia="Times New Roman" w:hAnsi="Times New Roman" w:cs="Times New Roman"/>
          <w:b/>
          <w:sz w:val="24"/>
        </w:rPr>
        <w:t xml:space="preserve">ости доказательств - 1).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 xml:space="preserve">Не рекомендуется всем детям с ОРВИ назначать аскорбиновую кислоту**, так как при терапевтическом приеме после появления симптомов болезни высокие дозы аскорбиновой кислоты** не показали явного улучшения в состоянии [279].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уровень достоверности доказательств - 1).</w:t>
      </w:r>
      <w:r>
        <w:rPr>
          <w:rFonts w:ascii="Times New Roman" w:eastAsia="Times New Roman" w:hAnsi="Times New Roman" w:cs="Times New Roman"/>
          <w:sz w:val="24"/>
        </w:rPr>
        <w:t xml:space="preserve"> </w:t>
      </w:r>
    </w:p>
    <w:p w:rsidR="005A3F38" w:rsidRDefault="003114B5">
      <w:pPr>
        <w:numPr>
          <w:ilvl w:val="0"/>
          <w:numId w:val="12"/>
        </w:numPr>
        <w:spacing w:after="5" w:line="364" w:lineRule="auto"/>
        <w:ind w:right="2" w:hanging="144"/>
        <w:jc w:val="both"/>
      </w:pPr>
      <w:r>
        <w:rPr>
          <w:rFonts w:ascii="Times New Roman" w:eastAsia="Times New Roman" w:hAnsi="Times New Roman" w:cs="Times New Roman"/>
          <w:sz w:val="24"/>
        </w:rPr>
        <w:t>Рекомендовано обеспечить ребенку с ОРВИ и лихорадкой адекватную гидратацию.</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Основной путь – пероральный (пероральные солевые составы для регидратации (группа АТХ A07CA)). В </w:t>
      </w:r>
      <w:r>
        <w:rPr>
          <w:rFonts w:ascii="Times New Roman" w:eastAsia="Times New Roman" w:hAnsi="Times New Roman" w:cs="Times New Roman"/>
          <w:sz w:val="24"/>
        </w:rPr>
        <w:t xml:space="preserve">случае невозможности проведения оральной гидратации следует вводить жидкость через назогастральный зонд или внутривенно (растворы, влияющие на водно-электролитный баланс) [33, 271].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C (уровень достоверности доказательст</w:t>
      </w:r>
      <w:r>
        <w:rPr>
          <w:rFonts w:ascii="Times New Roman" w:eastAsia="Times New Roman" w:hAnsi="Times New Roman" w:cs="Times New Roman"/>
          <w:b/>
          <w:sz w:val="24"/>
        </w:rPr>
        <w:t xml:space="preserve">в - 5).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дегидратация может увеличивать риск побочных эффектов жаропонижающих препаратов. </w:t>
      </w:r>
    </w:p>
    <w:p w:rsidR="005A3F38" w:rsidRDefault="003114B5">
      <w:pPr>
        <w:spacing w:after="115"/>
        <w:ind w:left="355" w:hanging="10"/>
        <w:jc w:val="both"/>
      </w:pPr>
      <w:r>
        <w:rPr>
          <w:rFonts w:ascii="Times New Roman" w:eastAsia="Times New Roman" w:hAnsi="Times New Roman" w:cs="Times New Roman"/>
          <w:i/>
          <w:sz w:val="24"/>
        </w:rPr>
        <w:t xml:space="preserve">Шкала оценки дегидратации – см. Приложение Г1. </w:t>
      </w:r>
    </w:p>
    <w:p w:rsidR="005A3F38" w:rsidRDefault="003114B5">
      <w:pPr>
        <w:spacing w:after="4" w:line="367" w:lineRule="auto"/>
        <w:ind w:left="345" w:firstLine="708"/>
        <w:jc w:val="both"/>
      </w:pPr>
      <w:r>
        <w:rPr>
          <w:rFonts w:ascii="Times New Roman" w:eastAsia="Times New Roman" w:hAnsi="Times New Roman" w:cs="Times New Roman"/>
          <w:i/>
          <w:sz w:val="24"/>
        </w:rPr>
        <w:t>По показаниям назначают дробный прием пероральных солевых составов для регидратации (группа АТХ A07CA).</w:t>
      </w:r>
      <w:r>
        <w:rPr>
          <w:rFonts w:ascii="Times New Roman" w:eastAsia="Times New Roman" w:hAnsi="Times New Roman" w:cs="Times New Roman"/>
          <w:i/>
          <w:sz w:val="24"/>
        </w:rPr>
        <w:t xml:space="preserve"> Для детей младшего возраста выпаивание проводят по 0,5–1 чайной ложке, детям более старшего возраста — небольшими глотками [33]. </w:t>
      </w:r>
    </w:p>
    <w:p w:rsidR="005A3F38" w:rsidRDefault="003114B5">
      <w:pPr>
        <w:spacing w:after="4" w:line="367" w:lineRule="auto"/>
        <w:ind w:left="345" w:firstLine="708"/>
        <w:jc w:val="both"/>
      </w:pPr>
      <w:r>
        <w:rPr>
          <w:rFonts w:ascii="Times New Roman" w:eastAsia="Times New Roman" w:hAnsi="Times New Roman" w:cs="Times New Roman"/>
          <w:i/>
          <w:sz w:val="24"/>
        </w:rPr>
        <w:t>Детям с признаками легкого обезвоживания (возбудимость, жажда) показано назначение пероральных солевых составов для регидрата</w:t>
      </w:r>
      <w:r>
        <w:rPr>
          <w:rFonts w:ascii="Times New Roman" w:eastAsia="Times New Roman" w:hAnsi="Times New Roman" w:cs="Times New Roman"/>
          <w:i/>
          <w:sz w:val="24"/>
        </w:rPr>
        <w:t xml:space="preserve">ции (группа АТХ A07CA) синдрома дегидратации [271].  </w:t>
      </w:r>
    </w:p>
    <w:p w:rsidR="005A3F38" w:rsidRDefault="003114B5">
      <w:pPr>
        <w:spacing w:after="115"/>
        <w:ind w:left="1078" w:hanging="10"/>
        <w:jc w:val="both"/>
      </w:pPr>
      <w:r>
        <w:rPr>
          <w:rFonts w:ascii="Times New Roman" w:eastAsia="Times New Roman" w:hAnsi="Times New Roman" w:cs="Times New Roman"/>
          <w:i/>
          <w:sz w:val="24"/>
        </w:rPr>
        <w:t xml:space="preserve">Применяют препараты со следующими характеристиками: </w:t>
      </w:r>
    </w:p>
    <w:p w:rsidR="005A3F38" w:rsidRDefault="003114B5">
      <w:pPr>
        <w:numPr>
          <w:ilvl w:val="0"/>
          <w:numId w:val="12"/>
        </w:numPr>
        <w:spacing w:after="112"/>
        <w:ind w:right="2" w:hanging="144"/>
        <w:jc w:val="both"/>
      </w:pPr>
      <w:r>
        <w:rPr>
          <w:rFonts w:ascii="Times New Roman" w:eastAsia="Times New Roman" w:hAnsi="Times New Roman" w:cs="Times New Roman"/>
          <w:i/>
          <w:sz w:val="24"/>
        </w:rPr>
        <w:t xml:space="preserve">пониженная осмолярность по Na+ — 50–60 ммоль/л;  </w:t>
      </w:r>
    </w:p>
    <w:p w:rsidR="005A3F38" w:rsidRDefault="003114B5">
      <w:pPr>
        <w:numPr>
          <w:ilvl w:val="0"/>
          <w:numId w:val="12"/>
        </w:numPr>
        <w:spacing w:after="115"/>
        <w:ind w:right="2" w:hanging="144"/>
        <w:jc w:val="both"/>
      </w:pPr>
      <w:r>
        <w:rPr>
          <w:rFonts w:ascii="Times New Roman" w:eastAsia="Times New Roman" w:hAnsi="Times New Roman" w:cs="Times New Roman"/>
          <w:i/>
          <w:sz w:val="24"/>
        </w:rPr>
        <w:t xml:space="preserve">осмолярность глюкозы — менее 90 ммоль/л;  </w:t>
      </w:r>
    </w:p>
    <w:p w:rsidR="005A3F38" w:rsidRDefault="003114B5">
      <w:pPr>
        <w:numPr>
          <w:ilvl w:val="0"/>
          <w:numId w:val="12"/>
        </w:numPr>
        <w:spacing w:after="112"/>
        <w:ind w:right="2" w:hanging="144"/>
        <w:jc w:val="both"/>
      </w:pPr>
      <w:r>
        <w:rPr>
          <w:rFonts w:ascii="Times New Roman" w:eastAsia="Times New Roman" w:hAnsi="Times New Roman" w:cs="Times New Roman"/>
          <w:i/>
          <w:sz w:val="24"/>
        </w:rPr>
        <w:t>общая осмолярность раствора — меньше 245 ммоль/л и не ни</w:t>
      </w:r>
      <w:r>
        <w:rPr>
          <w:rFonts w:ascii="Times New Roman" w:eastAsia="Times New Roman" w:hAnsi="Times New Roman" w:cs="Times New Roman"/>
          <w:i/>
          <w:sz w:val="24"/>
        </w:rPr>
        <w:t xml:space="preserve">же 200 ммоль/л [105.].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Прием гипоосмолярного раствора способствует восполнению необходимых организму электролитов и воды, теряемых при обезвоживании, связанном с лихорадочными состояниями при ОРВИ [33, 106].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Следует информировать родителей о важности оральной регидратации ребенка специальными пероральными солевыми составами для регидратации (группа АТХ A07CA)) (не раствором декстрозы**) при лихорадке более 38°С [33].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При невозможности выпаивания, а также при </w:t>
      </w:r>
      <w:r>
        <w:rPr>
          <w:rFonts w:ascii="Times New Roman" w:eastAsia="Times New Roman" w:hAnsi="Times New Roman" w:cs="Times New Roman"/>
          <w:i/>
          <w:sz w:val="24"/>
        </w:rPr>
        <w:t xml:space="preserve">тяжелом обезвоживании может быть показана парентеральная регидратация с применением растворов, влияющих на водноэлектролитный баланс (сбалансированных ионных растворов). С целью профилактики дегидратации показано энтеральное употребление жидкости в объеме </w:t>
      </w:r>
      <w:r>
        <w:rPr>
          <w:rFonts w:ascii="Times New Roman" w:eastAsia="Times New Roman" w:hAnsi="Times New Roman" w:cs="Times New Roman"/>
          <w:i/>
          <w:sz w:val="24"/>
        </w:rPr>
        <w:t xml:space="preserve">возрастной потребности. </w:t>
      </w:r>
    </w:p>
    <w:p w:rsidR="005A3F38" w:rsidRDefault="003114B5">
      <w:pPr>
        <w:spacing w:after="144"/>
        <w:ind w:left="355" w:hanging="10"/>
        <w:jc w:val="both"/>
      </w:pPr>
      <w:r>
        <w:rPr>
          <w:rFonts w:ascii="Times New Roman" w:eastAsia="Times New Roman" w:hAnsi="Times New Roman" w:cs="Times New Roman"/>
          <w:i/>
          <w:sz w:val="24"/>
        </w:rPr>
        <w:t xml:space="preserve">Физиологическая потребность у детей по формуле Holliday-Segar составляет: </w:t>
      </w:r>
    </w:p>
    <w:p w:rsidR="005A3F38" w:rsidRDefault="003114B5">
      <w:pPr>
        <w:numPr>
          <w:ilvl w:val="0"/>
          <w:numId w:val="13"/>
        </w:numPr>
        <w:spacing w:after="148"/>
        <w:ind w:firstLine="708"/>
        <w:jc w:val="both"/>
      </w:pPr>
      <w:r>
        <w:rPr>
          <w:rFonts w:ascii="Times New Roman" w:eastAsia="Times New Roman" w:hAnsi="Times New Roman" w:cs="Times New Roman"/>
          <w:i/>
          <w:sz w:val="24"/>
        </w:rPr>
        <w:t xml:space="preserve">до 10 кг: 100 мл/кг/сутки; </w:t>
      </w:r>
    </w:p>
    <w:p w:rsidR="005A3F38" w:rsidRDefault="003114B5">
      <w:pPr>
        <w:numPr>
          <w:ilvl w:val="0"/>
          <w:numId w:val="13"/>
        </w:numPr>
        <w:spacing w:after="121"/>
        <w:ind w:firstLine="708"/>
        <w:jc w:val="both"/>
      </w:pPr>
      <w:r>
        <w:rPr>
          <w:rFonts w:ascii="Times New Roman" w:eastAsia="Times New Roman" w:hAnsi="Times New Roman" w:cs="Times New Roman"/>
          <w:i/>
          <w:sz w:val="24"/>
        </w:rPr>
        <w:t xml:space="preserve">от 10 до 20 кг: 1000 мл + 50 мл на каждый кг массы тела свыше 10 кг;  </w:t>
      </w:r>
    </w:p>
    <w:p w:rsidR="005A3F38" w:rsidRDefault="003114B5">
      <w:pPr>
        <w:numPr>
          <w:ilvl w:val="0"/>
          <w:numId w:val="13"/>
        </w:numPr>
        <w:spacing w:after="4" w:line="367" w:lineRule="auto"/>
        <w:ind w:firstLine="708"/>
        <w:jc w:val="both"/>
      </w:pPr>
      <w:r>
        <w:rPr>
          <w:rFonts w:ascii="Times New Roman" w:eastAsia="Times New Roman" w:hAnsi="Times New Roman" w:cs="Times New Roman"/>
          <w:i/>
          <w:sz w:val="24"/>
        </w:rPr>
        <w:t>более 20 кг: 1500 мл + 20 мл на каждый кг массы тела свыш</w:t>
      </w:r>
      <w:r>
        <w:rPr>
          <w:rFonts w:ascii="Times New Roman" w:eastAsia="Times New Roman" w:hAnsi="Times New Roman" w:cs="Times New Roman"/>
          <w:i/>
          <w:sz w:val="24"/>
        </w:rPr>
        <w:t>е 20 кг. Для детей свыше 40 кг: 1500 мл/м</w:t>
      </w:r>
      <w:r>
        <w:rPr>
          <w:rFonts w:ascii="Times New Roman" w:eastAsia="Times New Roman" w:hAnsi="Times New Roman" w:cs="Times New Roman"/>
          <w:i/>
          <w:sz w:val="24"/>
          <w:vertAlign w:val="superscript"/>
        </w:rPr>
        <w:t>2</w:t>
      </w:r>
      <w:r>
        <w:rPr>
          <w:rFonts w:ascii="Times New Roman" w:eastAsia="Times New Roman" w:hAnsi="Times New Roman" w:cs="Times New Roman"/>
          <w:i/>
          <w:sz w:val="24"/>
        </w:rPr>
        <w:t xml:space="preserve"> поверхности тела.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При ДН и/или ОРДС целесообразно ограничить объём вводимой жидкости до 50% от физиологической потребности. </w:t>
      </w:r>
    </w:p>
    <w:p w:rsidR="005A3F38" w:rsidRDefault="003114B5">
      <w:pPr>
        <w:spacing w:after="4" w:line="367" w:lineRule="auto"/>
        <w:ind w:left="345" w:firstLine="708"/>
        <w:jc w:val="both"/>
      </w:pPr>
      <w:r>
        <w:rPr>
          <w:rFonts w:ascii="Times New Roman" w:eastAsia="Times New Roman" w:hAnsi="Times New Roman" w:cs="Times New Roman"/>
          <w:i/>
          <w:sz w:val="24"/>
        </w:rPr>
        <w:t>Если функция желудочно-кишечного тракта не страдает, большая часть жидкости должна быть</w:t>
      </w:r>
      <w:r>
        <w:rPr>
          <w:rFonts w:ascii="Times New Roman" w:eastAsia="Times New Roman" w:hAnsi="Times New Roman" w:cs="Times New Roman"/>
          <w:i/>
          <w:sz w:val="24"/>
        </w:rPr>
        <w:t xml:space="preserve"> введена энтеральным путем (через рот или зонд).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Необходимо стремиться к «нулевому гидробалансу», то есть объем диуреза (или других потерь) должен быть приблизительно равен введенному объему жидкости за сутки. </w:t>
      </w:r>
    </w:p>
    <w:p w:rsidR="005A3F38" w:rsidRDefault="003114B5">
      <w:pPr>
        <w:spacing w:after="4" w:line="367" w:lineRule="auto"/>
        <w:ind w:left="345" w:firstLine="708"/>
        <w:jc w:val="both"/>
      </w:pPr>
      <w:r>
        <w:rPr>
          <w:rFonts w:ascii="Times New Roman" w:eastAsia="Times New Roman" w:hAnsi="Times New Roman" w:cs="Times New Roman"/>
          <w:i/>
          <w:sz w:val="24"/>
        </w:rPr>
        <w:t>У гемодинамически стабильных пациентов необх</w:t>
      </w:r>
      <w:r>
        <w:rPr>
          <w:rFonts w:ascii="Times New Roman" w:eastAsia="Times New Roman" w:hAnsi="Times New Roman" w:cs="Times New Roman"/>
          <w:i/>
          <w:sz w:val="24"/>
        </w:rPr>
        <w:t xml:space="preserve">одима рестрикция жидкости, титруемая начиная с 50% полной расчетной суточной потребности.  </w:t>
      </w:r>
    </w:p>
    <w:p w:rsidR="005A3F38" w:rsidRDefault="003114B5">
      <w:pPr>
        <w:spacing w:after="4" w:line="367" w:lineRule="auto"/>
        <w:ind w:left="345" w:firstLine="708"/>
        <w:jc w:val="both"/>
      </w:pPr>
      <w:r>
        <w:rPr>
          <w:rFonts w:ascii="Times New Roman" w:eastAsia="Times New Roman" w:hAnsi="Times New Roman" w:cs="Times New Roman"/>
          <w:i/>
          <w:sz w:val="24"/>
        </w:rPr>
        <w:t>У больных с задержкой жидкости оправдано назначение «петлевых» диуретиков [334]. Гипергидратация является жизнеугрожающей для пациентов. Оптимальными растворами для</w:t>
      </w:r>
      <w:r>
        <w:rPr>
          <w:rFonts w:ascii="Times New Roman" w:eastAsia="Times New Roman" w:hAnsi="Times New Roman" w:cs="Times New Roman"/>
          <w:i/>
          <w:sz w:val="24"/>
        </w:rPr>
        <w:t xml:space="preserve"> проведения инфузионной терапии являются растворы, влияющие на водно-электролитный баланс (сбалансированные изоосмолярные изоионные кристаллоидные растворы). </w:t>
      </w:r>
    </w:p>
    <w:p w:rsidR="005A3F38" w:rsidRDefault="003114B5">
      <w:pPr>
        <w:spacing w:after="4" w:line="367" w:lineRule="auto"/>
        <w:ind w:left="345" w:firstLine="708"/>
        <w:jc w:val="both"/>
      </w:pPr>
      <w:r>
        <w:rPr>
          <w:rFonts w:ascii="Times New Roman" w:eastAsia="Times New Roman" w:hAnsi="Times New Roman" w:cs="Times New Roman"/>
          <w:i/>
          <w:sz w:val="24"/>
        </w:rPr>
        <w:t>• При наличии признаков тяжелой гиповолемии показано проведение волемической нагрузки растворами,</w:t>
      </w:r>
      <w:r>
        <w:rPr>
          <w:rFonts w:ascii="Times New Roman" w:eastAsia="Times New Roman" w:hAnsi="Times New Roman" w:cs="Times New Roman"/>
          <w:i/>
          <w:sz w:val="24"/>
        </w:rPr>
        <w:t xml:space="preserve"> влияющими на электролитный баланс (сбалансированным кристаллоидным раствором в объеме 20 мл/кг в течение 30 - 60 минут с оценкой эффекта. При необходимости повтор до 3 раз. После каждого болюса необходимо оценивать эффект проводимой терапии</w:t>
      </w:r>
      <w:r>
        <w:rPr>
          <w:rFonts w:ascii="Times New Roman" w:eastAsia="Times New Roman" w:hAnsi="Times New Roman" w:cs="Times New Roman"/>
          <w:sz w:val="24"/>
        </w:rPr>
        <w:t xml:space="preserve">  [335</w:t>
      </w:r>
      <w:r>
        <w:rPr>
          <w:rFonts w:ascii="Times New Roman" w:eastAsia="Times New Roman" w:hAnsi="Times New Roman" w:cs="Times New Roman"/>
          <w:i/>
          <w:sz w:val="24"/>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Основ</w:t>
      </w:r>
      <w:r>
        <w:rPr>
          <w:rFonts w:ascii="Times New Roman" w:eastAsia="Times New Roman" w:hAnsi="Times New Roman" w:cs="Times New Roman"/>
          <w:i/>
          <w:sz w:val="24"/>
        </w:rPr>
        <w:t xml:space="preserve">ная цель инфузионной терапии - поддержание адекватного объема циркулирующей крови и нормализация перфузии.  </w:t>
      </w:r>
    </w:p>
    <w:p w:rsidR="005A3F38" w:rsidRDefault="003114B5">
      <w:pPr>
        <w:spacing w:after="115"/>
        <w:ind w:left="1078" w:hanging="10"/>
        <w:jc w:val="both"/>
      </w:pPr>
      <w:r>
        <w:rPr>
          <w:rFonts w:ascii="Times New Roman" w:eastAsia="Times New Roman" w:hAnsi="Times New Roman" w:cs="Times New Roman"/>
          <w:i/>
          <w:sz w:val="24"/>
        </w:rPr>
        <w:t xml:space="preserve">Критерии адекватной тканевой перфузии включают в себя: </w:t>
      </w:r>
    </w:p>
    <w:p w:rsidR="005A3F38" w:rsidRDefault="003114B5">
      <w:pPr>
        <w:numPr>
          <w:ilvl w:val="0"/>
          <w:numId w:val="14"/>
        </w:numPr>
        <w:spacing w:after="112"/>
        <w:ind w:left="1207" w:hanging="139"/>
        <w:jc w:val="both"/>
      </w:pPr>
      <w:r>
        <w:rPr>
          <w:rFonts w:ascii="Times New Roman" w:eastAsia="Times New Roman" w:hAnsi="Times New Roman" w:cs="Times New Roman"/>
          <w:i/>
          <w:sz w:val="24"/>
        </w:rPr>
        <w:t xml:space="preserve">Время наполнения капилляров 2 с; </w:t>
      </w:r>
    </w:p>
    <w:p w:rsidR="005A3F38" w:rsidRDefault="003114B5">
      <w:pPr>
        <w:numPr>
          <w:ilvl w:val="0"/>
          <w:numId w:val="14"/>
        </w:numPr>
        <w:spacing w:after="4" w:line="367" w:lineRule="auto"/>
        <w:ind w:left="1207" w:hanging="139"/>
        <w:jc w:val="both"/>
      </w:pPr>
      <w:r>
        <w:rPr>
          <w:rFonts w:ascii="Times New Roman" w:eastAsia="Times New Roman" w:hAnsi="Times New Roman" w:cs="Times New Roman"/>
          <w:i/>
          <w:sz w:val="24"/>
        </w:rPr>
        <w:t xml:space="preserve">Удовлетворительное наполнение пульса на периферических и магистральных артериях; - Теплые конечности; </w:t>
      </w:r>
    </w:p>
    <w:p w:rsidR="005A3F38" w:rsidRDefault="003114B5">
      <w:pPr>
        <w:numPr>
          <w:ilvl w:val="0"/>
          <w:numId w:val="14"/>
        </w:numPr>
        <w:spacing w:after="115"/>
        <w:ind w:left="1207" w:hanging="139"/>
        <w:jc w:val="both"/>
      </w:pPr>
      <w:r>
        <w:rPr>
          <w:rFonts w:ascii="Times New Roman" w:eastAsia="Times New Roman" w:hAnsi="Times New Roman" w:cs="Times New Roman"/>
          <w:i/>
          <w:sz w:val="24"/>
        </w:rPr>
        <w:t xml:space="preserve">Темп почасового диуреза &gt; 1 мл/кг/ч; </w:t>
      </w:r>
    </w:p>
    <w:p w:rsidR="005A3F38" w:rsidRDefault="003114B5">
      <w:pPr>
        <w:numPr>
          <w:ilvl w:val="0"/>
          <w:numId w:val="14"/>
        </w:numPr>
        <w:spacing w:after="4" w:line="367" w:lineRule="auto"/>
        <w:ind w:left="1207" w:hanging="139"/>
        <w:jc w:val="both"/>
      </w:pPr>
      <w:r>
        <w:rPr>
          <w:rFonts w:ascii="Times New Roman" w:eastAsia="Times New Roman" w:hAnsi="Times New Roman" w:cs="Times New Roman"/>
          <w:i/>
          <w:sz w:val="24"/>
        </w:rPr>
        <w:t>Показатели артериального давления соответствуют возрастной норме (отсутствие артериальной гипотензии и гипертензии)</w:t>
      </w:r>
      <w:r>
        <w:rPr>
          <w:rFonts w:ascii="Times New Roman" w:eastAsia="Times New Roman" w:hAnsi="Times New Roman" w:cs="Times New Roman"/>
          <w:i/>
          <w:sz w:val="24"/>
        </w:rPr>
        <w:t xml:space="preserve">; </w:t>
      </w:r>
    </w:p>
    <w:p w:rsidR="005A3F38" w:rsidRDefault="003114B5">
      <w:pPr>
        <w:numPr>
          <w:ilvl w:val="0"/>
          <w:numId w:val="14"/>
        </w:numPr>
        <w:spacing w:after="112"/>
        <w:ind w:left="1207" w:hanging="139"/>
        <w:jc w:val="both"/>
      </w:pPr>
      <w:r>
        <w:rPr>
          <w:rFonts w:ascii="Times New Roman" w:eastAsia="Times New Roman" w:hAnsi="Times New Roman" w:cs="Times New Roman"/>
          <w:i/>
          <w:sz w:val="24"/>
        </w:rPr>
        <w:t xml:space="preserve">Нормальные показатели концентрации глюкозы в крови; </w:t>
      </w:r>
    </w:p>
    <w:p w:rsidR="005A3F38" w:rsidRDefault="003114B5">
      <w:pPr>
        <w:numPr>
          <w:ilvl w:val="0"/>
          <w:numId w:val="14"/>
        </w:numPr>
        <w:spacing w:after="115"/>
        <w:ind w:left="1207" w:hanging="139"/>
        <w:jc w:val="both"/>
      </w:pPr>
      <w:r>
        <w:rPr>
          <w:rFonts w:ascii="Times New Roman" w:eastAsia="Times New Roman" w:hAnsi="Times New Roman" w:cs="Times New Roman"/>
          <w:i/>
          <w:sz w:val="24"/>
        </w:rPr>
        <w:t xml:space="preserve">Нормальные показатели концентрации ионизированного кальция в крови. </w:t>
      </w:r>
    </w:p>
    <w:p w:rsidR="005A3F38" w:rsidRDefault="003114B5">
      <w:pPr>
        <w:pStyle w:val="Heading3"/>
        <w:spacing w:after="10" w:line="249" w:lineRule="auto"/>
        <w:ind w:left="355" w:right="0"/>
        <w:jc w:val="left"/>
      </w:pPr>
      <w:bookmarkStart w:id="19" w:name="_Toc141892"/>
      <w:r>
        <w:rPr>
          <w:i w:val="0"/>
        </w:rPr>
        <w:t xml:space="preserve">3.1.2. Этиотропная (противовирусная) и иммуномодулирующая терапия </w:t>
      </w:r>
      <w:bookmarkEnd w:id="19"/>
    </w:p>
    <w:p w:rsidR="005A3F38" w:rsidRDefault="003114B5">
      <w:pPr>
        <w:spacing w:after="117"/>
        <w:ind w:left="360"/>
      </w:pPr>
      <w:r>
        <w:rPr>
          <w:rFonts w:ascii="Times New Roman" w:eastAsia="Times New Roman" w:hAnsi="Times New Roman" w:cs="Times New Roman"/>
          <w:i/>
          <w:sz w:val="23"/>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Риск нежелательных явлений этиотропной терапии превышает потен</w:t>
      </w:r>
      <w:r>
        <w:rPr>
          <w:rFonts w:ascii="Times New Roman" w:eastAsia="Times New Roman" w:hAnsi="Times New Roman" w:cs="Times New Roman"/>
          <w:i/>
          <w:sz w:val="24"/>
        </w:rPr>
        <w:t xml:space="preserve">циальную пользу при нетяжелом течении инфекции, широкое применение формирует устойчивость (доказано для вирусов гриппа и ингибиторов нейраминидазы) </w:t>
      </w:r>
      <w:r>
        <w:rPr>
          <w:rFonts w:ascii="Times New Roman" w:eastAsia="Times New Roman" w:hAnsi="Times New Roman" w:cs="Times New Roman"/>
          <w:sz w:val="24"/>
        </w:rPr>
        <w:t xml:space="preserve">[107, </w:t>
      </w:r>
      <w:r>
        <w:rPr>
          <w:rFonts w:ascii="Times New Roman" w:eastAsia="Times New Roman" w:hAnsi="Times New Roman" w:cs="Times New Roman"/>
          <w:i/>
          <w:sz w:val="24"/>
        </w:rPr>
        <w:t xml:space="preserve">274].  </w:t>
      </w:r>
    </w:p>
    <w:p w:rsidR="005A3F38" w:rsidRDefault="003114B5">
      <w:pPr>
        <w:spacing w:after="5"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Рекомендуется селективное назначение в первые 24-48 часов болезни пациентам групп риска с по</w:t>
      </w:r>
      <w:r>
        <w:rPr>
          <w:rFonts w:ascii="Times New Roman" w:eastAsia="Times New Roman" w:hAnsi="Times New Roman" w:cs="Times New Roman"/>
          <w:sz w:val="24"/>
        </w:rPr>
        <w:t>дозрением на грипп или пациентам</w:t>
      </w:r>
      <w:r>
        <w:rPr>
          <w:rFonts w:ascii="Times New Roman" w:eastAsia="Times New Roman" w:hAnsi="Times New Roman" w:cs="Times New Roman"/>
          <w:color w:val="0070C0"/>
          <w:sz w:val="24"/>
        </w:rPr>
        <w:t xml:space="preserve"> </w:t>
      </w:r>
      <w:r>
        <w:rPr>
          <w:rFonts w:ascii="Times New Roman" w:eastAsia="Times New Roman" w:hAnsi="Times New Roman" w:cs="Times New Roman"/>
          <w:sz w:val="24"/>
        </w:rPr>
        <w:t xml:space="preserve">при подтвержденном гриппе А (в т.ч. H1N1) и В, этиотропной терапии с целью прекращения репликации вируса [61, 62, 63, 108], независимо от статуса вакцинации в анамнезе. </w:t>
      </w:r>
    </w:p>
    <w:p w:rsidR="005A3F38" w:rsidRDefault="003114B5">
      <w:pPr>
        <w:spacing w:after="4" w:line="367" w:lineRule="auto"/>
        <w:ind w:left="355" w:right="4770" w:hanging="10"/>
        <w:jc w:val="both"/>
      </w:pPr>
      <w:r>
        <w:rPr>
          <w:rFonts w:ascii="Times New Roman" w:eastAsia="Times New Roman" w:hAnsi="Times New Roman" w:cs="Times New Roman"/>
          <w:i/>
          <w:sz w:val="24"/>
        </w:rPr>
        <w:t xml:space="preserve">Может быть назначен ингибитор нейраминидазы:  </w:t>
      </w:r>
      <w:r>
        <w:rPr>
          <w:rFonts w:ascii="Courier New" w:eastAsia="Courier New" w:hAnsi="Courier New" w:cs="Courier New"/>
          <w:sz w:val="24"/>
        </w:rPr>
        <w:t>o</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b/>
          <w:sz w:val="24"/>
        </w:rPr>
        <w:t>Осел</w:t>
      </w:r>
      <w:r>
        <w:rPr>
          <w:rFonts w:ascii="Times New Roman" w:eastAsia="Times New Roman" w:hAnsi="Times New Roman" w:cs="Times New Roman"/>
          <w:b/>
          <w:sz w:val="24"/>
        </w:rPr>
        <w:t>ьтамивир**</w:t>
      </w:r>
      <w:r>
        <w:rPr>
          <w:rFonts w:ascii="Times New Roman" w:eastAsia="Times New Roman" w:hAnsi="Times New Roman" w:cs="Times New Roman"/>
          <w:sz w:val="24"/>
        </w:rPr>
        <w:t xml:space="preserve"> (дозировки по инструкции)  </w:t>
      </w:r>
    </w:p>
    <w:p w:rsidR="005A3F38" w:rsidRDefault="003114B5">
      <w:pPr>
        <w:spacing w:after="5" w:line="364" w:lineRule="auto"/>
        <w:ind w:left="355" w:right="2487" w:hanging="10"/>
        <w:jc w:val="both"/>
      </w:pPr>
      <w:r>
        <w:rPr>
          <w:rFonts w:ascii="Times New Roman" w:eastAsia="Times New Roman" w:hAnsi="Times New Roman" w:cs="Times New Roman"/>
          <w:b/>
          <w:sz w:val="24"/>
        </w:rPr>
        <w:t xml:space="preserve">или  </w:t>
      </w:r>
      <w:r>
        <w:rPr>
          <w:rFonts w:ascii="Courier New" w:eastAsia="Courier New" w:hAnsi="Courier New" w:cs="Courier New"/>
          <w:sz w:val="24"/>
        </w:rPr>
        <w:t>o</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b/>
          <w:sz w:val="24"/>
        </w:rPr>
        <w:t xml:space="preserve">Занамивир </w:t>
      </w:r>
      <w:r>
        <w:rPr>
          <w:rFonts w:ascii="Times New Roman" w:eastAsia="Times New Roman" w:hAnsi="Times New Roman" w:cs="Times New Roman"/>
          <w:sz w:val="24"/>
        </w:rPr>
        <w:t xml:space="preserve">детям с 5 лет (дозировки по инструкции) [61, 62, 107, 272].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B; уровень достоверности доказательств - 1).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u w:val="single" w:color="000000"/>
        </w:rPr>
        <w:t>на другие вирусы, не содержащие нейраминидазы, данные препараты не действуют.</w:t>
      </w:r>
      <w:r>
        <w:rPr>
          <w:rFonts w:ascii="Times New Roman" w:eastAsia="Times New Roman" w:hAnsi="Times New Roman" w:cs="Times New Roman"/>
          <w:i/>
          <w:sz w:val="24"/>
        </w:rPr>
        <w:t xml:space="preserve"> При принятии решения об использовании ингибиторов нейраминидазы следует соблюдать осторожность и учитывать баланс между пользой и вредом.  </w:t>
      </w:r>
    </w:p>
    <w:p w:rsidR="005A3F38" w:rsidRDefault="003114B5">
      <w:pPr>
        <w:spacing w:after="4" w:line="367" w:lineRule="auto"/>
        <w:ind w:left="355" w:hanging="10"/>
        <w:jc w:val="both"/>
      </w:pPr>
      <w:r>
        <w:rPr>
          <w:rFonts w:ascii="Times New Roman" w:eastAsia="Times New Roman" w:hAnsi="Times New Roman" w:cs="Times New Roman"/>
          <w:i/>
          <w:sz w:val="24"/>
        </w:rPr>
        <w:t>При применении осельтамивира** в постм</w:t>
      </w:r>
      <w:r>
        <w:rPr>
          <w:rFonts w:ascii="Times New Roman" w:eastAsia="Times New Roman" w:hAnsi="Times New Roman" w:cs="Times New Roman"/>
          <w:i/>
          <w:sz w:val="24"/>
        </w:rPr>
        <w:t xml:space="preserve">аркетиноговом периоде показано увеличение риска тошноты, рвоты, психических расстройств у взрослых и рвоты у детей. Осельтамивир** не оказал протективного действия в отношении снижения смертности среди пациентов с гриппом 2009A / H1N1 [272].  </w:t>
      </w:r>
    </w:p>
    <w:p w:rsidR="005A3F38" w:rsidRDefault="003114B5">
      <w:pPr>
        <w:spacing w:after="115"/>
        <w:ind w:left="355" w:hanging="10"/>
        <w:jc w:val="both"/>
      </w:pPr>
      <w:r>
        <w:rPr>
          <w:rFonts w:ascii="Times New Roman" w:eastAsia="Times New Roman" w:hAnsi="Times New Roman" w:cs="Times New Roman"/>
          <w:i/>
          <w:sz w:val="24"/>
        </w:rPr>
        <w:t>При применен</w:t>
      </w:r>
      <w:r>
        <w:rPr>
          <w:rFonts w:ascii="Times New Roman" w:eastAsia="Times New Roman" w:hAnsi="Times New Roman" w:cs="Times New Roman"/>
          <w:i/>
          <w:sz w:val="24"/>
        </w:rPr>
        <w:t xml:space="preserve">ии занамивира возможен бронхоспазм и другие аллергические реакции [273]. Как правило, у детей чаще из ингибиторов нейраминидазы применяется осельтамивир**. </w:t>
      </w:r>
    </w:p>
    <w:p w:rsidR="005A3F38" w:rsidRDefault="003114B5">
      <w:pPr>
        <w:spacing w:after="0" w:line="357" w:lineRule="auto"/>
        <w:ind w:left="345" w:firstLine="708"/>
        <w:jc w:val="both"/>
      </w:pPr>
      <w:r>
        <w:rPr>
          <w:rFonts w:ascii="Times New Roman" w:eastAsia="Times New Roman" w:hAnsi="Times New Roman" w:cs="Times New Roman"/>
          <w:i/>
          <w:sz w:val="24"/>
          <w:u w:val="single" w:color="000000"/>
        </w:rPr>
        <w:t>Не следует применять осельтамивир**, занамивир при клинических признаках гриппа легкой</w:t>
      </w:r>
      <w:r>
        <w:rPr>
          <w:rFonts w:ascii="Times New Roman" w:eastAsia="Times New Roman" w:hAnsi="Times New Roman" w:cs="Times New Roman"/>
          <w:i/>
          <w:sz w:val="24"/>
        </w:rPr>
        <w:t xml:space="preserve"> </w:t>
      </w:r>
      <w:r>
        <w:rPr>
          <w:rFonts w:ascii="Times New Roman" w:eastAsia="Times New Roman" w:hAnsi="Times New Roman" w:cs="Times New Roman"/>
          <w:i/>
          <w:sz w:val="24"/>
          <w:u w:val="single" w:color="000000"/>
        </w:rPr>
        <w:t>и средней ст</w:t>
      </w:r>
      <w:r>
        <w:rPr>
          <w:rFonts w:ascii="Times New Roman" w:eastAsia="Times New Roman" w:hAnsi="Times New Roman" w:cs="Times New Roman"/>
          <w:i/>
          <w:sz w:val="24"/>
          <w:u w:val="single" w:color="000000"/>
        </w:rPr>
        <w:t>епени тяжести у пациентов без преморбидной патологии и факторов риска</w:t>
      </w:r>
      <w:r>
        <w:rPr>
          <w:rFonts w:ascii="Times New Roman" w:eastAsia="Times New Roman" w:hAnsi="Times New Roman" w:cs="Times New Roman"/>
          <w:i/>
          <w:sz w:val="24"/>
        </w:rPr>
        <w:t xml:space="preserve"> </w:t>
      </w:r>
      <w:r>
        <w:rPr>
          <w:rFonts w:ascii="Times New Roman" w:eastAsia="Times New Roman" w:hAnsi="Times New Roman" w:cs="Times New Roman"/>
          <w:i/>
          <w:sz w:val="24"/>
          <w:u w:val="single" w:color="000000"/>
        </w:rPr>
        <w:t>осложнений, а также для постконтактной профилактики гриппа</w:t>
      </w:r>
      <w:r>
        <w:rPr>
          <w:rFonts w:ascii="Times New Roman" w:eastAsia="Times New Roman" w:hAnsi="Times New Roman" w:cs="Times New Roman"/>
          <w:i/>
          <w:sz w:val="24"/>
        </w:rPr>
        <w:t xml:space="preserve"> [62]. </w:t>
      </w:r>
    </w:p>
    <w:p w:rsidR="005A3F38" w:rsidRDefault="003114B5">
      <w:pPr>
        <w:spacing w:after="115"/>
        <w:ind w:left="251"/>
        <w:jc w:val="center"/>
      </w:pPr>
      <w:r>
        <w:rPr>
          <w:rFonts w:ascii="Times New Roman" w:eastAsia="Times New Roman" w:hAnsi="Times New Roman" w:cs="Times New Roman"/>
          <w:i/>
          <w:sz w:val="24"/>
        </w:rPr>
        <w:t xml:space="preserve">Подробнее см. в клинических рекомендациях «Грипп» (возрастная категория – дети). </w:t>
      </w:r>
    </w:p>
    <w:p w:rsidR="005A3F38" w:rsidRDefault="003114B5">
      <w:pPr>
        <w:spacing w:after="127" w:line="249" w:lineRule="auto"/>
        <w:ind w:left="355" w:hanging="10"/>
      </w:pPr>
      <w:r>
        <w:rPr>
          <w:rFonts w:ascii="Times New Roman" w:eastAsia="Times New Roman" w:hAnsi="Times New Roman" w:cs="Times New Roman"/>
          <w:b/>
          <w:sz w:val="24"/>
        </w:rPr>
        <w:t xml:space="preserve">Или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Препарат группы «Другие противовирусные препараты» (ингибитор полимеразной кислой эндонуклеазы) </w:t>
      </w:r>
    </w:p>
    <w:p w:rsidR="005A3F38" w:rsidRDefault="003114B5">
      <w:pPr>
        <w:spacing w:after="5" w:line="364" w:lineRule="auto"/>
        <w:ind w:left="355" w:right="2" w:hanging="10"/>
        <w:jc w:val="both"/>
      </w:pPr>
      <w:r>
        <w:rPr>
          <w:rFonts w:ascii="Courier New" w:eastAsia="Courier New" w:hAnsi="Courier New" w:cs="Courier New"/>
          <w:sz w:val="24"/>
        </w:rPr>
        <w:t>o</w:t>
      </w:r>
      <w:r>
        <w:rPr>
          <w:rFonts w:ascii="Arial" w:eastAsia="Arial" w:hAnsi="Arial" w:cs="Arial"/>
          <w:sz w:val="24"/>
        </w:rPr>
        <w:t xml:space="preserve"> </w:t>
      </w:r>
      <w:r>
        <w:rPr>
          <w:rFonts w:ascii="Times New Roman" w:eastAsia="Times New Roman" w:hAnsi="Times New Roman" w:cs="Times New Roman"/>
          <w:b/>
          <w:sz w:val="24"/>
        </w:rPr>
        <w:t>Балоксавир марбоксил</w:t>
      </w:r>
      <w:r>
        <w:rPr>
          <w:rFonts w:ascii="Times New Roman" w:eastAsia="Times New Roman" w:hAnsi="Times New Roman" w:cs="Times New Roman"/>
          <w:sz w:val="24"/>
        </w:rPr>
        <w:t xml:space="preserve"> у пациентов с гриппом средней степени тяжести, в том числе пациентам с гриппом из групп риска [109, 110, 111, 112].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w:t>
      </w:r>
      <w:r>
        <w:rPr>
          <w:rFonts w:ascii="Times New Roman" w:eastAsia="Times New Roman" w:hAnsi="Times New Roman" w:cs="Times New Roman"/>
          <w:b/>
          <w:sz w:val="24"/>
        </w:rPr>
        <w:t xml:space="preserve">ости рекомендаций A; уровень достоверности доказательств - 2)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Балоксавир марбоксил (код АТХ J05AX25, группа АТХ «J05AX Прочие противовирусные препараты») - активен в отношении вирусов гриппа A, B, C и D. Может быть назначен детям с массой тел</w:t>
      </w:r>
      <w:r>
        <w:rPr>
          <w:rFonts w:ascii="Times New Roman" w:eastAsia="Times New Roman" w:hAnsi="Times New Roman" w:cs="Times New Roman"/>
          <w:i/>
          <w:sz w:val="24"/>
        </w:rPr>
        <w:t xml:space="preserve">а от 20 кг согласно инструкции по применению. </w:t>
      </w:r>
    </w:p>
    <w:p w:rsidR="005A3F38" w:rsidRDefault="003114B5">
      <w:pPr>
        <w:spacing w:after="5"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Рекомендуется селективное назначение в первые 24-48 часов болезни пациентам старше 2 лет с гриппом или ОРВИ другой этиологии при неопределенной этиологии ОРВИ </w:t>
      </w:r>
      <w:r>
        <w:rPr>
          <w:rFonts w:ascii="Times New Roman" w:eastAsia="Times New Roman" w:hAnsi="Times New Roman" w:cs="Times New Roman"/>
          <w:b/>
          <w:sz w:val="24"/>
        </w:rPr>
        <w:t xml:space="preserve">Умифеновира** </w:t>
      </w:r>
      <w:r>
        <w:rPr>
          <w:rFonts w:ascii="Times New Roman" w:eastAsia="Times New Roman" w:hAnsi="Times New Roman" w:cs="Times New Roman"/>
          <w:sz w:val="24"/>
        </w:rPr>
        <w:t>(дозировки по инструкции)</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с целью </w:t>
      </w:r>
      <w:r>
        <w:rPr>
          <w:rFonts w:ascii="Times New Roman" w:eastAsia="Times New Roman" w:hAnsi="Times New Roman" w:cs="Times New Roman"/>
          <w:sz w:val="24"/>
        </w:rPr>
        <w:t>сижения репликации вирусов</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[63, 113, 114, 151].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- 4) </w:t>
      </w:r>
    </w:p>
    <w:p w:rsidR="005A3F38" w:rsidRDefault="003114B5">
      <w:pPr>
        <w:spacing w:after="115"/>
        <w:ind w:left="360"/>
      </w:pPr>
      <w:r>
        <w:rPr>
          <w:rFonts w:ascii="Times New Roman" w:eastAsia="Times New Roman" w:hAnsi="Times New Roman" w:cs="Times New Roman"/>
          <w:b/>
          <w:sz w:val="24"/>
        </w:rPr>
        <w:t xml:space="preserve"> </w:t>
      </w:r>
    </w:p>
    <w:p w:rsidR="005A3F38" w:rsidRDefault="003114B5">
      <w:pPr>
        <w:spacing w:after="4" w:line="367" w:lineRule="auto"/>
        <w:ind w:left="355" w:hanging="10"/>
        <w:jc w:val="both"/>
      </w:pPr>
      <w:r>
        <w:rPr>
          <w:rFonts w:ascii="Times New Roman" w:eastAsia="Times New Roman" w:hAnsi="Times New Roman" w:cs="Times New Roman"/>
          <w:i/>
          <w:sz w:val="24"/>
        </w:rPr>
        <w:t>Различные препараты с противовирусным и иммуномодулирующим действием, получившие широкое распространение в РФ, не имеют достаточного объема доказательств эффективности и безопасности. Эффективность представлена сокращением времени до улучшения самочувствия</w:t>
      </w:r>
      <w:r>
        <w:rPr>
          <w:rFonts w:ascii="Times New Roman" w:eastAsia="Times New Roman" w:hAnsi="Times New Roman" w:cs="Times New Roman"/>
          <w:i/>
          <w:sz w:val="24"/>
        </w:rPr>
        <w:t xml:space="preserve">, по данным большинства публикаций, в пределах одного </w:t>
      </w:r>
      <w:r>
        <w:rPr>
          <w:rFonts w:ascii="Times New Roman" w:eastAsia="Times New Roman" w:hAnsi="Times New Roman" w:cs="Times New Roman"/>
          <w:i/>
          <w:sz w:val="24"/>
          <w:u w:val="single" w:color="000000"/>
        </w:rPr>
        <w:t>дня [14, 15, 118, 119, 120].</w:t>
      </w:r>
      <w:r>
        <w:rPr>
          <w:rFonts w:ascii="Times New Roman" w:eastAsia="Times New Roman" w:hAnsi="Times New Roman" w:cs="Times New Roman"/>
          <w:i/>
          <w:sz w:val="24"/>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Следует рассмотреть необходимость применения препаратов, исключив избыточность назначений, полипрагмазии и лекарственных взаимодействий, оценив ожидаемую пользу и риск неже</w:t>
      </w:r>
      <w:r>
        <w:rPr>
          <w:rFonts w:ascii="Times New Roman" w:eastAsia="Times New Roman" w:hAnsi="Times New Roman" w:cs="Times New Roman"/>
          <w:i/>
          <w:sz w:val="24"/>
        </w:rPr>
        <w:t xml:space="preserve">лательных </w:t>
      </w:r>
      <w:r>
        <w:rPr>
          <w:rFonts w:ascii="Times New Roman" w:eastAsia="Times New Roman" w:hAnsi="Times New Roman" w:cs="Times New Roman"/>
          <w:i/>
          <w:sz w:val="24"/>
        </w:rPr>
        <w:tab/>
        <w:t xml:space="preserve">явлений </w:t>
      </w:r>
    </w:p>
    <w:p w:rsidR="005A3F38" w:rsidRDefault="003114B5">
      <w:pPr>
        <w:spacing w:after="3" w:line="358" w:lineRule="auto"/>
        <w:ind w:left="355" w:hanging="10"/>
      </w:pPr>
      <w:r>
        <w:rPr>
          <w:rFonts w:ascii="Times New Roman" w:eastAsia="Times New Roman" w:hAnsi="Times New Roman" w:cs="Times New Roman"/>
          <w:i/>
          <w:sz w:val="24"/>
        </w:rPr>
        <w:t xml:space="preserve">[121,122,123,124,125,126,127,128,129,130,131,132,133,134,135,136,137,138,139,140,141,142,143,144,1 45,146,147,148,149,150,151 и др.].  </w:t>
      </w:r>
    </w:p>
    <w:p w:rsidR="005A3F38" w:rsidRDefault="003114B5">
      <w:pPr>
        <w:spacing w:after="4" w:line="367" w:lineRule="auto"/>
        <w:ind w:left="345" w:firstLine="708"/>
        <w:jc w:val="both"/>
      </w:pPr>
      <w:r>
        <w:rPr>
          <w:rFonts w:ascii="Times New Roman" w:eastAsia="Times New Roman" w:hAnsi="Times New Roman" w:cs="Times New Roman"/>
          <w:i/>
          <w:sz w:val="24"/>
        </w:rPr>
        <w:t>Необходимо соблюдать осторожность и не использовать их рутинно. Взаимодействие с другими лекарственн</w:t>
      </w:r>
      <w:r>
        <w:rPr>
          <w:rFonts w:ascii="Times New Roman" w:eastAsia="Times New Roman" w:hAnsi="Times New Roman" w:cs="Times New Roman"/>
          <w:i/>
          <w:sz w:val="24"/>
        </w:rPr>
        <w:t xml:space="preserve">ыми средствами у большинства препаратов не установлено. </w:t>
      </w:r>
    </w:p>
    <w:p w:rsidR="005A3F38" w:rsidRDefault="003114B5">
      <w:pPr>
        <w:spacing w:after="115"/>
        <w:ind w:left="1078" w:hanging="10"/>
        <w:jc w:val="both"/>
      </w:pPr>
      <w:r>
        <w:rPr>
          <w:rFonts w:ascii="Times New Roman" w:eastAsia="Times New Roman" w:hAnsi="Times New Roman" w:cs="Times New Roman"/>
          <w:i/>
          <w:sz w:val="24"/>
        </w:rPr>
        <w:t xml:space="preserve">Справочная информация представлена в </w:t>
      </w:r>
      <w:r>
        <w:rPr>
          <w:rFonts w:ascii="Times New Roman" w:eastAsia="Times New Roman" w:hAnsi="Times New Roman" w:cs="Times New Roman"/>
          <w:b/>
          <w:i/>
          <w:sz w:val="24"/>
        </w:rPr>
        <w:t>Приложении А3.5</w:t>
      </w:r>
      <w:r>
        <w:rPr>
          <w:rFonts w:ascii="Times New Roman" w:eastAsia="Times New Roman" w:hAnsi="Times New Roman" w:cs="Times New Roman"/>
          <w:i/>
          <w:sz w:val="24"/>
        </w:rPr>
        <w:t>.</w:t>
      </w:r>
      <w:r>
        <w:rPr>
          <w:rFonts w:ascii="Times New Roman" w:eastAsia="Times New Roman" w:hAnsi="Times New Roman" w:cs="Times New Roman"/>
          <w:b/>
          <w:sz w:val="24"/>
        </w:rPr>
        <w:t xml:space="preserve"> </w:t>
      </w:r>
    </w:p>
    <w:p w:rsidR="005A3F38" w:rsidRDefault="003114B5">
      <w:pPr>
        <w:spacing w:after="153"/>
        <w:ind w:left="1068"/>
      </w:pPr>
      <w:r>
        <w:rPr>
          <w:rFonts w:ascii="Times New Roman" w:eastAsia="Times New Roman" w:hAnsi="Times New Roman" w:cs="Times New Roman"/>
          <w:sz w:val="24"/>
        </w:rPr>
        <w:t xml:space="preserve"> </w:t>
      </w:r>
    </w:p>
    <w:p w:rsidR="005A3F38" w:rsidRDefault="003114B5">
      <w:pPr>
        <w:pStyle w:val="Heading3"/>
        <w:spacing w:after="114"/>
        <w:ind w:left="1063" w:right="0"/>
        <w:jc w:val="left"/>
      </w:pPr>
      <w:bookmarkStart w:id="20" w:name="_Toc141893"/>
      <w:r>
        <w:rPr>
          <w:u w:val="single" w:color="000000"/>
        </w:rPr>
        <w:t xml:space="preserve">3.1.3 </w:t>
      </w:r>
      <w:r>
        <w:rPr>
          <w:u w:val="single" w:color="000000"/>
        </w:rPr>
        <w:t>Антимикробная</w:t>
      </w:r>
      <w:r>
        <w:rPr>
          <w:u w:val="single" w:color="000000"/>
        </w:rPr>
        <w:t xml:space="preserve"> </w:t>
      </w:r>
      <w:r>
        <w:rPr>
          <w:u w:val="single" w:color="000000"/>
        </w:rPr>
        <w:t>терапия</w:t>
      </w:r>
      <w:r>
        <w:t xml:space="preserve"> </w:t>
      </w:r>
      <w:bookmarkEnd w:id="20"/>
    </w:p>
    <w:p w:rsidR="005A3F38" w:rsidRDefault="003114B5">
      <w:pPr>
        <w:spacing w:after="142"/>
        <w:ind w:left="219"/>
      </w:pPr>
      <w:r>
        <w:rPr>
          <w:rFonts w:ascii="Times New Roman" w:eastAsia="Times New Roman" w:hAnsi="Times New Roman" w:cs="Times New Roman"/>
          <w:i/>
          <w:sz w:val="24"/>
        </w:rPr>
        <w:t xml:space="preserve"> </w:t>
      </w:r>
    </w:p>
    <w:p w:rsidR="005A3F38" w:rsidRDefault="003114B5">
      <w:pPr>
        <w:spacing w:after="108"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Не рекомендуется у пациентов с неосложненным ОРВИ и гриппом, а также если заболевание сопровождается в первые 10-14 дней болезни риносинуситом, конъюнктивитом, ларингитом, крупом, бронхитом, бронхообструктивным синдромом назначение противомикробных препара</w:t>
      </w:r>
      <w:r>
        <w:rPr>
          <w:rFonts w:ascii="Times New Roman" w:eastAsia="Times New Roman" w:hAnsi="Times New Roman" w:cs="Times New Roman"/>
          <w:sz w:val="24"/>
        </w:rPr>
        <w:t xml:space="preserve">тов системного действия [21, 193, 194].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A; уровень достоверности доказательств - 1).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Антибактериальная терапия в случае неосложненной вирусной инфекции не только не предотвращает бактериальную суперинфекц</w:t>
      </w:r>
      <w:r>
        <w:rPr>
          <w:rFonts w:ascii="Times New Roman" w:eastAsia="Times New Roman" w:hAnsi="Times New Roman" w:cs="Times New Roman"/>
          <w:i/>
          <w:sz w:val="24"/>
        </w:rPr>
        <w:t xml:space="preserve">ию, но способствует ее развитию из-за подавления нормальной пневмотропной микробиоты.  </w:t>
      </w:r>
    </w:p>
    <w:p w:rsidR="005A3F38" w:rsidRDefault="003114B5">
      <w:pPr>
        <w:spacing w:after="4" w:line="365" w:lineRule="auto"/>
        <w:ind w:left="355" w:hanging="10"/>
      </w:pPr>
      <w:r>
        <w:rPr>
          <w:rFonts w:ascii="Times New Roman" w:eastAsia="Times New Roman" w:hAnsi="Times New Roman" w:cs="Times New Roman"/>
          <w:i/>
          <w:sz w:val="24"/>
        </w:rPr>
        <w:t xml:space="preserve">Антибактериальные препараты системного действия могут быть показаны детям с хронической патологией, </w:t>
      </w:r>
      <w:r>
        <w:rPr>
          <w:rFonts w:ascii="Times New Roman" w:eastAsia="Times New Roman" w:hAnsi="Times New Roman" w:cs="Times New Roman"/>
          <w:i/>
          <w:sz w:val="24"/>
        </w:rPr>
        <w:tab/>
        <w:t xml:space="preserve">затрагивающей </w:t>
      </w:r>
      <w:r>
        <w:rPr>
          <w:rFonts w:ascii="Times New Roman" w:eastAsia="Times New Roman" w:hAnsi="Times New Roman" w:cs="Times New Roman"/>
          <w:i/>
          <w:sz w:val="24"/>
        </w:rPr>
        <w:tab/>
        <w:t xml:space="preserve">бронхолегочную </w:t>
      </w:r>
      <w:r>
        <w:rPr>
          <w:rFonts w:ascii="Times New Roman" w:eastAsia="Times New Roman" w:hAnsi="Times New Roman" w:cs="Times New Roman"/>
          <w:i/>
          <w:sz w:val="24"/>
        </w:rPr>
        <w:tab/>
        <w:t xml:space="preserve">систему </w:t>
      </w:r>
      <w:r>
        <w:rPr>
          <w:rFonts w:ascii="Times New Roman" w:eastAsia="Times New Roman" w:hAnsi="Times New Roman" w:cs="Times New Roman"/>
          <w:i/>
          <w:sz w:val="24"/>
        </w:rPr>
        <w:tab/>
        <w:t xml:space="preserve">(например, </w:t>
      </w:r>
      <w:r>
        <w:rPr>
          <w:rFonts w:ascii="Times New Roman" w:eastAsia="Times New Roman" w:hAnsi="Times New Roman" w:cs="Times New Roman"/>
          <w:i/>
          <w:sz w:val="24"/>
        </w:rPr>
        <w:tab/>
        <w:t>муковисцидоз), иммунодефицитом, у которых есть риск обострения бактериального процесса; выбор препарата</w:t>
      </w:r>
      <w:r>
        <w:rPr>
          <w:rFonts w:ascii="Times New Roman" w:eastAsia="Times New Roman" w:hAnsi="Times New Roman" w:cs="Times New Roman"/>
          <w:i/>
          <w:sz w:val="24"/>
        </w:rPr>
        <w:t xml:space="preserve"> у них </w:t>
      </w:r>
      <w:r>
        <w:rPr>
          <w:rFonts w:ascii="Times New Roman" w:eastAsia="Times New Roman" w:hAnsi="Times New Roman" w:cs="Times New Roman"/>
          <w:i/>
          <w:sz w:val="24"/>
        </w:rPr>
        <w:tab/>
        <w:t xml:space="preserve">обычно </w:t>
      </w:r>
      <w:r>
        <w:rPr>
          <w:rFonts w:ascii="Times New Roman" w:eastAsia="Times New Roman" w:hAnsi="Times New Roman" w:cs="Times New Roman"/>
          <w:i/>
          <w:sz w:val="24"/>
        </w:rPr>
        <w:tab/>
        <w:t xml:space="preserve">предопределен </w:t>
      </w:r>
      <w:r>
        <w:rPr>
          <w:rFonts w:ascii="Times New Roman" w:eastAsia="Times New Roman" w:hAnsi="Times New Roman" w:cs="Times New Roman"/>
          <w:i/>
          <w:sz w:val="24"/>
        </w:rPr>
        <w:tab/>
        <w:t xml:space="preserve">микробиологическими </w:t>
      </w:r>
      <w:r>
        <w:rPr>
          <w:rFonts w:ascii="Times New Roman" w:eastAsia="Times New Roman" w:hAnsi="Times New Roman" w:cs="Times New Roman"/>
          <w:i/>
          <w:sz w:val="24"/>
        </w:rPr>
        <w:tab/>
        <w:t xml:space="preserve">характеристиками </w:t>
      </w:r>
      <w:r>
        <w:rPr>
          <w:rFonts w:ascii="Times New Roman" w:eastAsia="Times New Roman" w:hAnsi="Times New Roman" w:cs="Times New Roman"/>
          <w:i/>
          <w:sz w:val="24"/>
        </w:rPr>
        <w:tab/>
        <w:t xml:space="preserve">мокроты/жидкости бронхоальвеолярного лаважа. </w:t>
      </w:r>
    </w:p>
    <w:p w:rsidR="005A3F38" w:rsidRDefault="003114B5">
      <w:pPr>
        <w:spacing w:after="355"/>
        <w:ind w:left="1068"/>
      </w:pPr>
      <w:r>
        <w:rPr>
          <w:rFonts w:ascii="Times New Roman" w:eastAsia="Times New Roman" w:hAnsi="Times New Roman" w:cs="Times New Roman"/>
          <w:b/>
          <w:sz w:val="24"/>
        </w:rPr>
        <w:t xml:space="preserve"> </w:t>
      </w:r>
    </w:p>
    <w:p w:rsidR="005A3F38" w:rsidRDefault="003114B5">
      <w:pPr>
        <w:pStyle w:val="Heading2"/>
        <w:ind w:left="370"/>
      </w:pPr>
      <w:bookmarkStart w:id="21" w:name="_Toc141894"/>
      <w:r>
        <w:t xml:space="preserve">3.2 </w:t>
      </w:r>
      <w:r>
        <w:t>Хирургическое лечение</w:t>
      </w:r>
      <w:r>
        <w:rPr>
          <w:u w:val="none"/>
        </w:rPr>
        <w:t xml:space="preserve"> </w:t>
      </w:r>
      <w:bookmarkEnd w:id="21"/>
    </w:p>
    <w:p w:rsidR="005A3F38" w:rsidRDefault="003114B5">
      <w:pPr>
        <w:spacing w:after="355"/>
        <w:ind w:left="1078" w:right="2" w:hanging="10"/>
        <w:jc w:val="both"/>
      </w:pPr>
      <w:r>
        <w:rPr>
          <w:rFonts w:ascii="Times New Roman" w:eastAsia="Times New Roman" w:hAnsi="Times New Roman" w:cs="Times New Roman"/>
          <w:sz w:val="24"/>
        </w:rPr>
        <w:t xml:space="preserve">Не требуется </w:t>
      </w:r>
    </w:p>
    <w:p w:rsidR="005A3F38" w:rsidRDefault="003114B5">
      <w:pPr>
        <w:pStyle w:val="Heading2"/>
        <w:spacing w:after="151"/>
        <w:ind w:left="370"/>
      </w:pPr>
      <w:bookmarkStart w:id="22" w:name="_Toc141895"/>
      <w:r>
        <w:t>3.3 Иное лечение</w:t>
      </w:r>
      <w:r>
        <w:rPr>
          <w:u w:val="none"/>
        </w:rPr>
        <w:t xml:space="preserve"> </w:t>
      </w:r>
      <w:bookmarkEnd w:id="22"/>
    </w:p>
    <w:p w:rsidR="005A3F38" w:rsidRDefault="003114B5">
      <w:pPr>
        <w:pStyle w:val="Heading3"/>
        <w:ind w:left="355" w:right="0"/>
      </w:pPr>
      <w:bookmarkStart w:id="23" w:name="_Toc141896"/>
      <w:r>
        <w:t xml:space="preserve">3.3.1. </w:t>
      </w:r>
      <w:r>
        <w:t>Фитотерапия</w:t>
      </w:r>
      <w:r>
        <w:rPr>
          <w:b w:val="0"/>
          <w:i w:val="0"/>
        </w:rPr>
        <w:t xml:space="preserve"> </w:t>
      </w:r>
      <w:bookmarkEnd w:id="23"/>
    </w:p>
    <w:p w:rsidR="005A3F38" w:rsidRDefault="003114B5">
      <w:pPr>
        <w:spacing w:after="115"/>
        <w:ind w:left="360"/>
      </w:pPr>
      <w:r>
        <w:rPr>
          <w:rFonts w:ascii="Times New Roman" w:eastAsia="Times New Roman" w:hAnsi="Times New Roman" w:cs="Times New Roman"/>
          <w:i/>
          <w:sz w:val="24"/>
        </w:rPr>
        <w:t xml:space="preserve"> </w:t>
      </w:r>
    </w:p>
    <w:p w:rsidR="005A3F38" w:rsidRDefault="003114B5">
      <w:pPr>
        <w:spacing w:after="4" w:line="367" w:lineRule="auto"/>
        <w:ind w:left="355" w:hanging="10"/>
        <w:jc w:val="both"/>
      </w:pPr>
      <w:r>
        <w:rPr>
          <w:rFonts w:ascii="Times New Roman" w:eastAsia="Times New Roman" w:hAnsi="Times New Roman" w:cs="Times New Roman"/>
          <w:i/>
          <w:sz w:val="24"/>
        </w:rPr>
        <w:t>Несмотря на сложившееся широкое применение фитопрепаратов</w:t>
      </w:r>
      <w:r>
        <w:rPr>
          <w:rFonts w:ascii="Times New Roman" w:eastAsia="Times New Roman" w:hAnsi="Times New Roman" w:cs="Times New Roman"/>
          <w:i/>
          <w:sz w:val="24"/>
        </w:rPr>
        <w:t>, относящихся к группе отхаркивающих препаратов, кроме комбинаций с противокашлевыми средствами, доказательства, подтверждающие их эффективность у детей с ОРВИ с острым трахеитом, не высоки, - как вследствие отсутствия хорошо спланированных РКИ и наблюдени</w:t>
      </w:r>
      <w:r>
        <w:rPr>
          <w:rFonts w:ascii="Times New Roman" w:eastAsia="Times New Roman" w:hAnsi="Times New Roman" w:cs="Times New Roman"/>
          <w:i/>
          <w:sz w:val="24"/>
        </w:rPr>
        <w:t xml:space="preserve">й сравнительной эффективности, так и по причине лишь единичных данных о стандартизованном подходе к производству субстанций. </w:t>
      </w:r>
    </w:p>
    <w:p w:rsidR="005A3F38" w:rsidRDefault="003114B5">
      <w:pPr>
        <w:spacing w:after="5"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Рекомендовано детям с признаками острого трахеита, продуктивным кашлем с трудноотделяемой мокротой, в случае отсутствия противоп</w:t>
      </w:r>
      <w:r>
        <w:rPr>
          <w:rFonts w:ascii="Times New Roman" w:eastAsia="Times New Roman" w:hAnsi="Times New Roman" w:cs="Times New Roman"/>
          <w:sz w:val="24"/>
        </w:rPr>
        <w:t xml:space="preserve">оказаний, селективное назначение: - препарата Плюща обыкновенного листьев экстракт (с отхаркивающим, муколитическим и спазмолитическим действием), выпускается в каплях (для детей старше 2-х лет) и сиропе (разрешен с грудного возраста) </w:t>
      </w:r>
    </w:p>
    <w:p w:rsidR="005A3F38" w:rsidRDefault="003114B5">
      <w:pPr>
        <w:numPr>
          <w:ilvl w:val="0"/>
          <w:numId w:val="15"/>
        </w:numPr>
        <w:spacing w:after="5" w:line="364" w:lineRule="auto"/>
        <w:ind w:right="2" w:hanging="10"/>
        <w:jc w:val="both"/>
      </w:pPr>
      <w:r>
        <w:rPr>
          <w:rFonts w:ascii="Times New Roman" w:eastAsia="Times New Roman" w:hAnsi="Times New Roman" w:cs="Times New Roman"/>
          <w:sz w:val="24"/>
        </w:rPr>
        <w:t xml:space="preserve">препарата на основе </w:t>
      </w:r>
      <w:r>
        <w:rPr>
          <w:rFonts w:ascii="Times New Roman" w:eastAsia="Times New Roman" w:hAnsi="Times New Roman" w:cs="Times New Roman"/>
          <w:sz w:val="24"/>
        </w:rPr>
        <w:t xml:space="preserve">комбинации Первоцвета корней экстракт+Тимьяна травы экстракт; выпускается в таблетках и предназначен для детей с 12-летнего возраста;  </w:t>
      </w:r>
    </w:p>
    <w:p w:rsidR="005A3F38" w:rsidRDefault="003114B5">
      <w:pPr>
        <w:numPr>
          <w:ilvl w:val="0"/>
          <w:numId w:val="15"/>
        </w:numPr>
        <w:spacing w:after="5" w:line="364" w:lineRule="auto"/>
        <w:ind w:right="2" w:hanging="10"/>
        <w:jc w:val="both"/>
      </w:pPr>
      <w:r>
        <w:rPr>
          <w:rFonts w:ascii="Times New Roman" w:eastAsia="Times New Roman" w:hAnsi="Times New Roman" w:cs="Times New Roman"/>
          <w:sz w:val="24"/>
        </w:rPr>
        <w:t>препарата на основе комбинации Плюща обыкновенного листьев экстракт+Тимьяна травы экстракт, выпускается в сиропе, разреш</w:t>
      </w:r>
      <w:r>
        <w:rPr>
          <w:rFonts w:ascii="Times New Roman" w:eastAsia="Times New Roman" w:hAnsi="Times New Roman" w:cs="Times New Roman"/>
          <w:sz w:val="24"/>
        </w:rPr>
        <w:t xml:space="preserve">ен детям старше 2 лет. </w:t>
      </w:r>
    </w:p>
    <w:p w:rsidR="005A3F38" w:rsidRDefault="003114B5">
      <w:pPr>
        <w:spacing w:after="5" w:line="364" w:lineRule="auto"/>
        <w:ind w:left="355" w:right="2" w:hanging="10"/>
        <w:jc w:val="both"/>
      </w:pPr>
      <w:r>
        <w:rPr>
          <w:rFonts w:ascii="Times New Roman" w:eastAsia="Times New Roman" w:hAnsi="Times New Roman" w:cs="Times New Roman"/>
          <w:sz w:val="24"/>
        </w:rPr>
        <w:t xml:space="preserve">Либо других препаратов на растительной основе, предназначенных для лечения острого трахеита, при отсутствии противопоказаний с целью облегчения отхождения мокроты [152, 154, 155, 156, 157, 158, 336, 337, 338].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- 2). </w:t>
      </w:r>
    </w:p>
    <w:p w:rsidR="005A3F38" w:rsidRDefault="003114B5">
      <w:pPr>
        <w:spacing w:after="156"/>
        <w:ind w:left="360"/>
      </w:pPr>
      <w:r>
        <w:rPr>
          <w:rFonts w:ascii="Times New Roman" w:eastAsia="Times New Roman" w:hAnsi="Times New Roman" w:cs="Times New Roman"/>
          <w:i/>
          <w:sz w:val="24"/>
        </w:rPr>
        <w:t xml:space="preserve"> </w:t>
      </w:r>
    </w:p>
    <w:p w:rsidR="005A3F38" w:rsidRDefault="003114B5">
      <w:pPr>
        <w:pStyle w:val="Heading3"/>
        <w:ind w:left="355" w:right="0"/>
      </w:pPr>
      <w:bookmarkStart w:id="24" w:name="_Toc141897"/>
      <w:r>
        <w:t xml:space="preserve">3.3.2 Диета на фоне ОРВИ </w:t>
      </w:r>
      <w:r>
        <w:t xml:space="preserve"> </w:t>
      </w:r>
      <w:bookmarkEnd w:id="24"/>
    </w:p>
    <w:p w:rsidR="005A3F38" w:rsidRDefault="003114B5">
      <w:pPr>
        <w:spacing w:after="4" w:line="367" w:lineRule="auto"/>
        <w:ind w:left="345" w:firstLine="708"/>
        <w:jc w:val="both"/>
      </w:pPr>
      <w:r>
        <w:rPr>
          <w:rFonts w:ascii="Times New Roman" w:eastAsia="Times New Roman" w:hAnsi="Times New Roman" w:cs="Times New Roman"/>
          <w:i/>
          <w:sz w:val="24"/>
        </w:rPr>
        <w:t>Отдельных исследований по питанию во время ОРВИ не проводилось; большинство экспертов, врачей и исследователей согласно с тем, что детей не след</w:t>
      </w:r>
      <w:r>
        <w:rPr>
          <w:rFonts w:ascii="Times New Roman" w:eastAsia="Times New Roman" w:hAnsi="Times New Roman" w:cs="Times New Roman"/>
          <w:i/>
          <w:sz w:val="24"/>
        </w:rPr>
        <w:t>ует заставлять есть во время лихорадки (оптимальным считается питание «по аппетиту»)</w:t>
      </w:r>
      <w:r>
        <w:rPr>
          <w:rFonts w:ascii="Times New Roman" w:eastAsia="Times New Roman" w:hAnsi="Times New Roman" w:cs="Times New Roman"/>
          <w:sz w:val="20"/>
        </w:rPr>
        <w:t xml:space="preserve"> </w:t>
      </w:r>
      <w:r>
        <w:rPr>
          <w:rFonts w:ascii="Times New Roman" w:eastAsia="Times New Roman" w:hAnsi="Times New Roman" w:cs="Times New Roman"/>
          <w:i/>
          <w:sz w:val="24"/>
        </w:rPr>
        <w:t xml:space="preserve">[65].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Питьевой режим должен быть рациональным – </w:t>
      </w:r>
      <w:r>
        <w:rPr>
          <w:rFonts w:ascii="Times New Roman" w:eastAsia="Times New Roman" w:hAnsi="Times New Roman" w:cs="Times New Roman"/>
          <w:i/>
          <w:sz w:val="24"/>
        </w:rPr>
        <w:t xml:space="preserve">польза обильного выпаивания сомнительна, а повышение секреции антидиуретического гормона в период болезни, напротив, способствует задержке жидкости [65, 195,].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На основании оценки степени дегидратации (раздел 2.2, приложение Г1) определяют потребность в</w:t>
      </w:r>
      <w:r>
        <w:rPr>
          <w:rFonts w:ascii="Times New Roman" w:eastAsia="Times New Roman" w:hAnsi="Times New Roman" w:cs="Times New Roman"/>
          <w:i/>
          <w:sz w:val="24"/>
        </w:rPr>
        <w:t xml:space="preserve"> коррекции водно-электролитного баланса - по показаниям может быть проведена оральная или парентералльная регидратация (раздел 3.1). </w:t>
      </w:r>
    </w:p>
    <w:p w:rsidR="005A3F38" w:rsidRDefault="003114B5">
      <w:pPr>
        <w:spacing w:after="4" w:line="367" w:lineRule="auto"/>
        <w:ind w:left="345" w:firstLine="708"/>
        <w:jc w:val="both"/>
      </w:pPr>
      <w:r>
        <w:rPr>
          <w:rFonts w:ascii="Times New Roman" w:eastAsia="Times New Roman" w:hAnsi="Times New Roman" w:cs="Times New Roman"/>
          <w:i/>
          <w:sz w:val="24"/>
        </w:rPr>
        <w:t>Следует информировать родителей о важности оральной регидратации ребенка специальными глюкозо-солевыми растворами (!! не р</w:t>
      </w:r>
      <w:r>
        <w:rPr>
          <w:rFonts w:ascii="Times New Roman" w:eastAsia="Times New Roman" w:hAnsi="Times New Roman" w:cs="Times New Roman"/>
          <w:i/>
          <w:sz w:val="24"/>
        </w:rPr>
        <w:t xml:space="preserve">аствором декстрозы**) при лихорадке более 38°С. </w:t>
      </w:r>
    </w:p>
    <w:p w:rsidR="005A3F38" w:rsidRDefault="003114B5">
      <w:pPr>
        <w:spacing w:after="153"/>
        <w:ind w:left="927"/>
      </w:pPr>
      <w:r>
        <w:rPr>
          <w:rFonts w:ascii="Times New Roman" w:eastAsia="Times New Roman" w:hAnsi="Times New Roman" w:cs="Times New Roman"/>
          <w:b/>
          <w:i/>
          <w:sz w:val="24"/>
        </w:rPr>
        <w:t xml:space="preserve"> </w:t>
      </w:r>
    </w:p>
    <w:p w:rsidR="005A3F38" w:rsidRDefault="003114B5">
      <w:pPr>
        <w:pStyle w:val="Heading3"/>
        <w:ind w:left="355" w:right="0"/>
      </w:pPr>
      <w:bookmarkStart w:id="25" w:name="_Toc141898"/>
      <w:r>
        <w:t>3.3.2. Нефармакологические средства</w:t>
      </w:r>
      <w:r>
        <w:t xml:space="preserve"> </w:t>
      </w:r>
      <w:bookmarkEnd w:id="25"/>
    </w:p>
    <w:p w:rsidR="005A3F38" w:rsidRDefault="003114B5">
      <w:pPr>
        <w:spacing w:after="4" w:line="367" w:lineRule="auto"/>
        <w:ind w:left="345" w:firstLine="708"/>
        <w:jc w:val="both"/>
      </w:pPr>
      <w:r>
        <w:rPr>
          <w:rFonts w:ascii="Times New Roman" w:eastAsia="Times New Roman" w:hAnsi="Times New Roman" w:cs="Times New Roman"/>
          <w:i/>
          <w:sz w:val="24"/>
        </w:rPr>
        <w:t>Понимание ОРВИ как легкого, самокупирующегося и, в большинстве случаев, не требующего фармакотерапии, состояния, может избавить пациента как от избыточных диагностическ</w:t>
      </w:r>
      <w:r>
        <w:rPr>
          <w:rFonts w:ascii="Times New Roman" w:eastAsia="Times New Roman" w:hAnsi="Times New Roman" w:cs="Times New Roman"/>
          <w:i/>
          <w:sz w:val="24"/>
        </w:rPr>
        <w:t xml:space="preserve">их вмешательств, так и от ненужных лекарственных назначений. </w:t>
      </w:r>
    </w:p>
    <w:p w:rsidR="005A3F38" w:rsidRDefault="003114B5">
      <w:pPr>
        <w:spacing w:after="4" w:line="367" w:lineRule="auto"/>
        <w:ind w:left="345" w:firstLine="708"/>
        <w:jc w:val="both"/>
      </w:pPr>
      <w:r>
        <w:rPr>
          <w:rFonts w:ascii="Times New Roman" w:eastAsia="Times New Roman" w:hAnsi="Times New Roman" w:cs="Times New Roman"/>
          <w:i/>
          <w:sz w:val="24"/>
        </w:rPr>
        <w:t>Особый интерес представляют результаты современных исследований использования различных нефармацевтических, «домашних», методов. Так, показано, что применение меда/лимона/травяных чаев для лечен</w:t>
      </w:r>
      <w:r>
        <w:rPr>
          <w:rFonts w:ascii="Times New Roman" w:eastAsia="Times New Roman" w:hAnsi="Times New Roman" w:cs="Times New Roman"/>
          <w:i/>
          <w:sz w:val="24"/>
        </w:rPr>
        <w:t xml:space="preserve">ия симптомов ОРВИ может быть эффективным и избавить от необходимости назначения фармпрепаратов. У пациентов, не имеющих в анамнезе аллергии, эти средства могут быть рассмотрены в качестве безопасной альтернативы для симптоматического лечения ОРВИ </w:t>
      </w:r>
      <w:r>
        <w:rPr>
          <w:rFonts w:ascii="Times New Roman" w:eastAsia="Times New Roman" w:hAnsi="Times New Roman" w:cs="Times New Roman"/>
          <w:sz w:val="24"/>
        </w:rPr>
        <w:t>[159, 160</w:t>
      </w:r>
      <w:r>
        <w:rPr>
          <w:rFonts w:ascii="Times New Roman" w:eastAsia="Times New Roman" w:hAnsi="Times New Roman" w:cs="Times New Roman"/>
          <w:sz w:val="24"/>
        </w:rPr>
        <w:t xml:space="preserve">, 161, 162] </w:t>
      </w:r>
    </w:p>
    <w:p w:rsidR="005A3F38" w:rsidRDefault="003114B5">
      <w:pPr>
        <w:spacing w:after="140"/>
        <w:ind w:left="1068"/>
      </w:pPr>
      <w:r>
        <w:rPr>
          <w:rFonts w:ascii="Times New Roman" w:eastAsia="Times New Roman" w:hAnsi="Times New Roman" w:cs="Times New Roman"/>
          <w:sz w:val="24"/>
        </w:rPr>
        <w:t xml:space="preserve"> </w:t>
      </w:r>
    </w:p>
    <w:p w:rsidR="005A3F38" w:rsidRDefault="003114B5">
      <w:pPr>
        <w:spacing w:after="5"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Не рекомендовано применение гомеопатических средств для лечения ОРВИ у детей в связи с отсутствием доказательств эффективности [163, 164, 165, 192].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A; уровень достоверности доказательств - 1). </w:t>
      </w:r>
    </w:p>
    <w:p w:rsidR="005A3F38" w:rsidRDefault="003114B5">
      <w:pPr>
        <w:spacing w:after="112"/>
        <w:ind w:left="927"/>
      </w:pPr>
      <w:r>
        <w:rPr>
          <w:rFonts w:ascii="Times New Roman" w:eastAsia="Times New Roman" w:hAnsi="Times New Roman" w:cs="Times New Roman"/>
          <w:b/>
          <w:i/>
          <w:sz w:val="24"/>
        </w:rPr>
        <w:t xml:space="preserve"> </w:t>
      </w:r>
    </w:p>
    <w:p w:rsidR="005A3F38" w:rsidRDefault="003114B5">
      <w:pPr>
        <w:pStyle w:val="Heading1"/>
        <w:spacing w:after="1" w:line="357" w:lineRule="auto"/>
        <w:ind w:left="370"/>
      </w:pPr>
      <w:bookmarkStart w:id="26" w:name="_Toc141899"/>
      <w:r>
        <w:rPr>
          <w:sz w:val="24"/>
          <w:u w:val="single" w:color="000000"/>
        </w:rPr>
        <w:t xml:space="preserve">4. </w:t>
      </w:r>
      <w:r>
        <w:rPr>
          <w:sz w:val="24"/>
          <w:u w:val="single" w:color="000000"/>
        </w:rPr>
        <w:t>Медицинская реабилитация и санаторно</w:t>
      </w:r>
      <w:r>
        <w:rPr>
          <w:sz w:val="24"/>
          <w:u w:val="single" w:color="000000"/>
        </w:rPr>
        <w:t>-</w:t>
      </w:r>
      <w:r>
        <w:rPr>
          <w:sz w:val="24"/>
          <w:u w:val="single" w:color="000000"/>
        </w:rPr>
        <w:t>курортное лечение, медицинские показания и</w:t>
      </w:r>
      <w:r>
        <w:rPr>
          <w:sz w:val="24"/>
        </w:rPr>
        <w:t xml:space="preserve"> </w:t>
      </w:r>
      <w:r>
        <w:rPr>
          <w:sz w:val="24"/>
          <w:u w:val="single" w:color="000000"/>
        </w:rPr>
        <w:t>противопоказания к применению методов медицинской реабилитации, в том числе</w:t>
      </w:r>
      <w:r>
        <w:rPr>
          <w:sz w:val="24"/>
        </w:rPr>
        <w:t xml:space="preserve"> </w:t>
      </w:r>
      <w:r>
        <w:rPr>
          <w:sz w:val="24"/>
          <w:u w:val="single" w:color="000000"/>
        </w:rPr>
        <w:t>основанных на использовании природных лечебных факторов</w:t>
      </w:r>
      <w:r>
        <w:rPr>
          <w:sz w:val="24"/>
        </w:rPr>
        <w:t xml:space="preserve"> </w:t>
      </w:r>
      <w:bookmarkEnd w:id="26"/>
    </w:p>
    <w:p w:rsidR="005A3F38" w:rsidRDefault="003114B5">
      <w:pPr>
        <w:spacing w:after="112"/>
        <w:ind w:left="1078" w:hanging="10"/>
        <w:jc w:val="both"/>
      </w:pPr>
      <w:r>
        <w:rPr>
          <w:rFonts w:ascii="Times New Roman" w:eastAsia="Times New Roman" w:hAnsi="Times New Roman" w:cs="Times New Roman"/>
          <w:i/>
          <w:sz w:val="24"/>
        </w:rPr>
        <w:t xml:space="preserve">В большинстве случаев - не требуется </w:t>
      </w:r>
    </w:p>
    <w:p w:rsidR="005A3F38" w:rsidRDefault="003114B5">
      <w:pPr>
        <w:spacing w:after="4" w:line="367" w:lineRule="auto"/>
        <w:ind w:left="345" w:firstLine="708"/>
        <w:jc w:val="both"/>
      </w:pPr>
      <w:r>
        <w:rPr>
          <w:rFonts w:ascii="Times New Roman" w:eastAsia="Times New Roman" w:hAnsi="Times New Roman" w:cs="Times New Roman"/>
          <w:i/>
          <w:sz w:val="24"/>
        </w:rPr>
        <w:t>Остры</w:t>
      </w:r>
      <w:r>
        <w:rPr>
          <w:rFonts w:ascii="Times New Roman" w:eastAsia="Times New Roman" w:hAnsi="Times New Roman" w:cs="Times New Roman"/>
          <w:i/>
          <w:sz w:val="24"/>
        </w:rPr>
        <w:t>е инфекционные заболевания являются противопоказанием для проведения санаторнокурортного лечения</w:t>
      </w:r>
      <w:r>
        <w:rPr>
          <w:rFonts w:ascii="Times New Roman" w:eastAsia="Times New Roman" w:hAnsi="Times New Roman" w:cs="Times New Roman"/>
          <w:sz w:val="24"/>
        </w:rPr>
        <w:t xml:space="preserve"> </w:t>
      </w:r>
    </w:p>
    <w:p w:rsidR="005A3F38" w:rsidRDefault="003114B5">
      <w:pPr>
        <w:spacing w:after="5" w:line="364" w:lineRule="auto"/>
        <w:ind w:left="355"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b/>
          <w:sz w:val="24"/>
        </w:rPr>
        <w:t xml:space="preserve">Рекомендовано селективное проведение </w:t>
      </w:r>
      <w:r>
        <w:rPr>
          <w:rFonts w:ascii="Times New Roman" w:eastAsia="Times New Roman" w:hAnsi="Times New Roman" w:cs="Times New Roman"/>
          <w:sz w:val="24"/>
        </w:rPr>
        <w:t>реабилитационных мероприятий и санаторнокурортного лечения детям, часто переносящим ОРВИ с целью укрепления общего здор</w:t>
      </w:r>
      <w:r>
        <w:rPr>
          <w:rFonts w:ascii="Times New Roman" w:eastAsia="Times New Roman" w:hAnsi="Times New Roman" w:cs="Times New Roman"/>
          <w:sz w:val="24"/>
        </w:rPr>
        <w:t xml:space="preserve">овья [166, 167].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Комментарии:  </w:t>
      </w:r>
    </w:p>
    <w:p w:rsidR="005A3F38" w:rsidRDefault="003114B5">
      <w:pPr>
        <w:spacing w:after="4" w:line="367" w:lineRule="auto"/>
        <w:ind w:left="355" w:hanging="10"/>
        <w:jc w:val="both"/>
      </w:pPr>
      <w:r>
        <w:rPr>
          <w:rFonts w:ascii="Times New Roman" w:eastAsia="Times New Roman" w:hAnsi="Times New Roman" w:cs="Times New Roman"/>
          <w:i/>
          <w:sz w:val="24"/>
        </w:rPr>
        <w:t>Имеются публикации о том, что выброс кортизола при стрессе может отрицательно повлиять на иммунный ответ и повысить восприимчивость к респирато</w:t>
      </w:r>
      <w:r>
        <w:rPr>
          <w:rFonts w:ascii="Times New Roman" w:eastAsia="Times New Roman" w:hAnsi="Times New Roman" w:cs="Times New Roman"/>
          <w:i/>
          <w:sz w:val="24"/>
        </w:rPr>
        <w:t xml:space="preserve">рным инфекциям [168].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Описано пагубное влияние табачного дыма, продуктов сгорания [169], дефицита сна [170, 171, 172], недостаточности питания [173, 174, 175] на частоту респираторных инфекций.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Высоко вероятна отрицательная роль общего охлаждения организма [173, 174, 175], которого желательно избегать. </w:t>
      </w:r>
    </w:p>
    <w:p w:rsidR="005A3F38" w:rsidRDefault="003114B5">
      <w:pPr>
        <w:spacing w:after="4" w:line="367" w:lineRule="auto"/>
        <w:ind w:left="345" w:firstLine="708"/>
        <w:jc w:val="both"/>
      </w:pPr>
      <w:r>
        <w:rPr>
          <w:rFonts w:ascii="Times New Roman" w:eastAsia="Times New Roman" w:hAnsi="Times New Roman" w:cs="Times New Roman"/>
          <w:i/>
          <w:sz w:val="24"/>
        </w:rPr>
        <w:t>При этом есть сообщения о положительном влиянии умеренных физических нагрузок (уменьшение частоты и выраженности проявлений респираторных инфекци</w:t>
      </w:r>
      <w:r>
        <w:rPr>
          <w:rFonts w:ascii="Times New Roman" w:eastAsia="Times New Roman" w:hAnsi="Times New Roman" w:cs="Times New Roman"/>
          <w:i/>
          <w:sz w:val="24"/>
        </w:rPr>
        <w:t xml:space="preserve">й), однако в настоящее время убедительных доказательств не получено, требуются дальнейшие исследования [176, 177]. </w:t>
      </w:r>
    </w:p>
    <w:p w:rsidR="005A3F38" w:rsidRDefault="003114B5">
      <w:pPr>
        <w:spacing w:after="4" w:line="367" w:lineRule="auto"/>
        <w:ind w:left="355" w:hanging="10"/>
        <w:jc w:val="both"/>
      </w:pPr>
      <w:r>
        <w:rPr>
          <w:rFonts w:ascii="Times New Roman" w:eastAsia="Times New Roman" w:hAnsi="Times New Roman" w:cs="Times New Roman"/>
          <w:i/>
          <w:sz w:val="24"/>
        </w:rPr>
        <w:t>При развитии осложнений или обострении сопутствующих заболеваний реабилитационные мероприятия назначаются врачами-специалистами соответствую</w:t>
      </w:r>
      <w:r>
        <w:rPr>
          <w:rFonts w:ascii="Times New Roman" w:eastAsia="Times New Roman" w:hAnsi="Times New Roman" w:cs="Times New Roman"/>
          <w:i/>
          <w:sz w:val="24"/>
        </w:rPr>
        <w:t xml:space="preserve">щего профиля. </w:t>
      </w:r>
    </w:p>
    <w:p w:rsidR="005A3F38" w:rsidRDefault="003114B5">
      <w:pPr>
        <w:spacing w:after="112"/>
        <w:ind w:left="1068"/>
      </w:pPr>
      <w:r>
        <w:rPr>
          <w:rFonts w:ascii="Times New Roman" w:eastAsia="Times New Roman" w:hAnsi="Times New Roman" w:cs="Times New Roman"/>
          <w:sz w:val="24"/>
        </w:rPr>
        <w:t xml:space="preserve"> </w:t>
      </w:r>
    </w:p>
    <w:p w:rsidR="005A3F38" w:rsidRDefault="003114B5">
      <w:pPr>
        <w:pStyle w:val="Heading1"/>
        <w:spacing w:after="109" w:line="265" w:lineRule="auto"/>
        <w:ind w:left="370"/>
      </w:pPr>
      <w:bookmarkStart w:id="27" w:name="_Toc141900"/>
      <w:r>
        <w:rPr>
          <w:sz w:val="24"/>
          <w:u w:val="single" w:color="000000"/>
        </w:rPr>
        <w:t xml:space="preserve">5. </w:t>
      </w:r>
      <w:r>
        <w:rPr>
          <w:sz w:val="24"/>
          <w:u w:val="single" w:color="000000"/>
        </w:rPr>
        <w:t>Профилактика и диспансерное наблюдение, медицинские показания и противопоказания к</w:t>
      </w:r>
      <w:r>
        <w:rPr>
          <w:sz w:val="24"/>
        </w:rPr>
        <w:t xml:space="preserve"> </w:t>
      </w:r>
      <w:bookmarkEnd w:id="27"/>
    </w:p>
    <w:p w:rsidR="005A3F38" w:rsidRDefault="003114B5">
      <w:pPr>
        <w:pStyle w:val="Heading1"/>
        <w:spacing w:after="109" w:line="265" w:lineRule="auto"/>
        <w:ind w:left="370"/>
      </w:pPr>
      <w:bookmarkStart w:id="28" w:name="_Toc141901"/>
      <w:r>
        <w:rPr>
          <w:sz w:val="24"/>
          <w:u w:val="single" w:color="000000"/>
        </w:rPr>
        <w:t>применению методов профилактики</w:t>
      </w:r>
      <w:r>
        <w:rPr>
          <w:sz w:val="24"/>
        </w:rPr>
        <w:t xml:space="preserve"> </w:t>
      </w:r>
      <w:bookmarkEnd w:id="28"/>
    </w:p>
    <w:p w:rsidR="005A3F38" w:rsidRDefault="003114B5">
      <w:pPr>
        <w:spacing w:after="4" w:line="367" w:lineRule="auto"/>
        <w:ind w:left="345" w:firstLine="566"/>
        <w:jc w:val="both"/>
      </w:pPr>
      <w:r>
        <w:rPr>
          <w:rFonts w:ascii="Times New Roman" w:eastAsia="Times New Roman" w:hAnsi="Times New Roman" w:cs="Times New Roman"/>
          <w:i/>
          <w:sz w:val="24"/>
        </w:rPr>
        <w:t xml:space="preserve">Профилактические мероприятия направлены на раннюю и активную диагностику </w:t>
      </w:r>
      <w:r>
        <w:rPr>
          <w:rFonts w:ascii="Times New Roman" w:eastAsia="Times New Roman" w:hAnsi="Times New Roman" w:cs="Times New Roman"/>
          <w:i/>
          <w:sz w:val="24"/>
        </w:rPr>
        <w:t xml:space="preserve">ОРВИ и возможных осложнений, изоляцию пациентов из организованных коллективов.  </w:t>
      </w:r>
    </w:p>
    <w:p w:rsidR="005A3F38" w:rsidRDefault="003114B5">
      <w:pPr>
        <w:spacing w:after="115"/>
        <w:ind w:left="927"/>
      </w:pPr>
      <w:r>
        <w:rPr>
          <w:rFonts w:ascii="Times New Roman" w:eastAsia="Times New Roman" w:hAnsi="Times New Roman" w:cs="Times New Roman"/>
          <w:b/>
          <w:sz w:val="24"/>
        </w:rPr>
        <w:t xml:space="preserve"> </w:t>
      </w:r>
    </w:p>
    <w:p w:rsidR="005A3F38" w:rsidRDefault="003114B5">
      <w:pPr>
        <w:pStyle w:val="Heading2"/>
        <w:spacing w:after="127" w:line="249" w:lineRule="auto"/>
        <w:ind w:left="937"/>
        <w:jc w:val="left"/>
      </w:pPr>
      <w:bookmarkStart w:id="29" w:name="_Toc141902"/>
      <w:r>
        <w:rPr>
          <w:u w:val="none"/>
        </w:rPr>
        <w:t>5.1 Профилактика острых инфекций</w:t>
      </w:r>
      <w:r>
        <w:rPr>
          <w:u w:val="none"/>
        </w:rPr>
        <w:t xml:space="preserve"> </w:t>
      </w:r>
      <w:bookmarkEnd w:id="29"/>
    </w:p>
    <w:p w:rsidR="005A3F38" w:rsidRDefault="003114B5">
      <w:pPr>
        <w:spacing w:after="142"/>
        <w:ind w:left="1068"/>
      </w:pPr>
      <w:r>
        <w:rPr>
          <w:rFonts w:ascii="Times New Roman" w:eastAsia="Times New Roman" w:hAnsi="Times New Roman" w:cs="Times New Roman"/>
          <w:sz w:val="24"/>
        </w:rPr>
        <w:t xml:space="preserve"> </w:t>
      </w:r>
    </w:p>
    <w:p w:rsidR="005A3F38" w:rsidRDefault="003114B5">
      <w:pPr>
        <w:numPr>
          <w:ilvl w:val="0"/>
          <w:numId w:val="16"/>
        </w:numPr>
        <w:spacing w:after="5" w:line="364" w:lineRule="auto"/>
        <w:ind w:hanging="360"/>
        <w:jc w:val="both"/>
      </w:pPr>
      <w:r>
        <w:rPr>
          <w:rFonts w:ascii="Times New Roman" w:eastAsia="Times New Roman" w:hAnsi="Times New Roman" w:cs="Times New Roman"/>
          <w:sz w:val="24"/>
        </w:rPr>
        <w:t>Рекомендуется проведение профилактических мероприятий, препятствующих распространению вирусов: тщательное мытье рук после контакта с забо</w:t>
      </w:r>
      <w:r>
        <w:rPr>
          <w:rFonts w:ascii="Times New Roman" w:eastAsia="Times New Roman" w:hAnsi="Times New Roman" w:cs="Times New Roman"/>
          <w:sz w:val="24"/>
        </w:rPr>
        <w:t>левшим, ношение масок, мытье поверхностей в окружении заболевшего, в медицинских организациях – соблюдение санитарно-эпидемического режима, соответствующая обработка фонендоскопов, отоскопов, использование одноразовых полотенец, в детских учреждениях – быс</w:t>
      </w:r>
      <w:r>
        <w:rPr>
          <w:rFonts w:ascii="Times New Roman" w:eastAsia="Times New Roman" w:hAnsi="Times New Roman" w:cs="Times New Roman"/>
          <w:sz w:val="24"/>
        </w:rPr>
        <w:t xml:space="preserve">трая изоляция заболевших детей, соблюдение режима проветривания [214].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- 1). </w:t>
      </w:r>
    </w:p>
    <w:p w:rsidR="005A3F38" w:rsidRDefault="003114B5">
      <w:pPr>
        <w:spacing w:after="127" w:line="249" w:lineRule="auto"/>
        <w:ind w:left="355" w:hanging="10"/>
      </w:pPr>
      <w:r>
        <w:rPr>
          <w:rFonts w:ascii="Times New Roman" w:eastAsia="Times New Roman" w:hAnsi="Times New Roman" w:cs="Times New Roman"/>
          <w:b/>
          <w:sz w:val="24"/>
        </w:rPr>
        <w:t xml:space="preserve">Комментарии: </w:t>
      </w:r>
    </w:p>
    <w:p w:rsidR="005A3F38" w:rsidRDefault="003114B5">
      <w:pPr>
        <w:spacing w:after="4" w:line="367" w:lineRule="auto"/>
        <w:ind w:left="355" w:hanging="10"/>
        <w:jc w:val="both"/>
      </w:pPr>
      <w:r>
        <w:rPr>
          <w:rFonts w:ascii="Times New Roman" w:eastAsia="Times New Roman" w:hAnsi="Times New Roman" w:cs="Times New Roman"/>
          <w:i/>
          <w:sz w:val="24"/>
        </w:rPr>
        <w:t>Физические меры по предотвращению распространения респираторных вирусов между людьми вк</w:t>
      </w:r>
      <w:r>
        <w:rPr>
          <w:rFonts w:ascii="Times New Roman" w:eastAsia="Times New Roman" w:hAnsi="Times New Roman" w:cs="Times New Roman"/>
          <w:i/>
          <w:sz w:val="24"/>
        </w:rPr>
        <w:t xml:space="preserve">лючают: </w:t>
      </w:r>
    </w:p>
    <w:p w:rsidR="005A3F38" w:rsidRDefault="003114B5">
      <w:pPr>
        <w:numPr>
          <w:ilvl w:val="0"/>
          <w:numId w:val="16"/>
        </w:numPr>
        <w:spacing w:after="94"/>
        <w:ind w:hanging="360"/>
        <w:jc w:val="both"/>
      </w:pPr>
      <w:r>
        <w:rPr>
          <w:rFonts w:ascii="Times New Roman" w:eastAsia="Times New Roman" w:hAnsi="Times New Roman" w:cs="Times New Roman"/>
          <w:i/>
          <w:sz w:val="24"/>
        </w:rPr>
        <w:t xml:space="preserve">частое мытье рук; </w:t>
      </w:r>
    </w:p>
    <w:p w:rsidR="005A3F38" w:rsidRDefault="003114B5">
      <w:pPr>
        <w:numPr>
          <w:ilvl w:val="0"/>
          <w:numId w:val="16"/>
        </w:numPr>
        <w:spacing w:after="96"/>
        <w:ind w:hanging="360"/>
        <w:jc w:val="both"/>
      </w:pPr>
      <w:r>
        <w:rPr>
          <w:rFonts w:ascii="Times New Roman" w:eastAsia="Times New Roman" w:hAnsi="Times New Roman" w:cs="Times New Roman"/>
          <w:i/>
          <w:sz w:val="24"/>
        </w:rPr>
        <w:t xml:space="preserve">не прикасаться к глазам, носу или рту; </w:t>
      </w:r>
    </w:p>
    <w:p w:rsidR="005A3F38" w:rsidRDefault="003114B5">
      <w:pPr>
        <w:numPr>
          <w:ilvl w:val="0"/>
          <w:numId w:val="16"/>
        </w:numPr>
        <w:spacing w:after="4"/>
        <w:ind w:hanging="360"/>
        <w:jc w:val="both"/>
      </w:pPr>
      <w:r>
        <w:rPr>
          <w:rFonts w:ascii="Times New Roman" w:eastAsia="Times New Roman" w:hAnsi="Times New Roman" w:cs="Times New Roman"/>
          <w:i/>
          <w:sz w:val="24"/>
        </w:rPr>
        <w:t xml:space="preserve">чихание или кашель в локоть; </w:t>
      </w:r>
    </w:p>
    <w:p w:rsidR="005A3F38" w:rsidRDefault="003114B5">
      <w:pPr>
        <w:numPr>
          <w:ilvl w:val="0"/>
          <w:numId w:val="16"/>
        </w:numPr>
        <w:spacing w:after="96"/>
        <w:ind w:hanging="360"/>
        <w:jc w:val="both"/>
      </w:pPr>
      <w:r>
        <w:rPr>
          <w:rFonts w:ascii="Times New Roman" w:eastAsia="Times New Roman" w:hAnsi="Times New Roman" w:cs="Times New Roman"/>
          <w:i/>
          <w:sz w:val="24"/>
        </w:rPr>
        <w:t xml:space="preserve">протирание поверхностей дезинфицирующим средством; </w:t>
      </w:r>
    </w:p>
    <w:p w:rsidR="005A3F38" w:rsidRDefault="003114B5">
      <w:pPr>
        <w:numPr>
          <w:ilvl w:val="0"/>
          <w:numId w:val="16"/>
        </w:numPr>
        <w:spacing w:after="4" w:line="367" w:lineRule="auto"/>
        <w:ind w:hanging="360"/>
        <w:jc w:val="both"/>
      </w:pPr>
      <w:r>
        <w:rPr>
          <w:rFonts w:ascii="Times New Roman" w:eastAsia="Times New Roman" w:hAnsi="Times New Roman" w:cs="Times New Roman"/>
          <w:i/>
          <w:sz w:val="24"/>
        </w:rPr>
        <w:t xml:space="preserve">ношение средств индивидуальной защиты - масок, средств защиты глаз, перчаток и защитных халатов; </w:t>
      </w:r>
    </w:p>
    <w:p w:rsidR="005A3F38" w:rsidRDefault="003114B5">
      <w:pPr>
        <w:numPr>
          <w:ilvl w:val="0"/>
          <w:numId w:val="16"/>
        </w:numPr>
        <w:spacing w:after="96"/>
        <w:ind w:hanging="360"/>
        <w:jc w:val="both"/>
      </w:pPr>
      <w:r>
        <w:rPr>
          <w:rFonts w:ascii="Times New Roman" w:eastAsia="Times New Roman" w:hAnsi="Times New Roman" w:cs="Times New Roman"/>
          <w:i/>
          <w:sz w:val="24"/>
        </w:rPr>
        <w:t xml:space="preserve">избегание контактов с другими людьми (изоляция или карантин); </w:t>
      </w:r>
    </w:p>
    <w:p w:rsidR="005A3F38" w:rsidRDefault="003114B5">
      <w:pPr>
        <w:numPr>
          <w:ilvl w:val="0"/>
          <w:numId w:val="16"/>
        </w:numPr>
        <w:spacing w:after="96"/>
        <w:ind w:hanging="360"/>
        <w:jc w:val="both"/>
      </w:pPr>
      <w:r>
        <w:rPr>
          <w:rFonts w:ascii="Times New Roman" w:eastAsia="Times New Roman" w:hAnsi="Times New Roman" w:cs="Times New Roman"/>
          <w:i/>
          <w:sz w:val="24"/>
        </w:rPr>
        <w:t xml:space="preserve">соблюдение определенного расстояния от других людей (дистанцирование); </w:t>
      </w:r>
    </w:p>
    <w:p w:rsidR="005A3F38" w:rsidRDefault="003114B5">
      <w:pPr>
        <w:numPr>
          <w:ilvl w:val="0"/>
          <w:numId w:val="16"/>
        </w:numPr>
        <w:spacing w:after="100"/>
        <w:ind w:hanging="360"/>
        <w:jc w:val="both"/>
      </w:pPr>
      <w:r>
        <w:rPr>
          <w:rFonts w:ascii="Times New Roman" w:eastAsia="Times New Roman" w:hAnsi="Times New Roman" w:cs="Times New Roman"/>
          <w:i/>
          <w:sz w:val="24"/>
        </w:rPr>
        <w:t xml:space="preserve">проверка людей, въезжающих в страну, на наличие признаков инфекции (скрининг) [214]. </w:t>
      </w:r>
    </w:p>
    <w:p w:rsidR="005A3F38" w:rsidRDefault="003114B5">
      <w:pPr>
        <w:tabs>
          <w:tab w:val="center" w:pos="1319"/>
          <w:tab w:val="center" w:pos="3401"/>
          <w:tab w:val="center" w:pos="4710"/>
          <w:tab w:val="center" w:pos="6095"/>
          <w:tab w:val="center" w:pos="7780"/>
          <w:tab w:val="center" w:pos="9020"/>
          <w:tab w:val="center" w:pos="9834"/>
          <w:tab w:val="right" w:pos="10719"/>
        </w:tabs>
        <w:spacing w:after="117"/>
      </w:pPr>
      <w:r>
        <w:tab/>
      </w:r>
      <w:r>
        <w:rPr>
          <w:rFonts w:ascii="Times New Roman" w:eastAsia="Times New Roman" w:hAnsi="Times New Roman" w:cs="Times New Roman"/>
          <w:b/>
          <w:i/>
          <w:sz w:val="24"/>
        </w:rPr>
        <w:t xml:space="preserve">Неспецифические </w:t>
      </w:r>
      <w:r>
        <w:rPr>
          <w:rFonts w:ascii="Times New Roman" w:eastAsia="Times New Roman" w:hAnsi="Times New Roman" w:cs="Times New Roman"/>
          <w:b/>
          <w:i/>
          <w:sz w:val="24"/>
        </w:rPr>
        <w:tab/>
        <w:t xml:space="preserve">мероприятия </w:t>
      </w:r>
      <w:r>
        <w:rPr>
          <w:rFonts w:ascii="Times New Roman" w:eastAsia="Times New Roman" w:hAnsi="Times New Roman" w:cs="Times New Roman"/>
          <w:b/>
          <w:i/>
          <w:sz w:val="24"/>
        </w:rPr>
        <w:tab/>
        <w:t xml:space="preserve">для </w:t>
      </w:r>
      <w:r>
        <w:rPr>
          <w:rFonts w:ascii="Times New Roman" w:eastAsia="Times New Roman" w:hAnsi="Times New Roman" w:cs="Times New Roman"/>
          <w:b/>
          <w:i/>
          <w:sz w:val="24"/>
        </w:rPr>
        <w:tab/>
        <w:t xml:space="preserve">профилактики </w:t>
      </w:r>
      <w:r>
        <w:rPr>
          <w:rFonts w:ascii="Times New Roman" w:eastAsia="Times New Roman" w:hAnsi="Times New Roman" w:cs="Times New Roman"/>
          <w:b/>
          <w:i/>
          <w:sz w:val="24"/>
        </w:rPr>
        <w:tab/>
        <w:t xml:space="preserve">передачи </w:t>
      </w:r>
      <w:r>
        <w:rPr>
          <w:rFonts w:ascii="Times New Roman" w:eastAsia="Times New Roman" w:hAnsi="Times New Roman" w:cs="Times New Roman"/>
          <w:b/>
          <w:i/>
          <w:sz w:val="24"/>
        </w:rPr>
        <w:tab/>
        <w:t xml:space="preserve">ОРВИ, </w:t>
      </w:r>
      <w:r>
        <w:rPr>
          <w:rFonts w:ascii="Times New Roman" w:eastAsia="Times New Roman" w:hAnsi="Times New Roman" w:cs="Times New Roman"/>
          <w:b/>
          <w:i/>
          <w:sz w:val="24"/>
        </w:rPr>
        <w:tab/>
        <w:t xml:space="preserve">в </w:t>
      </w:r>
      <w:r>
        <w:rPr>
          <w:rFonts w:ascii="Times New Roman" w:eastAsia="Times New Roman" w:hAnsi="Times New Roman" w:cs="Times New Roman"/>
          <w:b/>
          <w:i/>
          <w:sz w:val="24"/>
        </w:rPr>
        <w:tab/>
        <w:t xml:space="preserve">т.ч. </w:t>
      </w:r>
    </w:p>
    <w:p w:rsidR="005A3F38" w:rsidRDefault="003114B5">
      <w:pPr>
        <w:spacing w:after="0" w:line="359" w:lineRule="auto"/>
        <w:ind w:left="628" w:right="493" w:hanging="283"/>
        <w:jc w:val="both"/>
      </w:pPr>
      <w:r>
        <w:rPr>
          <w:rFonts w:ascii="Times New Roman" w:eastAsia="Times New Roman" w:hAnsi="Times New Roman" w:cs="Times New Roman"/>
          <w:b/>
          <w:i/>
          <w:sz w:val="24"/>
        </w:rPr>
        <w:t>пациентами/законными представителями, включают соблюдение правил 3Р и 3П Правило 3Р</w:t>
      </w:r>
      <w:r>
        <w:rPr>
          <w:rFonts w:ascii="Times New Roman" w:eastAsia="Times New Roman" w:hAnsi="Times New Roman" w:cs="Times New Roman"/>
          <w:i/>
          <w:sz w:val="24"/>
        </w:rPr>
        <w:t xml:space="preserve">: </w:t>
      </w:r>
    </w:p>
    <w:p w:rsidR="005A3F38" w:rsidRDefault="003114B5">
      <w:pPr>
        <w:numPr>
          <w:ilvl w:val="0"/>
          <w:numId w:val="16"/>
        </w:numPr>
        <w:spacing w:after="113"/>
        <w:ind w:hanging="360"/>
        <w:jc w:val="both"/>
      </w:pPr>
      <w:r>
        <w:rPr>
          <w:rFonts w:ascii="Times New Roman" w:eastAsia="Times New Roman" w:hAnsi="Times New Roman" w:cs="Times New Roman"/>
          <w:b/>
          <w:i/>
          <w:sz w:val="24"/>
        </w:rPr>
        <w:t>Р</w:t>
      </w:r>
      <w:r>
        <w:rPr>
          <w:rFonts w:ascii="Times New Roman" w:eastAsia="Times New Roman" w:hAnsi="Times New Roman" w:cs="Times New Roman"/>
          <w:i/>
          <w:sz w:val="24"/>
        </w:rPr>
        <w:t xml:space="preserve">уки мойте с мылом не менее 30 с как можно чаще; </w:t>
      </w:r>
    </w:p>
    <w:p w:rsidR="005A3F38" w:rsidRDefault="003114B5">
      <w:pPr>
        <w:numPr>
          <w:ilvl w:val="0"/>
          <w:numId w:val="16"/>
        </w:numPr>
        <w:spacing w:after="116"/>
        <w:ind w:hanging="360"/>
        <w:jc w:val="both"/>
      </w:pPr>
      <w:r>
        <w:rPr>
          <w:rFonts w:ascii="Times New Roman" w:eastAsia="Times New Roman" w:hAnsi="Times New Roman" w:cs="Times New Roman"/>
          <w:b/>
          <w:i/>
          <w:sz w:val="24"/>
        </w:rPr>
        <w:t>Р</w:t>
      </w:r>
      <w:r>
        <w:rPr>
          <w:rFonts w:ascii="Times New Roman" w:eastAsia="Times New Roman" w:hAnsi="Times New Roman" w:cs="Times New Roman"/>
          <w:i/>
          <w:sz w:val="24"/>
        </w:rPr>
        <w:t xml:space="preserve">от/нос должны быть закрыты маской; </w:t>
      </w:r>
    </w:p>
    <w:p w:rsidR="005A3F38" w:rsidRDefault="003114B5">
      <w:pPr>
        <w:numPr>
          <w:ilvl w:val="0"/>
          <w:numId w:val="16"/>
        </w:numPr>
        <w:spacing w:after="112"/>
        <w:ind w:hanging="360"/>
        <w:jc w:val="both"/>
      </w:pPr>
      <w:r>
        <w:rPr>
          <w:rFonts w:ascii="Times New Roman" w:eastAsia="Times New Roman" w:hAnsi="Times New Roman" w:cs="Times New Roman"/>
          <w:b/>
          <w:i/>
          <w:sz w:val="24"/>
        </w:rPr>
        <w:t>Р</w:t>
      </w:r>
      <w:r>
        <w:rPr>
          <w:rFonts w:ascii="Times New Roman" w:eastAsia="Times New Roman" w:hAnsi="Times New Roman" w:cs="Times New Roman"/>
          <w:i/>
          <w:sz w:val="24"/>
        </w:rPr>
        <w:t xml:space="preserve">асстояние до других людей должно быть не менее 1,5 м. </w:t>
      </w:r>
    </w:p>
    <w:p w:rsidR="005A3F38" w:rsidRDefault="003114B5">
      <w:pPr>
        <w:spacing w:after="117"/>
        <w:ind w:left="654" w:hanging="10"/>
        <w:jc w:val="both"/>
      </w:pPr>
      <w:r>
        <w:rPr>
          <w:rFonts w:ascii="Times New Roman" w:eastAsia="Times New Roman" w:hAnsi="Times New Roman" w:cs="Times New Roman"/>
          <w:b/>
          <w:i/>
          <w:sz w:val="24"/>
        </w:rPr>
        <w:t xml:space="preserve">Правило ЗП — избегайте: </w:t>
      </w:r>
    </w:p>
    <w:p w:rsidR="005A3F38" w:rsidRDefault="003114B5">
      <w:pPr>
        <w:numPr>
          <w:ilvl w:val="0"/>
          <w:numId w:val="16"/>
        </w:numPr>
        <w:spacing w:after="113"/>
        <w:ind w:hanging="360"/>
        <w:jc w:val="both"/>
      </w:pPr>
      <w:r>
        <w:rPr>
          <w:rFonts w:ascii="Times New Roman" w:eastAsia="Times New Roman" w:hAnsi="Times New Roman" w:cs="Times New Roman"/>
          <w:b/>
          <w:i/>
          <w:sz w:val="24"/>
        </w:rPr>
        <w:t>П</w:t>
      </w:r>
      <w:r>
        <w:rPr>
          <w:rFonts w:ascii="Times New Roman" w:eastAsia="Times New Roman" w:hAnsi="Times New Roman" w:cs="Times New Roman"/>
          <w:i/>
          <w:sz w:val="24"/>
        </w:rPr>
        <w:t xml:space="preserve">лохо проветриваемых помещений; </w:t>
      </w:r>
    </w:p>
    <w:p w:rsidR="005A3F38" w:rsidRDefault="003114B5">
      <w:pPr>
        <w:numPr>
          <w:ilvl w:val="0"/>
          <w:numId w:val="16"/>
        </w:numPr>
        <w:spacing w:after="115"/>
        <w:ind w:hanging="360"/>
        <w:jc w:val="both"/>
      </w:pPr>
      <w:r>
        <w:rPr>
          <w:rFonts w:ascii="Times New Roman" w:eastAsia="Times New Roman" w:hAnsi="Times New Roman" w:cs="Times New Roman"/>
          <w:b/>
          <w:i/>
          <w:sz w:val="24"/>
        </w:rPr>
        <w:t>П</w:t>
      </w:r>
      <w:r>
        <w:rPr>
          <w:rFonts w:ascii="Times New Roman" w:eastAsia="Times New Roman" w:hAnsi="Times New Roman" w:cs="Times New Roman"/>
          <w:i/>
          <w:sz w:val="24"/>
        </w:rPr>
        <w:t xml:space="preserve">омещений или Площадок с большим скоплением людей; </w:t>
      </w:r>
    </w:p>
    <w:p w:rsidR="005A3F38" w:rsidRDefault="003114B5">
      <w:pPr>
        <w:numPr>
          <w:ilvl w:val="0"/>
          <w:numId w:val="16"/>
        </w:numPr>
        <w:spacing w:after="112"/>
        <w:ind w:hanging="360"/>
        <w:jc w:val="both"/>
      </w:pPr>
      <w:r>
        <w:rPr>
          <w:rFonts w:ascii="Times New Roman" w:eastAsia="Times New Roman" w:hAnsi="Times New Roman" w:cs="Times New Roman"/>
          <w:b/>
          <w:i/>
          <w:sz w:val="24"/>
        </w:rPr>
        <w:t>П</w:t>
      </w:r>
      <w:r>
        <w:rPr>
          <w:rFonts w:ascii="Times New Roman" w:eastAsia="Times New Roman" w:hAnsi="Times New Roman" w:cs="Times New Roman"/>
          <w:i/>
          <w:sz w:val="24"/>
        </w:rPr>
        <w:t xml:space="preserve">одошедших слишком близко разговаривающих или поющих людей. </w:t>
      </w:r>
    </w:p>
    <w:p w:rsidR="005A3F38" w:rsidRDefault="003114B5">
      <w:pPr>
        <w:spacing w:after="4" w:line="367" w:lineRule="auto"/>
        <w:ind w:left="345" w:firstLine="566"/>
        <w:jc w:val="both"/>
      </w:pPr>
      <w:r>
        <w:rPr>
          <w:rFonts w:ascii="Times New Roman" w:eastAsia="Times New Roman" w:hAnsi="Times New Roman" w:cs="Times New Roman"/>
          <w:i/>
          <w:sz w:val="24"/>
        </w:rPr>
        <w:t xml:space="preserve">Профилактика большинства вирусных инфекций остается сегодня неспецифической, поскольку вакцин против всех респираторных вирусов пока нет. </w:t>
      </w:r>
    </w:p>
    <w:p w:rsidR="005A3F38" w:rsidRDefault="003114B5">
      <w:pPr>
        <w:numPr>
          <w:ilvl w:val="0"/>
          <w:numId w:val="16"/>
        </w:numPr>
        <w:spacing w:after="5" w:line="364" w:lineRule="auto"/>
        <w:ind w:hanging="360"/>
        <w:jc w:val="both"/>
      </w:pPr>
      <w:r>
        <w:rPr>
          <w:rFonts w:ascii="Times New Roman" w:eastAsia="Times New Roman" w:hAnsi="Times New Roman" w:cs="Times New Roman"/>
          <w:sz w:val="24"/>
        </w:rPr>
        <w:t>Рекомендована ежегодная вакцинация против гриппа</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с возраста 6 мес, которая снижает заболеваемость [216].  </w:t>
      </w:r>
    </w:p>
    <w:p w:rsidR="005A3F38" w:rsidRDefault="003114B5">
      <w:pPr>
        <w:spacing w:after="127" w:line="249" w:lineRule="auto"/>
        <w:ind w:left="355" w:hanging="10"/>
      </w:pPr>
      <w:r>
        <w:rPr>
          <w:rFonts w:ascii="Times New Roman" w:eastAsia="Times New Roman" w:hAnsi="Times New Roman" w:cs="Times New Roman"/>
          <w:b/>
          <w:sz w:val="24"/>
        </w:rPr>
        <w:t>(Уровень у</w:t>
      </w:r>
      <w:r>
        <w:rPr>
          <w:rFonts w:ascii="Times New Roman" w:eastAsia="Times New Roman" w:hAnsi="Times New Roman" w:cs="Times New Roman"/>
          <w:b/>
          <w:sz w:val="24"/>
        </w:rPr>
        <w:t>бедительности рекомендаций A; уровень достоверности доказательств - 2).</w:t>
      </w:r>
      <w:r>
        <w:rPr>
          <w:rFonts w:ascii="Times New Roman" w:eastAsia="Times New Roman" w:hAnsi="Times New Roman" w:cs="Times New Roman"/>
          <w:sz w:val="24"/>
        </w:rPr>
        <w:t xml:space="preserve">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доказано, что вакцинация детей от гриппа и пневмококковой инфекции снижает риск развития острого среднего отита у детей, т.е. уменьшает вероятность осложненного течения О</w:t>
      </w:r>
      <w:r>
        <w:rPr>
          <w:rFonts w:ascii="Times New Roman" w:eastAsia="Times New Roman" w:hAnsi="Times New Roman" w:cs="Times New Roman"/>
          <w:i/>
          <w:sz w:val="24"/>
        </w:rPr>
        <w:t xml:space="preserve">РВИ [217, 218]. </w:t>
      </w:r>
    </w:p>
    <w:p w:rsidR="005A3F38" w:rsidRDefault="003114B5">
      <w:pPr>
        <w:spacing w:after="231" w:line="367" w:lineRule="auto"/>
        <w:ind w:left="345" w:firstLine="427"/>
        <w:jc w:val="both"/>
      </w:pPr>
      <w:r>
        <w:rPr>
          <w:rFonts w:ascii="Times New Roman" w:eastAsia="Times New Roman" w:hAnsi="Times New Roman" w:cs="Times New Roman"/>
          <w:i/>
          <w:sz w:val="24"/>
        </w:rPr>
        <w:t>Детям, перенесшим ОРВИ, профилактическая вакцинация проводится, как правило, через 1 неделю после выздоровления. В случае неблагоприятной эпидемиологической обстановки потенциальная польза от вакцинации выше, чем выжидательная тактика. При</w:t>
      </w:r>
      <w:r>
        <w:rPr>
          <w:rFonts w:ascii="Times New Roman" w:eastAsia="Times New Roman" w:hAnsi="Times New Roman" w:cs="Times New Roman"/>
          <w:i/>
          <w:sz w:val="24"/>
        </w:rPr>
        <w:t xml:space="preserve">вивки могут проводиться в более ранние сроки. </w:t>
      </w:r>
    </w:p>
    <w:p w:rsidR="005A3F38" w:rsidRDefault="003114B5">
      <w:pPr>
        <w:numPr>
          <w:ilvl w:val="0"/>
          <w:numId w:val="16"/>
        </w:numPr>
        <w:spacing w:after="5" w:line="364" w:lineRule="auto"/>
        <w:ind w:hanging="360"/>
        <w:jc w:val="both"/>
      </w:pPr>
      <w:r>
        <w:rPr>
          <w:rFonts w:ascii="Times New Roman" w:eastAsia="Times New Roman" w:hAnsi="Times New Roman" w:cs="Times New Roman"/>
          <w:b/>
          <w:sz w:val="24"/>
        </w:rPr>
        <w:t xml:space="preserve">Рекомендовано </w:t>
      </w:r>
      <w:r>
        <w:rPr>
          <w:rFonts w:ascii="Times New Roman" w:eastAsia="Times New Roman" w:hAnsi="Times New Roman" w:cs="Times New Roman"/>
          <w:sz w:val="24"/>
        </w:rPr>
        <w:t>проведение пассивной иммунизации против РСВ инфекции паливизумабом** внутримышечно в дозе 15 мг/кг массы тела ежемесячно вне зависимости от сезона (всего 5 инъекций), допустимое отклонение +5 дне</w:t>
      </w:r>
      <w:r>
        <w:rPr>
          <w:rFonts w:ascii="Times New Roman" w:eastAsia="Times New Roman" w:hAnsi="Times New Roman" w:cs="Times New Roman"/>
          <w:sz w:val="24"/>
        </w:rPr>
        <w:t xml:space="preserve">й всем пациентам, относящимся к группам риска [219, 220, 221]: </w:t>
      </w:r>
      <w:r>
        <w:rPr>
          <w:rFonts w:ascii="Times New Roman" w:eastAsia="Times New Roman" w:hAnsi="Times New Roman" w:cs="Times New Roman"/>
          <w:b/>
          <w:sz w:val="24"/>
        </w:rPr>
        <w:t xml:space="preserve"> </w:t>
      </w:r>
    </w:p>
    <w:p w:rsidR="005A3F38" w:rsidRDefault="003114B5">
      <w:pPr>
        <w:spacing w:after="5" w:line="364" w:lineRule="auto"/>
        <w:ind w:left="937"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детям в возрасте до 6 месяцев, рожденным на 35-й недель беременности или ранее; </w:t>
      </w: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детям в возрасте до 2 лет, которым требовалось лечение по поводу БЛД в течение последних 6 месяцев (соответ</w:t>
      </w:r>
      <w:r>
        <w:rPr>
          <w:rFonts w:ascii="Times New Roman" w:eastAsia="Times New Roman" w:hAnsi="Times New Roman" w:cs="Times New Roman"/>
          <w:sz w:val="24"/>
        </w:rPr>
        <w:t xml:space="preserve">ственно, детям 1-го года – всем); </w:t>
      </w:r>
    </w:p>
    <w:p w:rsidR="005A3F38" w:rsidRDefault="003114B5">
      <w:pPr>
        <w:spacing w:after="5" w:line="364" w:lineRule="auto"/>
        <w:ind w:left="937" w:right="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детям в возрасте до 2 лет с гемодинамически значимыми врожденными пороками сердца. </w:t>
      </w:r>
    </w:p>
    <w:p w:rsidR="005A3F38" w:rsidRDefault="003114B5">
      <w:pPr>
        <w:spacing w:after="394" w:line="249" w:lineRule="auto"/>
        <w:ind w:left="355" w:hanging="10"/>
      </w:pPr>
      <w:r>
        <w:rPr>
          <w:rFonts w:ascii="Times New Roman" w:eastAsia="Times New Roman" w:hAnsi="Times New Roman" w:cs="Times New Roman"/>
          <w:b/>
          <w:sz w:val="24"/>
        </w:rPr>
        <w:t xml:space="preserve">Уровень убедительности рекомендаций A (уровень достоверности доказательств – 2)  </w:t>
      </w:r>
    </w:p>
    <w:p w:rsidR="005A3F38" w:rsidRDefault="003114B5">
      <w:pPr>
        <w:numPr>
          <w:ilvl w:val="0"/>
          <w:numId w:val="16"/>
        </w:numPr>
        <w:spacing w:after="117"/>
        <w:ind w:hanging="360"/>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b/>
          <w:sz w:val="24"/>
        </w:rPr>
        <w:tab/>
      </w:r>
      <w:r>
        <w:rPr>
          <w:rFonts w:ascii="Times New Roman" w:eastAsia="Times New Roman" w:hAnsi="Times New Roman" w:cs="Times New Roman"/>
          <w:sz w:val="24"/>
        </w:rPr>
        <w:t xml:space="preserve">проведение </w:t>
      </w:r>
      <w:r>
        <w:rPr>
          <w:rFonts w:ascii="Times New Roman" w:eastAsia="Times New Roman" w:hAnsi="Times New Roman" w:cs="Times New Roman"/>
          <w:sz w:val="24"/>
        </w:rPr>
        <w:tab/>
        <w:t xml:space="preserve">пассивной </w:t>
      </w:r>
      <w:r>
        <w:rPr>
          <w:rFonts w:ascii="Times New Roman" w:eastAsia="Times New Roman" w:hAnsi="Times New Roman" w:cs="Times New Roman"/>
          <w:sz w:val="24"/>
        </w:rPr>
        <w:tab/>
        <w:t xml:space="preserve">иммунизации </w:t>
      </w:r>
      <w:r>
        <w:rPr>
          <w:rFonts w:ascii="Times New Roman" w:eastAsia="Times New Roman" w:hAnsi="Times New Roman" w:cs="Times New Roman"/>
          <w:sz w:val="24"/>
        </w:rPr>
        <w:tab/>
        <w:t xml:space="preserve">против </w:t>
      </w:r>
      <w:r>
        <w:rPr>
          <w:rFonts w:ascii="Times New Roman" w:eastAsia="Times New Roman" w:hAnsi="Times New Roman" w:cs="Times New Roman"/>
          <w:sz w:val="24"/>
        </w:rPr>
        <w:tab/>
        <w:t xml:space="preserve">РСВ </w:t>
      </w:r>
      <w:r>
        <w:rPr>
          <w:rFonts w:ascii="Times New Roman" w:eastAsia="Times New Roman" w:hAnsi="Times New Roman" w:cs="Times New Roman"/>
          <w:sz w:val="24"/>
        </w:rPr>
        <w:tab/>
        <w:t xml:space="preserve">инфекции </w:t>
      </w:r>
    </w:p>
    <w:p w:rsidR="005A3F38" w:rsidRDefault="003114B5">
      <w:pPr>
        <w:spacing w:after="5" w:line="364" w:lineRule="auto"/>
        <w:ind w:left="1090" w:right="2" w:hanging="10"/>
        <w:jc w:val="both"/>
      </w:pPr>
      <w:r>
        <w:rPr>
          <w:rFonts w:ascii="Times New Roman" w:eastAsia="Times New Roman" w:hAnsi="Times New Roman" w:cs="Times New Roman"/>
          <w:sz w:val="24"/>
        </w:rPr>
        <w:t xml:space="preserve">#паливизумабом** внутримышечно в дозе 15 мг/кг массы тела ежемесячно вне зависимости от сезона (всего 5 инъекций ), допустимое отклонение </w:t>
      </w:r>
      <w:r>
        <w:rPr>
          <w:rFonts w:ascii="Times New Roman" w:eastAsia="Times New Roman" w:hAnsi="Times New Roman" w:cs="Times New Roman"/>
          <w:sz w:val="24"/>
          <w:u w:val="single" w:color="000000"/>
        </w:rPr>
        <w:t>+</w:t>
      </w:r>
      <w:r>
        <w:rPr>
          <w:rFonts w:ascii="Times New Roman" w:eastAsia="Times New Roman" w:hAnsi="Times New Roman" w:cs="Times New Roman"/>
          <w:sz w:val="24"/>
        </w:rPr>
        <w:t>5 дней детям, рожденным до 28 недель 6 дней гестации, в пе</w:t>
      </w:r>
      <w:r>
        <w:rPr>
          <w:rFonts w:ascii="Times New Roman" w:eastAsia="Times New Roman" w:hAnsi="Times New Roman" w:cs="Times New Roman"/>
          <w:sz w:val="24"/>
        </w:rPr>
        <w:t xml:space="preserve">рвые 12 месяцев жизни [10, 222, 223, 224].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4) </w:t>
      </w:r>
    </w:p>
    <w:p w:rsidR="005A3F38" w:rsidRDefault="003114B5">
      <w:pPr>
        <w:spacing w:after="230"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в инструкции по медицинскому применению введение паливизумаба** ограничено 6ю месяцами жизни, однако при наличии глубо</w:t>
      </w:r>
      <w:r>
        <w:rPr>
          <w:rFonts w:ascii="Times New Roman" w:eastAsia="Times New Roman" w:hAnsi="Times New Roman" w:cs="Times New Roman"/>
          <w:i/>
          <w:sz w:val="24"/>
        </w:rPr>
        <w:t>кой недоношенности целесообразно рассмотреть возможность введения препарата в более длительные сроки – до 12 месяцев жизни. Данные сроки введения рекомендуются во многих международных согласительных документах.</w:t>
      </w:r>
      <w:r>
        <w:rPr>
          <w:rFonts w:ascii="Times New Roman" w:eastAsia="Times New Roman" w:hAnsi="Times New Roman" w:cs="Times New Roman"/>
          <w:b/>
          <w:sz w:val="24"/>
        </w:rPr>
        <w:t xml:space="preserve"> </w:t>
      </w:r>
    </w:p>
    <w:p w:rsidR="005A3F38" w:rsidRDefault="003114B5">
      <w:pPr>
        <w:numPr>
          <w:ilvl w:val="0"/>
          <w:numId w:val="16"/>
        </w:numPr>
        <w:spacing w:after="5" w:line="364" w:lineRule="auto"/>
        <w:ind w:hanging="360"/>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детям с ВПС после операции на </w:t>
      </w:r>
      <w:r>
        <w:rPr>
          <w:rFonts w:ascii="Times New Roman" w:eastAsia="Times New Roman" w:hAnsi="Times New Roman" w:cs="Times New Roman"/>
          <w:sz w:val="24"/>
        </w:rPr>
        <w:t xml:space="preserve">сердце с использованием аппарата искусственного кровообращения или экстракорпоральной мембранной оксигенации, которым проводилась иммунопрофилактика РСВ инфекции, дополнительное введение #паливизумаба** внутримышечно в дозе 15 мг/кг массы тела сразу после </w:t>
      </w:r>
      <w:r>
        <w:rPr>
          <w:rFonts w:ascii="Times New Roman" w:eastAsia="Times New Roman" w:hAnsi="Times New Roman" w:cs="Times New Roman"/>
          <w:sz w:val="24"/>
        </w:rPr>
        <w:t>стабилизации состояния [222, 225].</w:t>
      </w:r>
      <w:r>
        <w:rPr>
          <w:rFonts w:ascii="Times New Roman" w:eastAsia="Times New Roman" w:hAnsi="Times New Roman" w:cs="Times New Roman"/>
          <w:b/>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следует помнить, что при использовании аппарата искусственного кровообращения или экстракорпоральной мембранной оксигенации отмечается снижение концентрации паливизумаба** в плазме крови более чем на 50%. </w:t>
      </w:r>
    </w:p>
    <w:p w:rsidR="005A3F38" w:rsidRDefault="003114B5">
      <w:pPr>
        <w:numPr>
          <w:ilvl w:val="0"/>
          <w:numId w:val="16"/>
        </w:numPr>
        <w:spacing w:after="5" w:line="364" w:lineRule="auto"/>
        <w:ind w:hanging="360"/>
        <w:jc w:val="both"/>
      </w:pPr>
      <w:r>
        <w:rPr>
          <w:rFonts w:ascii="Times New Roman" w:eastAsia="Times New Roman" w:hAnsi="Times New Roman" w:cs="Times New Roman"/>
          <w:sz w:val="24"/>
        </w:rPr>
        <w:t>Рекомендуется всем пациентам в возрасте от 0 до 24</w:t>
      </w:r>
      <w:r>
        <w:rPr>
          <w:rFonts w:ascii="Times New Roman" w:eastAsia="Times New Roman" w:hAnsi="Times New Roman" w:cs="Times New Roman"/>
          <w:sz w:val="24"/>
        </w:rPr>
        <w:t xml:space="preserve"> месяцев с врожденными дефектами иммунитета (ВДИ): тяжелая комбинированная иммунная недостаточность, комбинированный вариант ВДИ, синдромальные формы ВДИ, комбинированный иммунодефицит с иммунной дизрегуляцией (код по МКБ D81.0-81.9; D84.8)</w:t>
      </w:r>
      <w:r>
        <w:rPr>
          <w:rFonts w:ascii="Times New Roman" w:eastAsia="Times New Roman" w:hAnsi="Times New Roman" w:cs="Times New Roman"/>
          <w:i/>
          <w:sz w:val="24"/>
        </w:rPr>
        <w:t xml:space="preserve"> </w:t>
      </w:r>
      <w:r>
        <w:rPr>
          <w:rFonts w:ascii="Times New Roman" w:eastAsia="Times New Roman" w:hAnsi="Times New Roman" w:cs="Times New Roman"/>
          <w:sz w:val="24"/>
        </w:rPr>
        <w:t>проведение пасс</w:t>
      </w:r>
      <w:r>
        <w:rPr>
          <w:rFonts w:ascii="Times New Roman" w:eastAsia="Times New Roman" w:hAnsi="Times New Roman" w:cs="Times New Roman"/>
          <w:sz w:val="24"/>
        </w:rPr>
        <w:t>ивной иммунизации препаратом #паливизумаб** (15 мг/кг/введ в/м 1 раз в 4 недели вне зависимости от сезона – 5 инъекций, допустимое отклонение  ±5 дней, внутримышечно, предпочтительно в наружную боковую область бедра) ввиду высоко риска развития тяжелой инт</w:t>
      </w:r>
      <w:r>
        <w:rPr>
          <w:rFonts w:ascii="Times New Roman" w:eastAsia="Times New Roman" w:hAnsi="Times New Roman" w:cs="Times New Roman"/>
          <w:sz w:val="24"/>
        </w:rPr>
        <w:t xml:space="preserve">ерстициальной пневмонии вплоть до летального исхода [9, 226].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 5) </w:t>
      </w:r>
    </w:p>
    <w:p w:rsidR="005A3F38" w:rsidRDefault="003114B5">
      <w:pPr>
        <w:spacing w:after="140"/>
        <w:ind w:left="360"/>
      </w:pPr>
      <w:r>
        <w:rPr>
          <w:rFonts w:ascii="Times New Roman" w:eastAsia="Times New Roman" w:hAnsi="Times New Roman" w:cs="Times New Roman"/>
          <w:b/>
          <w:sz w:val="24"/>
        </w:rPr>
        <w:t xml:space="preserve"> </w:t>
      </w:r>
    </w:p>
    <w:p w:rsidR="005A3F38" w:rsidRDefault="003114B5">
      <w:pPr>
        <w:numPr>
          <w:ilvl w:val="0"/>
          <w:numId w:val="16"/>
        </w:numPr>
        <w:spacing w:after="5" w:line="364" w:lineRule="auto"/>
        <w:ind w:hanging="360"/>
        <w:jc w:val="both"/>
      </w:pPr>
      <w:r>
        <w:rPr>
          <w:rFonts w:ascii="Times New Roman" w:eastAsia="Times New Roman" w:hAnsi="Times New Roman" w:cs="Times New Roman"/>
          <w:sz w:val="24"/>
        </w:rPr>
        <w:t>Рекомендуется детям в возрасте от 0 до 24 месяцев с различными ВДИ с наличием коморбидной патологии, обуславли</w:t>
      </w:r>
      <w:r>
        <w:rPr>
          <w:rFonts w:ascii="Times New Roman" w:eastAsia="Times New Roman" w:hAnsi="Times New Roman" w:cs="Times New Roman"/>
          <w:sz w:val="24"/>
        </w:rPr>
        <w:t>вающей высокий риск развития тяжелого течения РСВИ, проведение пассивной иммунизации препаратом #паливизумаб** (15 мг/кг/введ в/м 1 раз в 4 недели  вне зависимости от сезона – 5 инъекций, допустимое отклонение  ±5 дней, внутримышечно, предпочтительно в нар</w:t>
      </w:r>
      <w:r>
        <w:rPr>
          <w:rFonts w:ascii="Times New Roman" w:eastAsia="Times New Roman" w:hAnsi="Times New Roman" w:cs="Times New Roman"/>
          <w:sz w:val="24"/>
        </w:rPr>
        <w:t xml:space="preserve">ужную боковую область бедра) по соответствующей коморбидной патологии согласно действующим клиническим рекомендациям (малый гестационный возраст, БЛД, патология развития ЦНС, кардиологическая и пульмонологическая патология и др.) [9]. </w:t>
      </w:r>
    </w:p>
    <w:p w:rsidR="005A3F38" w:rsidRDefault="003114B5">
      <w:pPr>
        <w:spacing w:after="366" w:line="249" w:lineRule="auto"/>
        <w:ind w:left="355" w:hanging="10"/>
      </w:pPr>
      <w:r>
        <w:rPr>
          <w:rFonts w:ascii="Times New Roman" w:eastAsia="Times New Roman" w:hAnsi="Times New Roman" w:cs="Times New Roman"/>
          <w:b/>
          <w:sz w:val="24"/>
        </w:rPr>
        <w:t>Уровень убедительнос</w:t>
      </w:r>
      <w:r>
        <w:rPr>
          <w:rFonts w:ascii="Times New Roman" w:eastAsia="Times New Roman" w:hAnsi="Times New Roman" w:cs="Times New Roman"/>
          <w:b/>
          <w:sz w:val="24"/>
        </w:rPr>
        <w:t xml:space="preserve">ти рекомендаций C (уровень достоверности доказательств – 5) </w:t>
      </w:r>
    </w:p>
    <w:p w:rsidR="005A3F38" w:rsidRDefault="003114B5">
      <w:pPr>
        <w:numPr>
          <w:ilvl w:val="0"/>
          <w:numId w:val="16"/>
        </w:numPr>
        <w:spacing w:after="5" w:line="364" w:lineRule="auto"/>
        <w:ind w:hanging="360"/>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проведение по индивидуальным показаниям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пассивной иммунизации против РСВ инфекции #паливизумабом** с целью профилактики РСВ инфекции тяжелого течения в разовой дозе 15 мг/кг массы т</w:t>
      </w:r>
      <w:r>
        <w:rPr>
          <w:rFonts w:ascii="Times New Roman" w:eastAsia="Times New Roman" w:hAnsi="Times New Roman" w:cs="Times New Roman"/>
          <w:sz w:val="24"/>
        </w:rPr>
        <w:t xml:space="preserve">ела. Вводят препарат внутримышечно, предпочтительно в наружную боковую область бедра. Инъекции проводят ежемесячно вне зависимости от сезона - 5 инъекций, допустимое отклонение </w:t>
      </w:r>
      <w:r>
        <w:rPr>
          <w:rFonts w:ascii="Times New Roman" w:eastAsia="Times New Roman" w:hAnsi="Times New Roman" w:cs="Times New Roman"/>
          <w:sz w:val="24"/>
          <w:u w:val="single" w:color="000000"/>
        </w:rPr>
        <w:t>+5</w:t>
      </w:r>
      <w:r>
        <w:rPr>
          <w:rFonts w:ascii="Times New Roman" w:eastAsia="Times New Roman" w:hAnsi="Times New Roman" w:cs="Times New Roman"/>
          <w:sz w:val="24"/>
        </w:rPr>
        <w:t xml:space="preserve"> дней [10, 227, 228, 229]:</w:t>
      </w:r>
      <w:r>
        <w:rPr>
          <w:rFonts w:ascii="Times New Roman" w:eastAsia="Times New Roman" w:hAnsi="Times New Roman" w:cs="Times New Roman"/>
          <w:b/>
          <w:sz w:val="24"/>
        </w:rPr>
        <w:t xml:space="preserve"> </w:t>
      </w:r>
    </w:p>
    <w:p w:rsidR="005A3F38" w:rsidRDefault="003114B5">
      <w:pPr>
        <w:numPr>
          <w:ilvl w:val="1"/>
          <w:numId w:val="16"/>
        </w:numPr>
        <w:spacing w:after="5" w:line="364" w:lineRule="auto"/>
        <w:ind w:right="2" w:hanging="708"/>
        <w:jc w:val="both"/>
      </w:pPr>
      <w:r>
        <w:rPr>
          <w:rFonts w:ascii="Times New Roman" w:eastAsia="Times New Roman" w:hAnsi="Times New Roman" w:cs="Times New Roman"/>
          <w:sz w:val="24"/>
        </w:rPr>
        <w:t>детям с тяжелой нервно-</w:t>
      </w:r>
      <w:r>
        <w:rPr>
          <w:rFonts w:ascii="Times New Roman" w:eastAsia="Times New Roman" w:hAnsi="Times New Roman" w:cs="Times New Roman"/>
          <w:sz w:val="24"/>
        </w:rPr>
        <w:t xml:space="preserve">мышечной патологией (миотония, мышечная дистрофия), затрагивающей функцию дыхательной системы [230, 231.];  </w:t>
      </w:r>
    </w:p>
    <w:p w:rsidR="005A3F38" w:rsidRDefault="003114B5">
      <w:pPr>
        <w:numPr>
          <w:ilvl w:val="1"/>
          <w:numId w:val="16"/>
        </w:numPr>
        <w:spacing w:after="5" w:line="364" w:lineRule="auto"/>
        <w:ind w:right="2" w:hanging="708"/>
        <w:jc w:val="both"/>
      </w:pPr>
      <w:r>
        <w:rPr>
          <w:rFonts w:ascii="Times New Roman" w:eastAsia="Times New Roman" w:hAnsi="Times New Roman" w:cs="Times New Roman"/>
          <w:sz w:val="24"/>
        </w:rPr>
        <w:t>детям, перенесшим травму ЦНС (включая внутрижелудочковые кровотечения, гипоксическую ишемическую энцефалопатию, повреждения спинного мозга), болезн</w:t>
      </w:r>
      <w:r>
        <w:rPr>
          <w:rFonts w:ascii="Times New Roman" w:eastAsia="Times New Roman" w:hAnsi="Times New Roman" w:cs="Times New Roman"/>
          <w:sz w:val="24"/>
        </w:rPr>
        <w:t xml:space="preserve">и периферической нервной системы, нервно-мышечного соединения, пациентам с перивентрикулярной лейкомаляцией и церебральным параличом в случаях, когда зафиксировано нарушение дыхательной функции [228, 232, 233,];  </w:t>
      </w:r>
    </w:p>
    <w:p w:rsidR="005A3F38" w:rsidRDefault="003114B5">
      <w:pPr>
        <w:numPr>
          <w:ilvl w:val="1"/>
          <w:numId w:val="16"/>
        </w:numPr>
        <w:spacing w:after="132"/>
        <w:ind w:right="2" w:hanging="708"/>
        <w:jc w:val="both"/>
      </w:pPr>
      <w:r>
        <w:rPr>
          <w:rFonts w:ascii="Times New Roman" w:eastAsia="Times New Roman" w:hAnsi="Times New Roman" w:cs="Times New Roman"/>
          <w:sz w:val="24"/>
        </w:rPr>
        <w:t>детям с врожденными аномалиями дыхательных</w:t>
      </w:r>
      <w:r>
        <w:rPr>
          <w:rFonts w:ascii="Times New Roman" w:eastAsia="Times New Roman" w:hAnsi="Times New Roman" w:cs="Times New Roman"/>
          <w:sz w:val="24"/>
        </w:rPr>
        <w:t xml:space="preserve"> путей, интерстициальными </w:t>
      </w:r>
    </w:p>
    <w:p w:rsidR="005A3F38" w:rsidRDefault="003114B5">
      <w:pPr>
        <w:spacing w:after="145"/>
        <w:ind w:left="1090" w:right="2" w:hanging="10"/>
        <w:jc w:val="both"/>
      </w:pPr>
      <w:r>
        <w:rPr>
          <w:rFonts w:ascii="Times New Roman" w:eastAsia="Times New Roman" w:hAnsi="Times New Roman" w:cs="Times New Roman"/>
          <w:sz w:val="24"/>
        </w:rPr>
        <w:t xml:space="preserve">легочными заболеваниями, а также врожденной диафрагмальной грыжей [ 228, 230, 232, 233];  </w:t>
      </w:r>
    </w:p>
    <w:p w:rsidR="005A3F38" w:rsidRDefault="003114B5">
      <w:pPr>
        <w:numPr>
          <w:ilvl w:val="1"/>
          <w:numId w:val="16"/>
        </w:numPr>
        <w:spacing w:after="132"/>
        <w:ind w:right="2" w:hanging="708"/>
        <w:jc w:val="both"/>
      </w:pPr>
      <w:r>
        <w:rPr>
          <w:rFonts w:ascii="Times New Roman" w:eastAsia="Times New Roman" w:hAnsi="Times New Roman" w:cs="Times New Roman"/>
          <w:sz w:val="24"/>
        </w:rPr>
        <w:t xml:space="preserve">детям с генетически обусловленной патологией, затрагивающей бронхолегочную </w:t>
      </w:r>
    </w:p>
    <w:p w:rsidR="005A3F38" w:rsidRDefault="003114B5">
      <w:pPr>
        <w:spacing w:after="145"/>
        <w:ind w:left="1090" w:right="2" w:hanging="10"/>
        <w:jc w:val="both"/>
      </w:pPr>
      <w:r>
        <w:rPr>
          <w:rFonts w:ascii="Times New Roman" w:eastAsia="Times New Roman" w:hAnsi="Times New Roman" w:cs="Times New Roman"/>
          <w:sz w:val="24"/>
        </w:rPr>
        <w:t>систему, например с муковисцидозом, первичной цилиарной дискин</w:t>
      </w:r>
      <w:r>
        <w:rPr>
          <w:rFonts w:ascii="Times New Roman" w:eastAsia="Times New Roman" w:hAnsi="Times New Roman" w:cs="Times New Roman"/>
          <w:sz w:val="24"/>
        </w:rPr>
        <w:t xml:space="preserve">езией [228, 234,]; </w:t>
      </w:r>
    </w:p>
    <w:p w:rsidR="005A3F38" w:rsidRDefault="003114B5">
      <w:pPr>
        <w:numPr>
          <w:ilvl w:val="1"/>
          <w:numId w:val="16"/>
        </w:numPr>
        <w:spacing w:after="141"/>
        <w:ind w:right="2" w:hanging="708"/>
        <w:jc w:val="both"/>
      </w:pPr>
      <w:r>
        <w:rPr>
          <w:rFonts w:ascii="Times New Roman" w:eastAsia="Times New Roman" w:hAnsi="Times New Roman" w:cs="Times New Roman"/>
          <w:sz w:val="24"/>
        </w:rPr>
        <w:t xml:space="preserve">детям с синдромом Дауна [235, 236]; </w:t>
      </w:r>
    </w:p>
    <w:p w:rsidR="005A3F38" w:rsidRDefault="003114B5">
      <w:pPr>
        <w:numPr>
          <w:ilvl w:val="1"/>
          <w:numId w:val="16"/>
        </w:numPr>
        <w:spacing w:after="5" w:line="364" w:lineRule="auto"/>
        <w:ind w:right="2" w:hanging="708"/>
        <w:jc w:val="both"/>
      </w:pPr>
      <w:r>
        <w:rPr>
          <w:rFonts w:ascii="Times New Roman" w:eastAsia="Times New Roman" w:hAnsi="Times New Roman" w:cs="Times New Roman"/>
          <w:sz w:val="24"/>
        </w:rPr>
        <w:t xml:space="preserve">детям с врожденными дефектами иммунитета (ВДИ) по индивидуальным показаниям  </w:t>
      </w:r>
      <w:r>
        <w:rPr>
          <w:rFonts w:ascii="Courier New" w:eastAsia="Courier New" w:hAnsi="Courier New" w:cs="Courier New"/>
          <w:sz w:val="24"/>
        </w:rPr>
        <w:t>o</w:t>
      </w:r>
      <w:r>
        <w:rPr>
          <w:rFonts w:ascii="Arial" w:eastAsia="Arial" w:hAnsi="Arial" w:cs="Arial"/>
          <w:sz w:val="24"/>
        </w:rPr>
        <w:t xml:space="preserve"> </w:t>
      </w:r>
      <w:r>
        <w:rPr>
          <w:rFonts w:ascii="Times New Roman" w:eastAsia="Times New Roman" w:hAnsi="Times New Roman" w:cs="Times New Roman"/>
          <w:sz w:val="24"/>
        </w:rPr>
        <w:t>Пациентам с ВДИ, с высокой предрасположенностью к тяжелому течению вирусных инфекций перед проведением трансплантации ге</w:t>
      </w:r>
      <w:r>
        <w:rPr>
          <w:rFonts w:ascii="Times New Roman" w:eastAsia="Times New Roman" w:hAnsi="Times New Roman" w:cs="Times New Roman"/>
          <w:sz w:val="24"/>
        </w:rPr>
        <w:t xml:space="preserve">мопоэтических стволовых клеток, не позднее, чем за 14 дней до даты ТГСК. </w:t>
      </w:r>
    </w:p>
    <w:p w:rsidR="005A3F38" w:rsidRDefault="003114B5">
      <w:pPr>
        <w:numPr>
          <w:ilvl w:val="1"/>
          <w:numId w:val="16"/>
        </w:numPr>
        <w:spacing w:after="5" w:line="364" w:lineRule="auto"/>
        <w:ind w:right="2" w:hanging="708"/>
        <w:jc w:val="both"/>
      </w:pPr>
      <w:r>
        <w:rPr>
          <w:rFonts w:ascii="Times New Roman" w:eastAsia="Times New Roman" w:hAnsi="Times New Roman" w:cs="Times New Roman"/>
          <w:sz w:val="24"/>
        </w:rPr>
        <w:t xml:space="preserve">Пациентам с различными вариантами ВДИ, получающих иммуносупрессивную терапию в рамках лечения осложнений основного заболевания или сопутствующей патологии.  </w:t>
      </w:r>
      <w:r>
        <w:rPr>
          <w:rFonts w:ascii="Courier New" w:eastAsia="Courier New" w:hAnsi="Courier New" w:cs="Courier New"/>
          <w:sz w:val="24"/>
        </w:rPr>
        <w:t>o</w:t>
      </w:r>
      <w:r>
        <w:rPr>
          <w:rFonts w:ascii="Arial" w:eastAsia="Arial" w:hAnsi="Arial" w:cs="Arial"/>
          <w:sz w:val="24"/>
        </w:rPr>
        <w:t xml:space="preserve"> </w:t>
      </w:r>
      <w:r>
        <w:rPr>
          <w:rFonts w:ascii="Times New Roman" w:eastAsia="Times New Roman" w:hAnsi="Times New Roman" w:cs="Times New Roman"/>
          <w:sz w:val="24"/>
        </w:rPr>
        <w:t xml:space="preserve">Пациентам с различными </w:t>
      </w:r>
      <w:r>
        <w:rPr>
          <w:rFonts w:ascii="Times New Roman" w:eastAsia="Times New Roman" w:hAnsi="Times New Roman" w:cs="Times New Roman"/>
          <w:sz w:val="24"/>
        </w:rPr>
        <w:t xml:space="preserve">вариантами ВДИ с тяжелым течением сопутствующих осложнений с поражением легких [237, 238, 239]. </w:t>
      </w:r>
    </w:p>
    <w:p w:rsidR="005A3F38" w:rsidRDefault="003114B5">
      <w:pPr>
        <w:numPr>
          <w:ilvl w:val="1"/>
          <w:numId w:val="16"/>
        </w:numPr>
        <w:spacing w:after="132"/>
        <w:ind w:right="2" w:hanging="708"/>
        <w:jc w:val="both"/>
      </w:pPr>
      <w:r>
        <w:rPr>
          <w:rFonts w:ascii="Times New Roman" w:eastAsia="Times New Roman" w:hAnsi="Times New Roman" w:cs="Times New Roman"/>
          <w:sz w:val="24"/>
        </w:rPr>
        <w:t xml:space="preserve">детям до 24 месяцев после трансплантации внутренних органов или трансплантации </w:t>
      </w:r>
    </w:p>
    <w:p w:rsidR="005A3F38" w:rsidRDefault="003114B5">
      <w:pPr>
        <w:spacing w:after="115"/>
        <w:ind w:left="1090" w:right="2" w:hanging="10"/>
        <w:jc w:val="both"/>
      </w:pPr>
      <w:r>
        <w:rPr>
          <w:rFonts w:ascii="Times New Roman" w:eastAsia="Times New Roman" w:hAnsi="Times New Roman" w:cs="Times New Roman"/>
          <w:sz w:val="24"/>
        </w:rPr>
        <w:t xml:space="preserve">гемопоэтических стволовых клеток [9, 226, 240]].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w:t>
      </w:r>
      <w:r>
        <w:rPr>
          <w:rFonts w:ascii="Times New Roman" w:eastAsia="Times New Roman" w:hAnsi="Times New Roman" w:cs="Times New Roman"/>
          <w:b/>
          <w:sz w:val="24"/>
        </w:rPr>
        <w:t xml:space="preserve">ндаций C (уровень достоверности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Комментарии:</w:t>
      </w:r>
      <w:r>
        <w:rPr>
          <w:rFonts w:ascii="Times New Roman" w:eastAsia="Times New Roman" w:hAnsi="Times New Roman" w:cs="Times New Roman"/>
          <w:i/>
          <w:sz w:val="24"/>
        </w:rPr>
        <w:t xml:space="preserve"> принятие решения о проведении пассивной иммунизации паливизумабом** пациентам с перечисленными выше заболеваниями и состояниями осуществляет консилиум специалистов на основании результатов оц</w:t>
      </w:r>
      <w:r>
        <w:rPr>
          <w:rFonts w:ascii="Times New Roman" w:eastAsia="Times New Roman" w:hAnsi="Times New Roman" w:cs="Times New Roman"/>
          <w:i/>
          <w:sz w:val="24"/>
        </w:rPr>
        <w:t>енки риска развития РСВ инфекции тяжелого течения.</w:t>
      </w:r>
      <w:r>
        <w:rPr>
          <w:rFonts w:ascii="Times New Roman" w:eastAsia="Times New Roman" w:hAnsi="Times New Roman" w:cs="Times New Roman"/>
          <w:sz w:val="28"/>
        </w:rPr>
        <w:t xml:space="preserve"> </w:t>
      </w:r>
    </w:p>
    <w:p w:rsidR="005A3F38" w:rsidRDefault="003114B5">
      <w:pPr>
        <w:spacing w:after="0"/>
        <w:ind w:left="360"/>
      </w:pPr>
      <w:r>
        <w:rPr>
          <w:rFonts w:ascii="Times New Roman" w:eastAsia="Times New Roman" w:hAnsi="Times New Roman" w:cs="Times New Roman"/>
          <w:i/>
          <w:sz w:val="24"/>
        </w:rPr>
        <w:t xml:space="preserve"> </w:t>
      </w:r>
    </w:p>
    <w:p w:rsidR="005A3F38" w:rsidRDefault="003114B5">
      <w:pPr>
        <w:numPr>
          <w:ilvl w:val="0"/>
          <w:numId w:val="16"/>
        </w:numPr>
        <w:spacing w:after="5" w:line="364" w:lineRule="auto"/>
        <w:ind w:hanging="360"/>
        <w:jc w:val="both"/>
      </w:pPr>
      <w:r>
        <w:rPr>
          <w:rFonts w:ascii="Times New Roman" w:eastAsia="Times New Roman" w:hAnsi="Times New Roman" w:cs="Times New Roman"/>
          <w:sz w:val="24"/>
        </w:rPr>
        <w:t xml:space="preserve">Рекомендовано селективное применение для постконтактной профилактики при наличии в анамнезе контакта с больным ОРВИ прямого противовирусного препарата широкого спектра действия умифеновир** </w:t>
      </w:r>
      <w:r>
        <w:rPr>
          <w:rFonts w:ascii="Times New Roman" w:eastAsia="Times New Roman" w:hAnsi="Times New Roman" w:cs="Times New Roman"/>
          <w:sz w:val="24"/>
        </w:rPr>
        <w:t>(J05AX противовирусные препараты другие) согласно инструкции по применению</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[241]. </w:t>
      </w:r>
    </w:p>
    <w:p w:rsidR="005A3F38" w:rsidRDefault="003114B5">
      <w:pPr>
        <w:spacing w:after="0" w:line="358" w:lineRule="auto"/>
        <w:ind w:left="35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 5). Комментарии: </w:t>
      </w:r>
      <w:r>
        <w:rPr>
          <w:rFonts w:ascii="Times New Roman" w:eastAsia="Times New Roman" w:hAnsi="Times New Roman" w:cs="Times New Roman"/>
          <w:i/>
          <w:sz w:val="24"/>
        </w:rPr>
        <w:t>доказательства эффективности применения препарата с данной целью невысокого уро</w:t>
      </w:r>
      <w:r>
        <w:rPr>
          <w:rFonts w:ascii="Times New Roman" w:eastAsia="Times New Roman" w:hAnsi="Times New Roman" w:cs="Times New Roman"/>
          <w:i/>
          <w:sz w:val="24"/>
        </w:rPr>
        <w:t>вня.</w:t>
      </w:r>
      <w:r>
        <w:rPr>
          <w:rFonts w:ascii="Times New Roman" w:eastAsia="Times New Roman" w:hAnsi="Times New Roman" w:cs="Times New Roman"/>
          <w:b/>
          <w:sz w:val="24"/>
        </w:rPr>
        <w:t xml:space="preserve"> </w:t>
      </w:r>
      <w:r>
        <w:rPr>
          <w:rFonts w:ascii="Times New Roman" w:eastAsia="Times New Roman" w:hAnsi="Times New Roman" w:cs="Times New Roman"/>
          <w:b/>
          <w:i/>
          <w:sz w:val="24"/>
        </w:rPr>
        <w:t xml:space="preserve"> </w:t>
      </w:r>
    </w:p>
    <w:p w:rsidR="005A3F38" w:rsidRDefault="003114B5">
      <w:pPr>
        <w:spacing w:after="112"/>
        <w:ind w:left="360"/>
      </w:pPr>
      <w:r>
        <w:rPr>
          <w:rFonts w:ascii="Times New Roman" w:eastAsia="Times New Roman" w:hAnsi="Times New Roman" w:cs="Times New Roman"/>
          <w:i/>
          <w:sz w:val="24"/>
        </w:rPr>
        <w:t xml:space="preserve"> </w:t>
      </w:r>
    </w:p>
    <w:p w:rsidR="005A3F38" w:rsidRDefault="003114B5">
      <w:pPr>
        <w:pStyle w:val="Heading2"/>
        <w:spacing w:after="127" w:line="249" w:lineRule="auto"/>
        <w:ind w:left="937"/>
        <w:jc w:val="left"/>
      </w:pPr>
      <w:bookmarkStart w:id="30" w:name="_Toc141903"/>
      <w:r>
        <w:rPr>
          <w:u w:val="none"/>
        </w:rPr>
        <w:t>5.1 Профилактика рецидивирующих инфекций</w:t>
      </w:r>
      <w:r>
        <w:rPr>
          <w:u w:val="none"/>
        </w:rPr>
        <w:t xml:space="preserve"> </w:t>
      </w:r>
      <w:bookmarkEnd w:id="30"/>
    </w:p>
    <w:p w:rsidR="005A3F38" w:rsidRDefault="003114B5">
      <w:pPr>
        <w:spacing w:after="4" w:line="367" w:lineRule="auto"/>
        <w:ind w:left="345" w:firstLine="566"/>
        <w:jc w:val="both"/>
      </w:pPr>
      <w:r>
        <w:rPr>
          <w:rFonts w:ascii="Times New Roman" w:eastAsia="Times New Roman" w:hAnsi="Times New Roman" w:cs="Times New Roman"/>
          <w:i/>
          <w:sz w:val="24"/>
        </w:rPr>
        <w:t>Особую группу составляют дети с рецидивирующими респираторными инфекциями (</w:t>
      </w:r>
      <w:r>
        <w:rPr>
          <w:rFonts w:ascii="Times New Roman" w:eastAsia="Times New Roman" w:hAnsi="Times New Roman" w:cs="Times New Roman"/>
          <w:i/>
          <w:sz w:val="24"/>
        </w:rPr>
        <w:t xml:space="preserve">ранее так называемые часто болеющие дети). Критерием включения в эту группу является повышенная частота заболеваемости ОРВИ в течение 1 года.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 Причинами рецидивов респираторных инфекций могут быть особенности инфекционного агента, экология, психосоматика</w:t>
      </w:r>
      <w:r>
        <w:rPr>
          <w:rFonts w:ascii="Times New Roman" w:eastAsia="Times New Roman" w:hAnsi="Times New Roman" w:cs="Times New Roman"/>
          <w:i/>
          <w:sz w:val="24"/>
        </w:rPr>
        <w:t xml:space="preserve">, пассивное табакокурение, атопия, хронические заболевания (например, муковисцидоз, гастроэзофагеальная рефлюксная болезнь, врожденные пороки сердца, хроническая аспирация, иммунодефицитные состояния и т.д.) [242, 243, 244]. </w:t>
      </w:r>
    </w:p>
    <w:p w:rsidR="005A3F38" w:rsidRDefault="003114B5">
      <w:pPr>
        <w:spacing w:after="4" w:line="367" w:lineRule="auto"/>
        <w:ind w:left="345" w:firstLine="708"/>
        <w:jc w:val="both"/>
      </w:pPr>
      <w:r>
        <w:rPr>
          <w:rFonts w:ascii="Times New Roman" w:eastAsia="Times New Roman" w:hAnsi="Times New Roman" w:cs="Times New Roman"/>
          <w:i/>
          <w:sz w:val="24"/>
        </w:rPr>
        <w:t>Так, общеизвестно, что иммунны</w:t>
      </w:r>
      <w:r>
        <w:rPr>
          <w:rFonts w:ascii="Times New Roman" w:eastAsia="Times New Roman" w:hAnsi="Times New Roman" w:cs="Times New Roman"/>
          <w:i/>
          <w:sz w:val="24"/>
        </w:rPr>
        <w:t>й ответ у лиц с аллергическими заболеваниями развивается преимущественно по Th2 типу с более низкой продукцией интерферона, преимущественной выработкой иммуноглобулинов класса Е и недостаточным синтезом IgG, что способствует более частой заболеваемости ОРВ</w:t>
      </w:r>
      <w:r>
        <w:rPr>
          <w:rFonts w:ascii="Times New Roman" w:eastAsia="Times New Roman" w:hAnsi="Times New Roman" w:cs="Times New Roman"/>
          <w:i/>
          <w:sz w:val="24"/>
        </w:rPr>
        <w:t>И. Часть детей с рецидивами ОРВИ имеет некоторые отклонения параметров иммунного статуса транзиторного характера [245]. Вышеперечисленные состояния рассматриваются как преходящая функциональная нестабильность иммунитета, приводящая к снижению противоинфекц</w:t>
      </w:r>
      <w:r>
        <w:rPr>
          <w:rFonts w:ascii="Times New Roman" w:eastAsia="Times New Roman" w:hAnsi="Times New Roman" w:cs="Times New Roman"/>
          <w:i/>
          <w:sz w:val="24"/>
        </w:rPr>
        <w:t xml:space="preserve">ионной резистентности у этих детей. Однако, на основании результатов исследования иммунного статуса прицельный подбор иммунокорригирующей терапии практически неосуществим. </w:t>
      </w:r>
    </w:p>
    <w:p w:rsidR="005A3F38" w:rsidRDefault="003114B5">
      <w:pPr>
        <w:spacing w:after="4" w:line="367" w:lineRule="auto"/>
        <w:ind w:left="345" w:firstLine="566"/>
        <w:jc w:val="both"/>
      </w:pPr>
      <w:r>
        <w:rPr>
          <w:rFonts w:ascii="Times New Roman" w:eastAsia="Times New Roman" w:hAnsi="Times New Roman" w:cs="Times New Roman"/>
          <w:i/>
          <w:sz w:val="24"/>
        </w:rPr>
        <w:t>В последние годы исследуется возможность применения различных препаратов, обладающи</w:t>
      </w:r>
      <w:r>
        <w:rPr>
          <w:rFonts w:ascii="Times New Roman" w:eastAsia="Times New Roman" w:hAnsi="Times New Roman" w:cs="Times New Roman"/>
          <w:i/>
          <w:sz w:val="24"/>
        </w:rPr>
        <w:t xml:space="preserve">х иммуномодулирующей/иммуностимулирующей активностью, с целью усиления защиты от ОРВИ </w:t>
      </w:r>
    </w:p>
    <w:p w:rsidR="005A3F38" w:rsidRDefault="003114B5">
      <w:pPr>
        <w:spacing w:after="141"/>
        <w:ind w:left="355" w:hanging="10"/>
      </w:pPr>
      <w:r>
        <w:rPr>
          <w:rFonts w:ascii="Times New Roman" w:eastAsia="Times New Roman" w:hAnsi="Times New Roman" w:cs="Times New Roman"/>
          <w:i/>
          <w:sz w:val="24"/>
        </w:rPr>
        <w:t xml:space="preserve">[167]. </w:t>
      </w:r>
    </w:p>
    <w:p w:rsidR="005A3F38" w:rsidRDefault="003114B5">
      <w:pPr>
        <w:numPr>
          <w:ilvl w:val="0"/>
          <w:numId w:val="17"/>
        </w:numPr>
        <w:spacing w:after="5" w:line="364" w:lineRule="auto"/>
        <w:ind w:right="2" w:hanging="708"/>
        <w:jc w:val="both"/>
      </w:pPr>
      <w:r>
        <w:rPr>
          <w:rFonts w:ascii="Times New Roman" w:eastAsia="Times New Roman" w:hAnsi="Times New Roman" w:cs="Times New Roman"/>
          <w:sz w:val="24"/>
        </w:rPr>
        <w:t>Рекомендовано детям, часто болеющим острыми респираторными инфекциями, селективное, с осторожностью, применение препаратов группы Прочие препараты для лечения за</w:t>
      </w:r>
      <w:r>
        <w:rPr>
          <w:rFonts w:ascii="Times New Roman" w:eastAsia="Times New Roman" w:hAnsi="Times New Roman" w:cs="Times New Roman"/>
          <w:sz w:val="24"/>
        </w:rPr>
        <w:t xml:space="preserve">болеваний дыхательной системы (R07AX) (лизатов бактерий смесь) или «Иммуностимуляторы; Другие иммуностимуляторы» (код АТХ L03AX) (например, пидотимод (детям с 3 лет)) для профилактики рецидивирующих инфекций ЛОР-органов и дыхательных путей </w:t>
      </w:r>
      <w:r>
        <w:rPr>
          <w:rFonts w:ascii="Times New Roman" w:eastAsia="Times New Roman" w:hAnsi="Times New Roman" w:cs="Times New Roman"/>
          <w:i/>
          <w:sz w:val="24"/>
        </w:rPr>
        <w:t xml:space="preserve">[246, 247, 248, </w:t>
      </w:r>
      <w:r>
        <w:rPr>
          <w:rFonts w:ascii="Times New Roman" w:eastAsia="Times New Roman" w:hAnsi="Times New Roman" w:cs="Times New Roman"/>
          <w:i/>
          <w:sz w:val="24"/>
        </w:rPr>
        <w:t xml:space="preserve">249, 250,251, 252].  </w:t>
      </w:r>
    </w:p>
    <w:p w:rsidR="005A3F38" w:rsidRDefault="003114B5">
      <w:pPr>
        <w:spacing w:after="4" w:line="367" w:lineRule="auto"/>
        <w:ind w:left="355" w:hanging="10"/>
        <w:jc w:val="both"/>
      </w:pPr>
      <w:r>
        <w:rPr>
          <w:rFonts w:ascii="Times New Roman" w:eastAsia="Times New Roman" w:hAnsi="Times New Roman" w:cs="Times New Roman"/>
          <w:b/>
          <w:sz w:val="24"/>
        </w:rPr>
        <w:t>(Уровень убедительности рекомендаций С; уровень достоверности доказательств - 1). Комментарии:</w:t>
      </w:r>
      <w:r>
        <w:t xml:space="preserve"> </w:t>
      </w:r>
      <w:r>
        <w:rPr>
          <w:rFonts w:ascii="Times New Roman" w:eastAsia="Times New Roman" w:hAnsi="Times New Roman" w:cs="Times New Roman"/>
          <w:i/>
          <w:sz w:val="24"/>
        </w:rPr>
        <w:t>эти препараты могут сократить заболеваемость ОРВИ детей с рецидивирующими инфекциями верхних дыхательных путей, хотя результаты доступных н</w:t>
      </w:r>
      <w:r>
        <w:rPr>
          <w:rFonts w:ascii="Times New Roman" w:eastAsia="Times New Roman" w:hAnsi="Times New Roman" w:cs="Times New Roman"/>
          <w:i/>
          <w:sz w:val="24"/>
        </w:rPr>
        <w:t xml:space="preserve">аблюдений неоднородны </w:t>
      </w:r>
    </w:p>
    <w:p w:rsidR="005A3F38" w:rsidRDefault="003114B5">
      <w:pPr>
        <w:spacing w:after="3"/>
        <w:ind w:left="355" w:hanging="10"/>
      </w:pPr>
      <w:r>
        <w:rPr>
          <w:rFonts w:ascii="Times New Roman" w:eastAsia="Times New Roman" w:hAnsi="Times New Roman" w:cs="Times New Roman"/>
          <w:i/>
          <w:sz w:val="24"/>
        </w:rPr>
        <w:t xml:space="preserve">[246].  </w:t>
      </w:r>
    </w:p>
    <w:p w:rsidR="005A3F38" w:rsidRDefault="003114B5">
      <w:pPr>
        <w:spacing w:after="4" w:line="367" w:lineRule="auto"/>
        <w:ind w:left="355" w:hanging="10"/>
        <w:jc w:val="both"/>
      </w:pPr>
      <w:r>
        <w:rPr>
          <w:rFonts w:ascii="Times New Roman" w:eastAsia="Times New Roman" w:hAnsi="Times New Roman" w:cs="Times New Roman"/>
          <w:i/>
          <w:sz w:val="24"/>
        </w:rPr>
        <w:t xml:space="preserve">Наибольшим объемом доказательств обладают бактериальные лизаты – как в отношении ОРВИ и заболеваний ЛОР-органов, так и обострений хронической патологии, в том числе астмы [247, 248].  </w:t>
      </w:r>
      <w:r>
        <w:rPr>
          <w:rFonts w:ascii="Times New Roman" w:eastAsia="Times New Roman" w:hAnsi="Times New Roman" w:cs="Times New Roman"/>
          <w:i/>
          <w:sz w:val="24"/>
        </w:rPr>
        <w:t xml:space="preserve">Перед решением о назначении этих и иных препаратов - следует взвесить потенциальные риски и ожидаемую пользу. </w:t>
      </w:r>
    </w:p>
    <w:p w:rsidR="005A3F38" w:rsidRDefault="003114B5">
      <w:pPr>
        <w:spacing w:after="163"/>
        <w:ind w:left="927"/>
      </w:pPr>
      <w:r>
        <w:rPr>
          <w:rFonts w:ascii="Times New Roman" w:eastAsia="Times New Roman" w:hAnsi="Times New Roman" w:cs="Times New Roman"/>
          <w:i/>
          <w:sz w:val="24"/>
        </w:rPr>
        <w:t xml:space="preserve"> </w:t>
      </w:r>
    </w:p>
    <w:p w:rsidR="005A3F38" w:rsidRDefault="003114B5">
      <w:pPr>
        <w:numPr>
          <w:ilvl w:val="0"/>
          <w:numId w:val="17"/>
        </w:numPr>
        <w:spacing w:after="74"/>
        <w:ind w:right="2" w:hanging="708"/>
        <w:jc w:val="both"/>
      </w:pPr>
      <w:r>
        <w:rPr>
          <w:rFonts w:ascii="Times New Roman" w:eastAsia="Times New Roman" w:hAnsi="Times New Roman" w:cs="Times New Roman"/>
          <w:sz w:val="24"/>
        </w:rPr>
        <w:t xml:space="preserve">Не рекомендуется детям с рецидивирующими ОРВИ рутинное использование: </w:t>
      </w:r>
    </w:p>
    <w:p w:rsidR="005A3F38" w:rsidRDefault="003114B5">
      <w:pPr>
        <w:numPr>
          <w:ilvl w:val="0"/>
          <w:numId w:val="18"/>
        </w:numPr>
        <w:spacing w:after="112"/>
        <w:ind w:left="544" w:right="2" w:hanging="199"/>
        <w:jc w:val="both"/>
      </w:pPr>
      <w:r>
        <w:rPr>
          <w:rFonts w:ascii="Times New Roman" w:eastAsia="Times New Roman" w:hAnsi="Times New Roman" w:cs="Times New Roman"/>
          <w:sz w:val="24"/>
        </w:rPr>
        <w:t xml:space="preserve">растительных компонентов [256, 257, 258]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w:t>
      </w:r>
      <w:r>
        <w:rPr>
          <w:rFonts w:ascii="Times New Roman" w:eastAsia="Times New Roman" w:hAnsi="Times New Roman" w:cs="Times New Roman"/>
          <w:b/>
          <w:sz w:val="24"/>
        </w:rPr>
        <w:t xml:space="preserve">ндаций С; уровень достоверности доказательств - 1),  </w:t>
      </w:r>
    </w:p>
    <w:p w:rsidR="005A3F38" w:rsidRDefault="003114B5">
      <w:pPr>
        <w:numPr>
          <w:ilvl w:val="0"/>
          <w:numId w:val="18"/>
        </w:numPr>
        <w:spacing w:after="119"/>
        <w:ind w:left="544" w:right="2" w:hanging="199"/>
        <w:jc w:val="both"/>
      </w:pPr>
      <w:r>
        <w:rPr>
          <w:rFonts w:ascii="Times New Roman" w:eastAsia="Times New Roman" w:hAnsi="Times New Roman" w:cs="Times New Roman"/>
          <w:sz w:val="24"/>
        </w:rPr>
        <w:t xml:space="preserve">аскорбиновой кислоты** [213] </w:t>
      </w:r>
    </w:p>
    <w:p w:rsidR="005A3F38" w:rsidRDefault="003114B5">
      <w:pPr>
        <w:spacing w:after="3" w:line="356" w:lineRule="auto"/>
        <w:ind w:left="355" w:right="787" w:hanging="10"/>
      </w:pPr>
      <w:r>
        <w:rPr>
          <w:rFonts w:ascii="Times New Roman" w:eastAsia="Times New Roman" w:hAnsi="Times New Roman" w:cs="Times New Roman"/>
          <w:b/>
          <w:sz w:val="24"/>
        </w:rPr>
        <w:t>(Уровень убедительности рекомендаций С; уровень достоверности доказательств - 5)</w:t>
      </w:r>
      <w:r>
        <w:rPr>
          <w:rFonts w:ascii="Times New Roman" w:eastAsia="Times New Roman" w:hAnsi="Times New Roman" w:cs="Times New Roman"/>
          <w:sz w:val="24"/>
        </w:rPr>
        <w:t xml:space="preserve">,  - гомеопатических препаратов [254, 255, 259].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w:t>
      </w:r>
      <w:r>
        <w:rPr>
          <w:rFonts w:ascii="Times New Roman" w:eastAsia="Times New Roman" w:hAnsi="Times New Roman" w:cs="Times New Roman"/>
          <w:b/>
          <w:sz w:val="24"/>
        </w:rPr>
        <w:t xml:space="preserve">овень достоверности доказательств - 2).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эффективность применения отдельных витаминов, противодиарейных микроорганизмов/БАД, содержащих пробиотики и др., а также комплементарной и альтернативной медицины для профилактики ОРВИ продолжает изучат</w:t>
      </w:r>
      <w:r>
        <w:rPr>
          <w:rFonts w:ascii="Times New Roman" w:eastAsia="Times New Roman" w:hAnsi="Times New Roman" w:cs="Times New Roman"/>
          <w:i/>
          <w:sz w:val="24"/>
        </w:rPr>
        <w:t>ься. К сожалению, реальные преимущества, описанные в публикациях, заставляют сомневаться в целесообразности назначения и требуют подтверждения дополнительными исследованиями</w:t>
      </w:r>
      <w:r>
        <w:rPr>
          <w:rFonts w:ascii="Times New Roman" w:eastAsia="Times New Roman" w:hAnsi="Times New Roman" w:cs="Times New Roman"/>
          <w:i/>
          <w:sz w:val="20"/>
        </w:rPr>
        <w:t xml:space="preserve"> [</w:t>
      </w:r>
      <w:r>
        <w:rPr>
          <w:rFonts w:ascii="Times New Roman" w:eastAsia="Times New Roman" w:hAnsi="Times New Roman" w:cs="Times New Roman"/>
          <w:i/>
          <w:sz w:val="24"/>
        </w:rPr>
        <w:t>167</w:t>
      </w:r>
      <w:r>
        <w:rPr>
          <w:rFonts w:ascii="Times New Roman" w:eastAsia="Times New Roman" w:hAnsi="Times New Roman" w:cs="Times New Roman"/>
          <w:sz w:val="20"/>
        </w:rPr>
        <w:t xml:space="preserve">]. </w:t>
      </w:r>
    </w:p>
    <w:p w:rsidR="005A3F38" w:rsidRDefault="003114B5">
      <w:pPr>
        <w:ind w:left="360"/>
      </w:pPr>
      <w:r>
        <w:rPr>
          <w:rFonts w:ascii="Times New Roman" w:eastAsia="Times New Roman" w:hAnsi="Times New Roman" w:cs="Times New Roman"/>
          <w:sz w:val="20"/>
        </w:rPr>
        <w:t xml:space="preserve"> </w:t>
      </w:r>
    </w:p>
    <w:p w:rsidR="005A3F38" w:rsidRDefault="003114B5">
      <w:pPr>
        <w:numPr>
          <w:ilvl w:val="0"/>
          <w:numId w:val="19"/>
        </w:numPr>
        <w:spacing w:after="5" w:line="364" w:lineRule="auto"/>
        <w:ind w:right="1" w:hanging="360"/>
        <w:jc w:val="both"/>
      </w:pPr>
      <w:r>
        <w:rPr>
          <w:rFonts w:ascii="Times New Roman" w:eastAsia="Times New Roman" w:hAnsi="Times New Roman" w:cs="Times New Roman"/>
          <w:sz w:val="24"/>
        </w:rPr>
        <w:t>Рекомендовано обеспечение достаточного потребления детьми с рецидивирующими ОРВИ препаратов группы «витамин D и его аналоги» с целью коррекции дефицита и профилактики респираторных инфекций [260]</w:t>
      </w:r>
      <w:r>
        <w:rPr>
          <w:rFonts w:ascii="Times New Roman" w:eastAsia="Times New Roman" w:hAnsi="Times New Roman" w:cs="Times New Roman"/>
          <w:i/>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Уровень убедительности рекомендаций С (уровень достовернос</w:t>
      </w:r>
      <w:r>
        <w:rPr>
          <w:rFonts w:ascii="Times New Roman" w:eastAsia="Times New Roman" w:hAnsi="Times New Roman" w:cs="Times New Roman"/>
          <w:b/>
          <w:sz w:val="24"/>
        </w:rPr>
        <w:t xml:space="preserve">ти доказательств - 5).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в исследованиях низкий уровень витамина D был ассоциирован с повышением заболеваемости респираторными инфекциями, в частности, гриппом. Дотация препаратов группы «Витамин D и его аналоги» позволила значимо снизить забол</w:t>
      </w:r>
      <w:r>
        <w:rPr>
          <w:rFonts w:ascii="Times New Roman" w:eastAsia="Times New Roman" w:hAnsi="Times New Roman" w:cs="Times New Roman"/>
          <w:i/>
          <w:sz w:val="24"/>
        </w:rPr>
        <w:t xml:space="preserve">еваемость ОРВИ как среди условно здоровых детей, так и среди пациентов с иммунодефицитом [260]. </w:t>
      </w:r>
    </w:p>
    <w:p w:rsidR="005A3F38" w:rsidRDefault="003114B5">
      <w:pPr>
        <w:spacing w:after="140"/>
        <w:ind w:left="360"/>
      </w:pPr>
      <w:r>
        <w:rPr>
          <w:rFonts w:ascii="Times New Roman" w:eastAsia="Times New Roman" w:hAnsi="Times New Roman" w:cs="Times New Roman"/>
          <w:i/>
          <w:sz w:val="24"/>
        </w:rPr>
        <w:t xml:space="preserve"> </w:t>
      </w:r>
    </w:p>
    <w:p w:rsidR="005A3F38" w:rsidRDefault="003114B5">
      <w:pPr>
        <w:numPr>
          <w:ilvl w:val="0"/>
          <w:numId w:val="19"/>
        </w:numPr>
        <w:spacing w:after="1" w:line="372" w:lineRule="auto"/>
        <w:ind w:right="1" w:hanging="360"/>
        <w:jc w:val="both"/>
      </w:pPr>
      <w:r>
        <w:rPr>
          <w:rFonts w:ascii="Times New Roman" w:eastAsia="Times New Roman" w:hAnsi="Times New Roman" w:cs="Times New Roman"/>
          <w:color w:val="2C2D2E"/>
          <w:sz w:val="24"/>
        </w:rPr>
        <w:t xml:space="preserve">Рекомендовано детям, часто переносящим ОРВИ, селективное применение </w:t>
      </w:r>
      <w:r>
        <w:rPr>
          <w:rFonts w:ascii="Times New Roman" w:eastAsia="Times New Roman" w:hAnsi="Times New Roman" w:cs="Times New Roman"/>
          <w:i/>
          <w:color w:val="2C2D2E"/>
          <w:sz w:val="24"/>
        </w:rPr>
        <w:t>L.rhamnosus GG</w:t>
      </w:r>
      <w:r>
        <w:rPr>
          <w:rFonts w:ascii="Times New Roman" w:eastAsia="Times New Roman" w:hAnsi="Times New Roman" w:cs="Times New Roman"/>
          <w:color w:val="2C2D2E"/>
          <w:sz w:val="24"/>
        </w:rPr>
        <w:t>, входящих в состав биологически активной добавки к пище в дозе ≥10</w:t>
      </w:r>
      <w:r>
        <w:rPr>
          <w:rFonts w:ascii="Times New Roman" w:eastAsia="Times New Roman" w:hAnsi="Times New Roman" w:cs="Times New Roman"/>
          <w:color w:val="2C2D2E"/>
          <w:sz w:val="24"/>
          <w:vertAlign w:val="superscript"/>
        </w:rPr>
        <w:t>9</w:t>
      </w:r>
      <w:r>
        <w:rPr>
          <w:rFonts w:ascii="Times New Roman" w:eastAsia="Times New Roman" w:hAnsi="Times New Roman" w:cs="Times New Roman"/>
          <w:color w:val="2C2D2E"/>
          <w:sz w:val="24"/>
        </w:rPr>
        <w:t xml:space="preserve">КОЕ (колониеобразующих единиц)/сутки и длительностью курса 3-6 мес. и/или </w:t>
      </w:r>
    </w:p>
    <w:p w:rsidR="005A3F38" w:rsidRDefault="003114B5">
      <w:pPr>
        <w:spacing w:after="135"/>
        <w:ind w:right="7"/>
        <w:jc w:val="right"/>
      </w:pPr>
      <w:r>
        <w:rPr>
          <w:rFonts w:ascii="Times New Roman" w:eastAsia="Times New Roman" w:hAnsi="Times New Roman" w:cs="Times New Roman"/>
          <w:i/>
          <w:color w:val="2C2D2E"/>
          <w:sz w:val="24"/>
        </w:rPr>
        <w:t>Streptococcus salivarius</w:t>
      </w:r>
      <w:r>
        <w:rPr>
          <w:rFonts w:ascii="Times New Roman" w:eastAsia="Times New Roman" w:hAnsi="Times New Roman" w:cs="Times New Roman"/>
          <w:color w:val="2C2D2E"/>
          <w:sz w:val="24"/>
        </w:rPr>
        <w:t xml:space="preserve">, входящих в состав биологически активной добавки к пище в дозе </w:t>
      </w:r>
    </w:p>
    <w:p w:rsidR="005A3F38" w:rsidRDefault="003114B5">
      <w:pPr>
        <w:spacing w:after="1" w:line="372" w:lineRule="auto"/>
        <w:ind w:left="1090" w:hanging="10"/>
        <w:jc w:val="both"/>
      </w:pPr>
      <w:r>
        <w:rPr>
          <w:rFonts w:ascii="Times New Roman" w:eastAsia="Times New Roman" w:hAnsi="Times New Roman" w:cs="Times New Roman"/>
          <w:color w:val="2C2D2E"/>
          <w:sz w:val="24"/>
        </w:rPr>
        <w:t>≥10</w:t>
      </w:r>
      <w:r>
        <w:rPr>
          <w:rFonts w:ascii="Times New Roman" w:eastAsia="Times New Roman" w:hAnsi="Times New Roman" w:cs="Times New Roman"/>
          <w:color w:val="2C2D2E"/>
          <w:sz w:val="24"/>
          <w:vertAlign w:val="superscript"/>
        </w:rPr>
        <w:t>9</w:t>
      </w:r>
      <w:r>
        <w:rPr>
          <w:rFonts w:ascii="Times New Roman" w:eastAsia="Times New Roman" w:hAnsi="Times New Roman" w:cs="Times New Roman"/>
          <w:color w:val="2C2D2E"/>
          <w:sz w:val="24"/>
        </w:rPr>
        <w:t>КОЕ/сутки и длительностью курса 3-6 мес для профилактики респираторных инфекций [261</w:t>
      </w:r>
      <w:r>
        <w:rPr>
          <w:rFonts w:ascii="Times New Roman" w:eastAsia="Times New Roman" w:hAnsi="Times New Roman" w:cs="Times New Roman"/>
          <w:sz w:val="24"/>
        </w:rPr>
        <w:t>, 26</w:t>
      </w:r>
      <w:r>
        <w:rPr>
          <w:rFonts w:ascii="Times New Roman" w:eastAsia="Times New Roman" w:hAnsi="Times New Roman" w:cs="Times New Roman"/>
          <w:sz w:val="24"/>
        </w:rPr>
        <w:t xml:space="preserve">2, 263, 264, 265, 266, 267, 268 346, 347. 348, 349, 350, 351, 352]. </w:t>
      </w:r>
    </w:p>
    <w:p w:rsidR="005A3F38" w:rsidRDefault="003114B5">
      <w:pPr>
        <w:spacing w:after="127" w:line="249" w:lineRule="auto"/>
        <w:ind w:left="355" w:hanging="10"/>
      </w:pPr>
      <w:r>
        <w:rPr>
          <w:rFonts w:ascii="Times New Roman" w:eastAsia="Times New Roman" w:hAnsi="Times New Roman" w:cs="Times New Roman"/>
          <w:b/>
          <w:sz w:val="24"/>
        </w:rPr>
        <w:t xml:space="preserve">Уровень убедительности рекомендаций B (уровень достоверности доказательств – 1). </w:t>
      </w:r>
    </w:p>
    <w:p w:rsidR="005A3F38" w:rsidRDefault="003114B5">
      <w:pPr>
        <w:spacing w:after="4" w:line="367" w:lineRule="auto"/>
        <w:ind w:left="355" w:hanging="10"/>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по данным систематических обзоров и метаанализов продемонстрирована эффективность L.rhamnosu</w:t>
      </w:r>
      <w:r>
        <w:rPr>
          <w:rFonts w:ascii="Times New Roman" w:eastAsia="Times New Roman" w:hAnsi="Times New Roman" w:cs="Times New Roman"/>
          <w:i/>
          <w:sz w:val="24"/>
        </w:rPr>
        <w:t>s GG в сравнении с плацебо по следующим критериям: снижение риска возникновения респираторных инфекций, уменьшение частоты респираторных инфекций, средняя длительность эпизода респираторной инфекции, частота назначения антибактериальных препаратов системно</w:t>
      </w:r>
      <w:r>
        <w:rPr>
          <w:rFonts w:ascii="Times New Roman" w:eastAsia="Times New Roman" w:hAnsi="Times New Roman" w:cs="Times New Roman"/>
          <w:i/>
          <w:sz w:val="24"/>
        </w:rPr>
        <w:t xml:space="preserve">го действия по поводу инфекций верхних дыхательных путей. Пробиотический штамм S.salivarius K12 эффективен в отношении снижения частоты респираторных инфекций (ринита, фарингита, ларингита, острого среднего отита), в том числе и рецидивирующих [269].  </w:t>
      </w:r>
    </w:p>
    <w:p w:rsidR="005A3F38" w:rsidRDefault="003114B5">
      <w:pPr>
        <w:pStyle w:val="Heading1"/>
        <w:spacing w:after="114" w:line="259" w:lineRule="auto"/>
        <w:ind w:left="1063"/>
        <w:jc w:val="left"/>
      </w:pPr>
      <w:bookmarkStart w:id="31" w:name="_Toc141904"/>
      <w:r>
        <w:rPr>
          <w:i/>
          <w:sz w:val="24"/>
          <w:u w:val="single" w:color="000000"/>
        </w:rPr>
        <w:t xml:space="preserve">6. </w:t>
      </w:r>
      <w:r>
        <w:rPr>
          <w:i/>
          <w:sz w:val="24"/>
          <w:u w:val="single" w:color="000000"/>
        </w:rPr>
        <w:t>Организация оказания медицинской помощи</w:t>
      </w:r>
      <w:r>
        <w:rPr>
          <w:sz w:val="24"/>
        </w:rPr>
        <w:t xml:space="preserve"> </w:t>
      </w:r>
      <w:bookmarkEnd w:id="31"/>
    </w:p>
    <w:p w:rsidR="005A3F38" w:rsidRDefault="003114B5">
      <w:pPr>
        <w:spacing w:after="4" w:line="367" w:lineRule="auto"/>
        <w:ind w:left="345" w:firstLine="708"/>
        <w:jc w:val="both"/>
      </w:pPr>
      <w:r>
        <w:rPr>
          <w:rFonts w:ascii="Times New Roman" w:eastAsia="Times New Roman" w:hAnsi="Times New Roman" w:cs="Times New Roman"/>
          <w:i/>
          <w:sz w:val="24"/>
        </w:rPr>
        <w:t xml:space="preserve">Детям с ОРВИ может быть оказана медицинская помощь, при необходимости, в любых условиях и формах, предусмотренных российским законодательством. </w:t>
      </w:r>
    </w:p>
    <w:p w:rsidR="005A3F38" w:rsidRDefault="003114B5">
      <w:pPr>
        <w:spacing w:after="4" w:line="367" w:lineRule="auto"/>
        <w:ind w:left="345" w:firstLine="708"/>
        <w:jc w:val="both"/>
      </w:pPr>
      <w:r>
        <w:rPr>
          <w:rFonts w:ascii="Times New Roman" w:eastAsia="Times New Roman" w:hAnsi="Times New Roman" w:cs="Times New Roman"/>
          <w:i/>
          <w:sz w:val="24"/>
        </w:rPr>
        <w:t>Ребенок при ОРВИ обычно наблюдается в амбулаторно-поликлинических усло</w:t>
      </w:r>
      <w:r>
        <w:rPr>
          <w:rFonts w:ascii="Times New Roman" w:eastAsia="Times New Roman" w:hAnsi="Times New Roman" w:cs="Times New Roman"/>
          <w:i/>
          <w:sz w:val="24"/>
        </w:rPr>
        <w:t>виях врачомпедиатром/врачом-педиатром участковым/врачом общей практики (семейным врачом) или врачоминфекционистом. Режим общий или, при необходимости, полупостельный с быстрым переходом на общий после снижения температуры. Повторный осмотр необходим при со</w:t>
      </w:r>
      <w:r>
        <w:rPr>
          <w:rFonts w:ascii="Times New Roman" w:eastAsia="Times New Roman" w:hAnsi="Times New Roman" w:cs="Times New Roman"/>
          <w:i/>
          <w:sz w:val="24"/>
        </w:rPr>
        <w:t xml:space="preserve">хранении температуры более 3 дней или ухудшении состояния. </w:t>
      </w:r>
    </w:p>
    <w:p w:rsidR="005A3F38" w:rsidRDefault="003114B5">
      <w:pPr>
        <w:spacing w:after="4" w:line="367" w:lineRule="auto"/>
        <w:ind w:left="345" w:firstLine="708"/>
        <w:jc w:val="both"/>
      </w:pPr>
      <w:r>
        <w:rPr>
          <w:rFonts w:ascii="Times New Roman" w:eastAsia="Times New Roman" w:hAnsi="Times New Roman" w:cs="Times New Roman"/>
          <w:i/>
          <w:sz w:val="24"/>
        </w:rPr>
        <w:t xml:space="preserve">При осложненном течении ОРВИ или в случае безуспешности проводимого амбулаторного </w:t>
      </w:r>
      <w:r>
        <w:rPr>
          <w:rFonts w:ascii="Times New Roman" w:eastAsia="Times New Roman" w:hAnsi="Times New Roman" w:cs="Times New Roman"/>
          <w:i/>
          <w:sz w:val="24"/>
        </w:rPr>
        <w:t>лечения или невозможности его осуществления в амбулаторных условиях, рассматривается вопрос о госпитализации пациента в стационар</w:t>
      </w:r>
      <w:r>
        <w:rPr>
          <w:rFonts w:ascii="Times New Roman" w:eastAsia="Times New Roman" w:hAnsi="Times New Roman" w:cs="Times New Roman"/>
          <w:sz w:val="24"/>
        </w:rPr>
        <w:t xml:space="preserve">.  </w:t>
      </w:r>
    </w:p>
    <w:p w:rsidR="005A3F38" w:rsidRDefault="003114B5">
      <w:pPr>
        <w:spacing w:after="4" w:line="367" w:lineRule="auto"/>
        <w:ind w:left="345" w:firstLine="708"/>
        <w:jc w:val="both"/>
      </w:pPr>
      <w:r>
        <w:rPr>
          <w:rFonts w:ascii="Times New Roman" w:eastAsia="Times New Roman" w:hAnsi="Times New Roman" w:cs="Times New Roman"/>
          <w:i/>
          <w:sz w:val="24"/>
        </w:rPr>
        <w:t>В случае длительной фебрильной лихорадки, тяжелых осложнений ОРВИ, а также по эпидемическим показаниям, лечение осуществляю</w:t>
      </w:r>
      <w:r>
        <w:rPr>
          <w:rFonts w:ascii="Times New Roman" w:eastAsia="Times New Roman" w:hAnsi="Times New Roman" w:cs="Times New Roman"/>
          <w:i/>
          <w:sz w:val="24"/>
        </w:rPr>
        <w:t xml:space="preserve">т в стационарных условиях, при возможности – в боксированном отделении/палате/инфекционном отделении [8, 55, 270]. </w:t>
      </w:r>
    </w:p>
    <w:p w:rsidR="005A3F38" w:rsidRDefault="003114B5">
      <w:pPr>
        <w:spacing w:after="119"/>
        <w:ind w:left="1068"/>
      </w:pPr>
      <w:r>
        <w:rPr>
          <w:rFonts w:ascii="Times New Roman" w:eastAsia="Times New Roman" w:hAnsi="Times New Roman" w:cs="Times New Roman"/>
          <w:i/>
          <w:sz w:val="24"/>
        </w:rPr>
        <w:t xml:space="preserve"> </w:t>
      </w:r>
    </w:p>
    <w:p w:rsidR="005A3F38" w:rsidRDefault="003114B5">
      <w:pPr>
        <w:spacing w:after="127" w:line="249" w:lineRule="auto"/>
        <w:ind w:left="891" w:hanging="10"/>
      </w:pPr>
      <w:r>
        <w:rPr>
          <w:rFonts w:ascii="Times New Roman" w:eastAsia="Times New Roman" w:hAnsi="Times New Roman" w:cs="Times New Roman"/>
          <w:b/>
          <w:sz w:val="24"/>
        </w:rPr>
        <w:t>Должны быть госпитализированы в стационар:</w:t>
      </w:r>
      <w:r>
        <w:rPr>
          <w:rFonts w:ascii="Times New Roman" w:eastAsia="Times New Roman" w:hAnsi="Times New Roman" w:cs="Times New Roman"/>
          <w:sz w:val="24"/>
        </w:rPr>
        <w:t xml:space="preserve"> </w:t>
      </w:r>
    </w:p>
    <w:p w:rsidR="005A3F38" w:rsidRDefault="003114B5">
      <w:pPr>
        <w:numPr>
          <w:ilvl w:val="0"/>
          <w:numId w:val="20"/>
        </w:numPr>
        <w:spacing w:after="5" w:line="364" w:lineRule="auto"/>
        <w:ind w:right="2" w:firstLine="521"/>
        <w:jc w:val="both"/>
      </w:pPr>
      <w:r>
        <w:rPr>
          <w:rFonts w:ascii="Times New Roman" w:eastAsia="Times New Roman" w:hAnsi="Times New Roman" w:cs="Times New Roman"/>
          <w:sz w:val="24"/>
        </w:rPr>
        <w:t>дети до 3-х месяцев с фебрильной лихорадкой в связи с высоким риском развития у них тяжелой ба</w:t>
      </w:r>
      <w:r>
        <w:rPr>
          <w:rFonts w:ascii="Times New Roman" w:eastAsia="Times New Roman" w:hAnsi="Times New Roman" w:cs="Times New Roman"/>
          <w:sz w:val="24"/>
        </w:rPr>
        <w:t xml:space="preserve">ктериальной инфекции [271]. </w:t>
      </w:r>
    </w:p>
    <w:p w:rsidR="005A3F38" w:rsidRDefault="003114B5">
      <w:pPr>
        <w:numPr>
          <w:ilvl w:val="0"/>
          <w:numId w:val="20"/>
        </w:numPr>
        <w:spacing w:after="5" w:line="364" w:lineRule="auto"/>
        <w:ind w:right="2" w:firstLine="521"/>
        <w:jc w:val="both"/>
      </w:pPr>
      <w:r>
        <w:rPr>
          <w:rFonts w:ascii="Times New Roman" w:eastAsia="Times New Roman" w:hAnsi="Times New Roman" w:cs="Times New Roman"/>
          <w:sz w:val="24"/>
        </w:rPr>
        <w:t xml:space="preserve">дети любого возраста при наличии любого из следующих симптомов (основные опасные признаки):  </w:t>
      </w:r>
    </w:p>
    <w:p w:rsidR="005A3F38" w:rsidRDefault="003114B5">
      <w:pPr>
        <w:numPr>
          <w:ilvl w:val="1"/>
          <w:numId w:val="20"/>
        </w:numPr>
        <w:spacing w:after="96"/>
        <w:ind w:right="2" w:hanging="360"/>
        <w:jc w:val="both"/>
      </w:pPr>
      <w:r>
        <w:rPr>
          <w:rFonts w:ascii="Times New Roman" w:eastAsia="Times New Roman" w:hAnsi="Times New Roman" w:cs="Times New Roman"/>
          <w:sz w:val="24"/>
        </w:rPr>
        <w:t xml:space="preserve">неспособность/отказ пить / сосать грудь;  </w:t>
      </w:r>
    </w:p>
    <w:p w:rsidR="005A3F38" w:rsidRDefault="003114B5">
      <w:pPr>
        <w:numPr>
          <w:ilvl w:val="1"/>
          <w:numId w:val="20"/>
        </w:numPr>
        <w:spacing w:after="5" w:line="364" w:lineRule="auto"/>
        <w:ind w:right="2" w:hanging="360"/>
        <w:jc w:val="both"/>
      </w:pPr>
      <w:r>
        <w:rPr>
          <w:rFonts w:ascii="Times New Roman" w:eastAsia="Times New Roman" w:hAnsi="Times New Roman" w:cs="Times New Roman"/>
          <w:sz w:val="24"/>
        </w:rPr>
        <w:t>сонливость, вялость, недоступность контакту (обратить внимание на отсутствие глазного конт</w:t>
      </w:r>
      <w:r>
        <w:rPr>
          <w:rFonts w:ascii="Times New Roman" w:eastAsia="Times New Roman" w:hAnsi="Times New Roman" w:cs="Times New Roman"/>
          <w:sz w:val="24"/>
        </w:rPr>
        <w:t xml:space="preserve">акта) или отсутствие сознания либо резко выраженное беспокойство;  </w:t>
      </w:r>
    </w:p>
    <w:p w:rsidR="005A3F38" w:rsidRDefault="003114B5">
      <w:pPr>
        <w:numPr>
          <w:ilvl w:val="1"/>
          <w:numId w:val="20"/>
        </w:numPr>
        <w:spacing w:after="5" w:line="364" w:lineRule="auto"/>
        <w:ind w:right="2" w:hanging="360"/>
        <w:jc w:val="both"/>
      </w:pPr>
      <w:r>
        <w:rPr>
          <w:rFonts w:ascii="Times New Roman" w:eastAsia="Times New Roman" w:hAnsi="Times New Roman" w:cs="Times New Roman"/>
          <w:sz w:val="24"/>
        </w:rPr>
        <w:t>симптомы респираторного дистресса (одышка, тахипноэ, втяжение уступчивых мест грудной клетки при дыхании, участие вспомогательной мускулатуры в акте дыхания, кряхтящее/стонущее дыхание, ап</w:t>
      </w:r>
      <w:r>
        <w:rPr>
          <w:rFonts w:ascii="Times New Roman" w:eastAsia="Times New Roman" w:hAnsi="Times New Roman" w:cs="Times New Roman"/>
          <w:sz w:val="24"/>
        </w:rPr>
        <w:t xml:space="preserve">ноэ));  </w:t>
      </w:r>
    </w:p>
    <w:p w:rsidR="005A3F38" w:rsidRDefault="003114B5">
      <w:pPr>
        <w:numPr>
          <w:ilvl w:val="1"/>
          <w:numId w:val="20"/>
        </w:numPr>
        <w:spacing w:after="94"/>
        <w:ind w:right="2" w:hanging="360"/>
        <w:jc w:val="both"/>
      </w:pPr>
      <w:r>
        <w:rPr>
          <w:rFonts w:ascii="Times New Roman" w:eastAsia="Times New Roman" w:hAnsi="Times New Roman" w:cs="Times New Roman"/>
          <w:sz w:val="24"/>
        </w:rPr>
        <w:t xml:space="preserve">центральный цианоз;  </w:t>
      </w:r>
    </w:p>
    <w:p w:rsidR="005A3F38" w:rsidRDefault="003114B5">
      <w:pPr>
        <w:numPr>
          <w:ilvl w:val="1"/>
          <w:numId w:val="20"/>
        </w:numPr>
        <w:spacing w:after="96"/>
        <w:ind w:right="2" w:hanging="360"/>
        <w:jc w:val="both"/>
      </w:pPr>
      <w:r>
        <w:rPr>
          <w:rFonts w:ascii="Times New Roman" w:eastAsia="Times New Roman" w:hAnsi="Times New Roman" w:cs="Times New Roman"/>
          <w:sz w:val="24"/>
        </w:rPr>
        <w:t xml:space="preserve">явления сердечной недостаточности;  </w:t>
      </w:r>
    </w:p>
    <w:p w:rsidR="005A3F38" w:rsidRDefault="003114B5">
      <w:pPr>
        <w:numPr>
          <w:ilvl w:val="1"/>
          <w:numId w:val="20"/>
        </w:numPr>
        <w:spacing w:after="96"/>
        <w:ind w:right="2" w:hanging="360"/>
        <w:jc w:val="both"/>
      </w:pPr>
      <w:r>
        <w:rPr>
          <w:rFonts w:ascii="Times New Roman" w:eastAsia="Times New Roman" w:hAnsi="Times New Roman" w:cs="Times New Roman"/>
          <w:sz w:val="24"/>
        </w:rPr>
        <w:t xml:space="preserve">тяжелое обезвоживание [271]; </w:t>
      </w:r>
    </w:p>
    <w:p w:rsidR="005A3F38" w:rsidRDefault="003114B5">
      <w:pPr>
        <w:numPr>
          <w:ilvl w:val="1"/>
          <w:numId w:val="20"/>
        </w:numPr>
        <w:spacing w:after="5" w:line="364" w:lineRule="auto"/>
        <w:ind w:right="2" w:hanging="360"/>
        <w:jc w:val="both"/>
      </w:pPr>
      <w:r>
        <w:rPr>
          <w:rFonts w:ascii="Times New Roman" w:eastAsia="Times New Roman" w:hAnsi="Times New Roman" w:cs="Times New Roman"/>
          <w:sz w:val="24"/>
        </w:rPr>
        <w:t xml:space="preserve">длительная фебрильная лихорадка (более 4-5 суток), рефрактерная к жаропонижающей терапии; </w:t>
      </w:r>
    </w:p>
    <w:p w:rsidR="005A3F38" w:rsidRDefault="003114B5">
      <w:pPr>
        <w:numPr>
          <w:ilvl w:val="1"/>
          <w:numId w:val="20"/>
        </w:numPr>
        <w:spacing w:after="115"/>
        <w:ind w:right="2" w:hanging="360"/>
        <w:jc w:val="both"/>
      </w:pPr>
      <w:r>
        <w:rPr>
          <w:rFonts w:ascii="Times New Roman" w:eastAsia="Times New Roman" w:hAnsi="Times New Roman" w:cs="Times New Roman"/>
          <w:sz w:val="24"/>
        </w:rPr>
        <w:t xml:space="preserve">геморрагический синдром </w:t>
      </w:r>
      <w:r>
        <w:rPr>
          <w:rFonts w:ascii="Times New Roman" w:eastAsia="Times New Roman" w:hAnsi="Times New Roman" w:cs="Times New Roman"/>
          <w:sz w:val="24"/>
        </w:rPr>
        <w:t xml:space="preserve">(носовое кровотечение, прожилки крови при кашле, геморрагическая сыпь). </w:t>
      </w:r>
    </w:p>
    <w:p w:rsidR="005A3F38" w:rsidRDefault="003114B5">
      <w:pPr>
        <w:numPr>
          <w:ilvl w:val="0"/>
          <w:numId w:val="20"/>
        </w:numPr>
        <w:spacing w:after="5" w:line="364" w:lineRule="auto"/>
        <w:ind w:right="2" w:firstLine="521"/>
        <w:jc w:val="both"/>
      </w:pPr>
      <w:r>
        <w:rPr>
          <w:rFonts w:ascii="Times New Roman" w:eastAsia="Times New Roman" w:hAnsi="Times New Roman" w:cs="Times New Roman"/>
          <w:sz w:val="24"/>
        </w:rPr>
        <w:t xml:space="preserve">дети со сложными фебрильными судорогами (продолжительностью более 15 минут и/или повторяющиеся более одного раза в течение 24 часов) госпитализируются на весь период лихорадки. </w:t>
      </w:r>
    </w:p>
    <w:p w:rsidR="005A3F38" w:rsidRDefault="003114B5">
      <w:pPr>
        <w:numPr>
          <w:ilvl w:val="0"/>
          <w:numId w:val="20"/>
        </w:numPr>
        <w:spacing w:after="5" w:line="364" w:lineRule="auto"/>
        <w:ind w:right="2" w:firstLine="521"/>
        <w:jc w:val="both"/>
      </w:pPr>
      <w:r>
        <w:rPr>
          <w:rFonts w:ascii="Times New Roman" w:eastAsia="Times New Roman" w:hAnsi="Times New Roman" w:cs="Times New Roman"/>
          <w:sz w:val="24"/>
        </w:rPr>
        <w:t xml:space="preserve">дети с фебрильной лихорадкой и подозрением на тяжелую бактериальную инфекцию (НО может быть и гипотермия!), имеющие следующие сопутствующие симптомы: вялость, сонливость; отказ от еды и питья; снижение мочеотделения; геморрагическая сыпь на коже; рвота. </w:t>
      </w:r>
    </w:p>
    <w:p w:rsidR="005A3F38" w:rsidRDefault="003114B5">
      <w:pPr>
        <w:numPr>
          <w:ilvl w:val="0"/>
          <w:numId w:val="20"/>
        </w:numPr>
        <w:spacing w:after="5" w:line="364" w:lineRule="auto"/>
        <w:ind w:right="2" w:firstLine="521"/>
        <w:jc w:val="both"/>
      </w:pPr>
      <w:r>
        <w:rPr>
          <w:rFonts w:ascii="Times New Roman" w:eastAsia="Times New Roman" w:hAnsi="Times New Roman" w:cs="Times New Roman"/>
          <w:sz w:val="24"/>
        </w:rPr>
        <w:t>д</w:t>
      </w:r>
      <w:r>
        <w:rPr>
          <w:rFonts w:ascii="Times New Roman" w:eastAsia="Times New Roman" w:hAnsi="Times New Roman" w:cs="Times New Roman"/>
          <w:sz w:val="24"/>
        </w:rPr>
        <w:t xml:space="preserve">ети с явлениями дыхательной недостаточности, имеющие какие-либо из следующих симптомов: кряхтящее дыхание, раздувание крыльев носа при дыхании, кивательные движения (движения головы, синхронизированные со вдохом); частота дыхательных движений у ребенка до </w:t>
      </w:r>
      <w:r>
        <w:rPr>
          <w:rFonts w:ascii="Times New Roman" w:eastAsia="Times New Roman" w:hAnsi="Times New Roman" w:cs="Times New Roman"/>
          <w:sz w:val="24"/>
        </w:rPr>
        <w:t xml:space="preserve">2х месяцев &gt; 60 в минуту, у ребенка в возрасте 2-11 месяцев &gt; 50 в минуту, у ребенка старше 1 года &gt; </w:t>
      </w:r>
    </w:p>
    <w:p w:rsidR="005A3F38" w:rsidRDefault="003114B5">
      <w:pPr>
        <w:spacing w:after="5" w:line="364" w:lineRule="auto"/>
        <w:ind w:left="355" w:right="2" w:hanging="10"/>
        <w:jc w:val="both"/>
      </w:pPr>
      <w:r>
        <w:rPr>
          <w:rFonts w:ascii="Times New Roman" w:eastAsia="Times New Roman" w:hAnsi="Times New Roman" w:cs="Times New Roman"/>
          <w:sz w:val="24"/>
        </w:rPr>
        <w:t xml:space="preserve">40 в минуту; втяжение нижней части грудной клетки при дыхании; насыщение крови кислородом &lt; 95% при дыхании комнатным воздухом [271]. </w:t>
      </w:r>
    </w:p>
    <w:p w:rsidR="005A3F38" w:rsidRDefault="003114B5">
      <w:pPr>
        <w:numPr>
          <w:ilvl w:val="0"/>
          <w:numId w:val="21"/>
        </w:numPr>
        <w:spacing w:after="123"/>
        <w:ind w:right="2" w:firstLine="521"/>
        <w:jc w:val="both"/>
      </w:pPr>
      <w:r>
        <w:rPr>
          <w:rFonts w:ascii="Times New Roman" w:eastAsia="Times New Roman" w:hAnsi="Times New Roman" w:cs="Times New Roman"/>
          <w:sz w:val="24"/>
        </w:rPr>
        <w:t xml:space="preserve">дети с коморбидной </w:t>
      </w:r>
      <w:r>
        <w:rPr>
          <w:rFonts w:ascii="Times New Roman" w:eastAsia="Times New Roman" w:hAnsi="Times New Roman" w:cs="Times New Roman"/>
          <w:sz w:val="24"/>
        </w:rPr>
        <w:t xml:space="preserve">патологией при наличии риска обострения/декомпенсации: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 xml:space="preserve">иммунодефицитное состояние, в том числе на фоне иммуносупрессивной терапии; </w:t>
      </w:r>
      <w:r>
        <w:rPr>
          <w:rFonts w:ascii="Courier New" w:eastAsia="Courier New" w:hAnsi="Courier New" w:cs="Courier New"/>
          <w:sz w:val="24"/>
        </w:rPr>
        <w:t>o</w:t>
      </w:r>
      <w:r>
        <w:rPr>
          <w:rFonts w:ascii="Arial" w:eastAsia="Arial" w:hAnsi="Arial" w:cs="Arial"/>
          <w:sz w:val="24"/>
        </w:rPr>
        <w:t xml:space="preserve"> </w:t>
      </w:r>
      <w:r>
        <w:rPr>
          <w:rFonts w:ascii="Times New Roman" w:eastAsia="Times New Roman" w:hAnsi="Times New Roman" w:cs="Times New Roman"/>
          <w:sz w:val="24"/>
        </w:rPr>
        <w:t xml:space="preserve">онкологические и онкогематологические заболевания;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болезни с нарушениями системы свертывания крови (гемофилия, болезнь Ви</w:t>
      </w:r>
      <w:r>
        <w:rPr>
          <w:rFonts w:ascii="Times New Roman" w:eastAsia="Times New Roman" w:hAnsi="Times New Roman" w:cs="Times New Roman"/>
          <w:sz w:val="24"/>
        </w:rPr>
        <w:t xml:space="preserve">ллебранда, тромбоцитопения);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 xml:space="preserve">врожденные и приобретенные пороки и заболевания сердца, в том числе нарушения ритма; </w:t>
      </w:r>
    </w:p>
    <w:p w:rsidR="005A3F38" w:rsidRDefault="003114B5">
      <w:pPr>
        <w:numPr>
          <w:ilvl w:val="1"/>
          <w:numId w:val="21"/>
        </w:numPr>
        <w:spacing w:after="162"/>
        <w:ind w:right="2" w:hanging="360"/>
        <w:jc w:val="both"/>
      </w:pPr>
      <w:r>
        <w:rPr>
          <w:rFonts w:ascii="Times New Roman" w:eastAsia="Times New Roman" w:hAnsi="Times New Roman" w:cs="Times New Roman"/>
          <w:sz w:val="24"/>
        </w:rPr>
        <w:t xml:space="preserve">кардиомиопатия, легочная гипертензия;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 xml:space="preserve">врожденные и приобретенные хронические заболевания  легких </w:t>
      </w:r>
      <w:r>
        <w:rPr>
          <w:rFonts w:ascii="Times New Roman" w:eastAsia="Times New Roman" w:hAnsi="Times New Roman" w:cs="Times New Roman"/>
          <w:sz w:val="24"/>
        </w:rPr>
        <w:tab/>
        <w:t>(бронхолегочная дисплазия, бронхиальная а</w:t>
      </w:r>
      <w:r>
        <w:rPr>
          <w:rFonts w:ascii="Times New Roman" w:eastAsia="Times New Roman" w:hAnsi="Times New Roman" w:cs="Times New Roman"/>
          <w:sz w:val="24"/>
        </w:rPr>
        <w:t xml:space="preserve">стма и др.);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 xml:space="preserve">заболевания ЦНС (органическое поражение ЦНС, ДЦП, эпилепсия и др.) </w:t>
      </w:r>
      <w:r>
        <w:rPr>
          <w:rFonts w:ascii="Courier New" w:eastAsia="Courier New" w:hAnsi="Courier New" w:cs="Courier New"/>
          <w:sz w:val="24"/>
        </w:rPr>
        <w:t>o</w:t>
      </w:r>
      <w:r>
        <w:rPr>
          <w:rFonts w:ascii="Arial" w:eastAsia="Arial" w:hAnsi="Arial" w:cs="Arial"/>
          <w:sz w:val="24"/>
        </w:rPr>
        <w:t xml:space="preserve"> </w:t>
      </w:r>
      <w:r>
        <w:rPr>
          <w:rFonts w:ascii="Times New Roman" w:eastAsia="Times New Roman" w:hAnsi="Times New Roman" w:cs="Times New Roman"/>
          <w:sz w:val="24"/>
        </w:rPr>
        <w:t xml:space="preserve">болезни эндокринной системы (например, сахарный диабет I типа);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хронические прогрессирующие болезни гепатобилиарной системы (хронические гепатиты, цирроз и фиброз печени, х</w:t>
      </w:r>
      <w:r>
        <w:rPr>
          <w:rFonts w:ascii="Times New Roman" w:eastAsia="Times New Roman" w:hAnsi="Times New Roman" w:cs="Times New Roman"/>
          <w:sz w:val="24"/>
        </w:rPr>
        <w:t xml:space="preserve">олангит);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 xml:space="preserve">хронические заболевания почек (гломерулонефрит, пиелонефрит, тубулопатии, хроническая болезнь почек); </w:t>
      </w:r>
    </w:p>
    <w:p w:rsidR="005A3F38" w:rsidRDefault="003114B5">
      <w:pPr>
        <w:numPr>
          <w:ilvl w:val="1"/>
          <w:numId w:val="21"/>
        </w:numPr>
        <w:spacing w:after="5" w:line="364" w:lineRule="auto"/>
        <w:ind w:right="2" w:hanging="360"/>
        <w:jc w:val="both"/>
      </w:pPr>
      <w:r>
        <w:rPr>
          <w:rFonts w:ascii="Times New Roman" w:eastAsia="Times New Roman" w:hAnsi="Times New Roman" w:cs="Times New Roman"/>
          <w:sz w:val="24"/>
        </w:rPr>
        <w:t xml:space="preserve">хронические заболевания пищеварительной системы (болезнь Крона, язвенный колит, язвенная болезнь и др.); </w:t>
      </w:r>
    </w:p>
    <w:p w:rsidR="005A3F38" w:rsidRDefault="003114B5">
      <w:pPr>
        <w:numPr>
          <w:ilvl w:val="1"/>
          <w:numId w:val="21"/>
        </w:numPr>
        <w:spacing w:after="132"/>
        <w:ind w:right="2" w:hanging="360"/>
        <w:jc w:val="both"/>
      </w:pPr>
      <w:r>
        <w:rPr>
          <w:rFonts w:ascii="Times New Roman" w:eastAsia="Times New Roman" w:hAnsi="Times New Roman" w:cs="Times New Roman"/>
          <w:sz w:val="24"/>
        </w:rPr>
        <w:t xml:space="preserve">другие хронические заболевания при наличии риска обострения/декомпенсации. </w:t>
      </w:r>
    </w:p>
    <w:p w:rsidR="005A3F38" w:rsidRDefault="003114B5">
      <w:pPr>
        <w:numPr>
          <w:ilvl w:val="0"/>
          <w:numId w:val="21"/>
        </w:numPr>
        <w:spacing w:after="5" w:line="364" w:lineRule="auto"/>
        <w:ind w:right="2" w:firstLine="521"/>
        <w:jc w:val="both"/>
      </w:pPr>
      <w:r>
        <w:rPr>
          <w:rFonts w:ascii="Times New Roman" w:eastAsia="Times New Roman" w:hAnsi="Times New Roman" w:cs="Times New Roman"/>
          <w:sz w:val="24"/>
        </w:rPr>
        <w:t xml:space="preserve">госпитализация по эпидпоказаниям (например, дети из учреждений социального обеспечения с круглосуточным пребыванием, из пунктов временного размещения, из социально неблагополучных </w:t>
      </w:r>
      <w:r>
        <w:rPr>
          <w:rFonts w:ascii="Times New Roman" w:eastAsia="Times New Roman" w:hAnsi="Times New Roman" w:cs="Times New Roman"/>
          <w:sz w:val="24"/>
        </w:rPr>
        <w:t xml:space="preserve">семей, неблагоприятных социально-бытовых условий при отсутствии возможности изоляции и проведения лечения вне медицинской организации) </w:t>
      </w:r>
    </w:p>
    <w:p w:rsidR="005A3F38" w:rsidRDefault="003114B5">
      <w:pPr>
        <w:spacing w:after="115"/>
        <w:ind w:left="881"/>
      </w:pPr>
      <w:r>
        <w:rPr>
          <w:rFonts w:ascii="Times New Roman" w:eastAsia="Times New Roman" w:hAnsi="Times New Roman" w:cs="Times New Roman"/>
          <w:sz w:val="24"/>
        </w:rPr>
        <w:t xml:space="preserve"> </w:t>
      </w:r>
    </w:p>
    <w:p w:rsidR="005A3F38" w:rsidRDefault="003114B5">
      <w:pPr>
        <w:spacing w:after="117"/>
        <w:ind w:left="10" w:right="-1" w:hanging="10"/>
        <w:jc w:val="right"/>
      </w:pPr>
      <w:r>
        <w:rPr>
          <w:rFonts w:ascii="Times New Roman" w:eastAsia="Times New Roman" w:hAnsi="Times New Roman" w:cs="Times New Roman"/>
          <w:sz w:val="24"/>
        </w:rPr>
        <w:t>Средняя длительность нахождения в стационаре может составить 3-7 дней в зависимости от нозологической формы осложнения</w:t>
      </w:r>
      <w:r>
        <w:rPr>
          <w:rFonts w:ascii="Times New Roman" w:eastAsia="Times New Roman" w:hAnsi="Times New Roman" w:cs="Times New Roman"/>
          <w:sz w:val="24"/>
        </w:rPr>
        <w:t xml:space="preserve"> и тяжести общего состояния. </w:t>
      </w:r>
    </w:p>
    <w:p w:rsidR="005A3F38" w:rsidRDefault="003114B5">
      <w:pPr>
        <w:spacing w:after="2" w:line="357" w:lineRule="auto"/>
        <w:ind w:left="345" w:firstLine="708"/>
      </w:pPr>
      <w:r>
        <w:rPr>
          <w:rFonts w:ascii="Times New Roman" w:eastAsia="Times New Roman" w:hAnsi="Times New Roman" w:cs="Times New Roman"/>
          <w:b/>
          <w:sz w:val="24"/>
        </w:rPr>
        <w:t xml:space="preserve">Госпитализация детей с ринитом/ринофарингитом, ларингитом, трахеитом без сопутствующих опасных признаков нецелесообразна. </w:t>
      </w:r>
    </w:p>
    <w:p w:rsidR="005A3F38" w:rsidRDefault="003114B5">
      <w:pPr>
        <w:spacing w:after="5" w:line="364" w:lineRule="auto"/>
        <w:ind w:left="345" w:right="2" w:firstLine="708"/>
        <w:jc w:val="both"/>
      </w:pPr>
      <w:r>
        <w:rPr>
          <w:rFonts w:ascii="Times New Roman" w:eastAsia="Times New Roman" w:hAnsi="Times New Roman" w:cs="Times New Roman"/>
          <w:sz w:val="24"/>
        </w:rPr>
        <w:t>Дети с простыми фебрильными судорогами (продолжительностью до 15 минут, однократно в течение суток), за</w:t>
      </w:r>
      <w:r>
        <w:rPr>
          <w:rFonts w:ascii="Times New Roman" w:eastAsia="Times New Roman" w:hAnsi="Times New Roman" w:cs="Times New Roman"/>
          <w:sz w:val="24"/>
        </w:rPr>
        <w:t xml:space="preserve">вершившимися к моменту обращения в стационар, не всегда нуждаются в госпитализации, но ребенок должен быть осмотрен врачом для исключения нейроинфекции и других причин судорог - необходимость госпитализации определяется индивидуально. </w:t>
      </w:r>
    </w:p>
    <w:p w:rsidR="005A3F38" w:rsidRDefault="003114B5">
      <w:pPr>
        <w:spacing w:after="5" w:line="364" w:lineRule="auto"/>
        <w:ind w:left="345" w:right="2" w:firstLine="708"/>
        <w:jc w:val="both"/>
      </w:pPr>
      <w:r>
        <w:rPr>
          <w:rFonts w:ascii="Times New Roman" w:eastAsia="Times New Roman" w:hAnsi="Times New Roman" w:cs="Times New Roman"/>
          <w:sz w:val="24"/>
        </w:rPr>
        <w:t>При госпитализации с</w:t>
      </w:r>
      <w:r>
        <w:rPr>
          <w:rFonts w:ascii="Times New Roman" w:eastAsia="Times New Roman" w:hAnsi="Times New Roman" w:cs="Times New Roman"/>
          <w:sz w:val="24"/>
        </w:rPr>
        <w:t xml:space="preserve">ледует мониторировать выраженность симптомов, в т.ч. среднему медицинскому персоналу [345]. </w:t>
      </w:r>
    </w:p>
    <w:p w:rsidR="005A3F38" w:rsidRDefault="003114B5">
      <w:pPr>
        <w:spacing w:after="112"/>
        <w:ind w:left="1068"/>
      </w:pPr>
      <w:r>
        <w:rPr>
          <w:rFonts w:ascii="Times New Roman" w:eastAsia="Times New Roman" w:hAnsi="Times New Roman" w:cs="Times New Roman"/>
          <w:sz w:val="24"/>
        </w:rPr>
        <w:t xml:space="preserve"> </w:t>
      </w:r>
    </w:p>
    <w:p w:rsidR="005A3F38" w:rsidRDefault="003114B5">
      <w:pPr>
        <w:pStyle w:val="Heading1"/>
        <w:spacing w:after="115" w:line="259" w:lineRule="auto"/>
        <w:ind w:left="10" w:right="-3"/>
        <w:jc w:val="right"/>
      </w:pPr>
      <w:bookmarkStart w:id="32" w:name="_Toc141905"/>
      <w:r>
        <w:rPr>
          <w:sz w:val="24"/>
          <w:u w:val="single" w:color="000000"/>
        </w:rPr>
        <w:t xml:space="preserve">7. </w:t>
      </w:r>
      <w:r>
        <w:rPr>
          <w:sz w:val="24"/>
          <w:u w:val="single" w:color="000000"/>
        </w:rPr>
        <w:t>Дополнительная информация</w:t>
      </w:r>
      <w:r>
        <w:rPr>
          <w:sz w:val="24"/>
          <w:u w:val="single" w:color="000000"/>
        </w:rPr>
        <w:t xml:space="preserve"> </w:t>
      </w:r>
      <w:r>
        <w:rPr>
          <w:sz w:val="24"/>
          <w:u w:val="single" w:color="000000"/>
        </w:rPr>
        <w:t>(в том числе факторы, влияющие на исход заболевания</w:t>
      </w:r>
      <w:r>
        <w:rPr>
          <w:sz w:val="24"/>
        </w:rPr>
        <w:t xml:space="preserve"> </w:t>
      </w:r>
      <w:bookmarkEnd w:id="32"/>
    </w:p>
    <w:p w:rsidR="005A3F38" w:rsidRDefault="003114B5">
      <w:pPr>
        <w:pStyle w:val="Heading1"/>
        <w:spacing w:after="346" w:line="265" w:lineRule="auto"/>
        <w:ind w:left="370"/>
      </w:pPr>
      <w:bookmarkStart w:id="33" w:name="_Toc141906"/>
      <w:r>
        <w:rPr>
          <w:sz w:val="24"/>
          <w:u w:val="single" w:color="000000"/>
        </w:rPr>
        <w:t>или состояния)</w:t>
      </w:r>
      <w:r>
        <w:rPr>
          <w:sz w:val="24"/>
        </w:rPr>
        <w:t xml:space="preserve"> </w:t>
      </w:r>
      <w:bookmarkEnd w:id="33"/>
    </w:p>
    <w:p w:rsidR="005A3F38" w:rsidRDefault="003114B5">
      <w:pPr>
        <w:pStyle w:val="Heading2"/>
        <w:spacing w:after="169"/>
        <w:ind w:left="1063"/>
      </w:pPr>
      <w:bookmarkStart w:id="34" w:name="_Toc141907"/>
      <w:r>
        <w:t>7</w:t>
      </w:r>
      <w:r>
        <w:t>.1 Осложнения</w:t>
      </w:r>
      <w:r>
        <w:rPr>
          <w:u w:val="none"/>
        </w:rPr>
        <w:t xml:space="preserve"> </w:t>
      </w:r>
      <w:bookmarkEnd w:id="34"/>
    </w:p>
    <w:p w:rsidR="005A3F38" w:rsidRDefault="003114B5">
      <w:pPr>
        <w:spacing w:after="4" w:line="367" w:lineRule="auto"/>
        <w:ind w:left="355" w:hanging="10"/>
        <w:jc w:val="both"/>
      </w:pPr>
      <w:r>
        <w:rPr>
          <w:rFonts w:ascii="Times New Roman" w:eastAsia="Times New Roman" w:hAnsi="Times New Roman" w:cs="Times New Roman"/>
          <w:i/>
          <w:sz w:val="24"/>
        </w:rPr>
        <w:t xml:space="preserve">Осложнения ОРВИ наблюдаются нечасто. Как правило, они связаны с присоединением бактериальной инфекции.  </w:t>
      </w:r>
    </w:p>
    <w:p w:rsidR="005A3F38" w:rsidRDefault="003114B5">
      <w:pPr>
        <w:spacing w:after="128" w:line="249" w:lineRule="auto"/>
        <w:ind w:left="355" w:right="11" w:hanging="10"/>
      </w:pPr>
      <w:r>
        <w:rPr>
          <w:rFonts w:ascii="Times New Roman" w:eastAsia="Times New Roman" w:hAnsi="Times New Roman" w:cs="Times New Roman"/>
          <w:b/>
          <w:sz w:val="24"/>
          <w:u w:val="single" w:color="000000"/>
        </w:rPr>
        <w:t>Осложнения</w:t>
      </w:r>
      <w:r>
        <w:rPr>
          <w:rFonts w:ascii="Times New Roman" w:eastAsia="Times New Roman" w:hAnsi="Times New Roman" w:cs="Times New Roman"/>
          <w:sz w:val="24"/>
        </w:rPr>
        <w:t xml:space="preserve"> [8, 14, 339, 340, 341]. </w:t>
      </w:r>
    </w:p>
    <w:p w:rsidR="005A3F38" w:rsidRDefault="003114B5">
      <w:pPr>
        <w:spacing w:after="5" w:line="364" w:lineRule="auto"/>
        <w:ind w:left="355" w:right="2" w:hanging="10"/>
        <w:jc w:val="both"/>
      </w:pPr>
      <w:r>
        <w:rPr>
          <w:rFonts w:ascii="Times New Roman" w:eastAsia="Times New Roman" w:hAnsi="Times New Roman" w:cs="Times New Roman"/>
          <w:b/>
          <w:sz w:val="24"/>
        </w:rPr>
        <w:t>Острый синусит</w:t>
      </w:r>
      <w:r>
        <w:rPr>
          <w:rFonts w:ascii="Times New Roman" w:eastAsia="Times New Roman" w:hAnsi="Times New Roman" w:cs="Times New Roman"/>
          <w:sz w:val="24"/>
        </w:rPr>
        <w:t xml:space="preserve">. Осложнение имеет чаще бактериальную этиологию (воспаление околоносовых пазух - </w:t>
      </w:r>
      <w:r>
        <w:rPr>
          <w:rFonts w:ascii="Times New Roman" w:eastAsia="Times New Roman" w:hAnsi="Times New Roman" w:cs="Times New Roman"/>
          <w:sz w:val="24"/>
        </w:rPr>
        <w:t>гайморит, фронтит, сфеноидит, этмоидит). Заподозрить наличие бактериального синусита следует при длительном (более 7 дней) сохранении заложенности носа, второй «волне» подъема температуры тела, ощущениях тяжести в голове и головной боли (см. клинические ре</w:t>
      </w:r>
      <w:r>
        <w:rPr>
          <w:rFonts w:ascii="Times New Roman" w:eastAsia="Times New Roman" w:hAnsi="Times New Roman" w:cs="Times New Roman"/>
          <w:sz w:val="24"/>
        </w:rPr>
        <w:t xml:space="preserve">комендации «Острый синусит»). [37, 51].  </w:t>
      </w:r>
    </w:p>
    <w:p w:rsidR="005A3F38" w:rsidRDefault="003114B5">
      <w:pPr>
        <w:spacing w:after="5" w:line="364" w:lineRule="auto"/>
        <w:ind w:left="355" w:right="2" w:hanging="10"/>
        <w:jc w:val="both"/>
      </w:pPr>
      <w:r>
        <w:rPr>
          <w:rFonts w:ascii="Times New Roman" w:eastAsia="Times New Roman" w:hAnsi="Times New Roman" w:cs="Times New Roman"/>
          <w:b/>
          <w:sz w:val="24"/>
        </w:rPr>
        <w:t>Острый отит</w:t>
      </w:r>
      <w:r>
        <w:rPr>
          <w:rFonts w:ascii="Times New Roman" w:eastAsia="Times New Roman" w:hAnsi="Times New Roman" w:cs="Times New Roman"/>
          <w:sz w:val="24"/>
        </w:rPr>
        <w:t>. Осложнение может иметь как вирусную, так и бактериальную этиологию; острый средний отит проявляется постоянными или пульсирующими (стреляющими) болями в ухе, может наблюдаться болезненность в области с</w:t>
      </w:r>
      <w:r>
        <w:rPr>
          <w:rFonts w:ascii="Times New Roman" w:eastAsia="Times New Roman" w:hAnsi="Times New Roman" w:cs="Times New Roman"/>
          <w:sz w:val="24"/>
        </w:rPr>
        <w:t xml:space="preserve">осцевидного отростка. Катаральный средний отит является частым осложнением респираторных вирусных инфекций, особенно при наличии ринита или у пациентов с РС-инфекцией (см. клинические рекомендации «Острый средний отит»). </w:t>
      </w:r>
    </w:p>
    <w:p w:rsidR="005A3F38" w:rsidRDefault="003114B5">
      <w:pPr>
        <w:spacing w:after="5" w:line="364" w:lineRule="auto"/>
        <w:ind w:left="355" w:right="2" w:hanging="10"/>
        <w:jc w:val="both"/>
      </w:pPr>
      <w:r>
        <w:rPr>
          <w:rFonts w:ascii="Times New Roman" w:eastAsia="Times New Roman" w:hAnsi="Times New Roman" w:cs="Times New Roman"/>
          <w:sz w:val="24"/>
        </w:rPr>
        <w:t>Существует риск развития острого с</w:t>
      </w:r>
      <w:r>
        <w:rPr>
          <w:rFonts w:ascii="Times New Roman" w:eastAsia="Times New Roman" w:hAnsi="Times New Roman" w:cs="Times New Roman"/>
          <w:sz w:val="24"/>
        </w:rPr>
        <w:t xml:space="preserve">реднего отита на фоне течения назофарингита, особенно у детей раннего возраста, обычно на 2-5-е сутки болезни. Его частота может достигать 20 – 40%, однако далеко не у всех возникает гнойный отит, требующий назначения антибактериальной терапии [27, 282]. </w:t>
      </w:r>
    </w:p>
    <w:p w:rsidR="005A3F38" w:rsidRDefault="003114B5">
      <w:pPr>
        <w:spacing w:after="5" w:line="364" w:lineRule="auto"/>
        <w:ind w:left="355" w:right="2" w:hanging="10"/>
        <w:jc w:val="both"/>
      </w:pPr>
      <w:r>
        <w:rPr>
          <w:rFonts w:ascii="Times New Roman" w:eastAsia="Times New Roman" w:hAnsi="Times New Roman" w:cs="Times New Roman"/>
          <w:b/>
          <w:sz w:val="24"/>
        </w:rPr>
        <w:t>Острый бронхит</w:t>
      </w:r>
      <w:r>
        <w:rPr>
          <w:rFonts w:ascii="Times New Roman" w:eastAsia="Times New Roman" w:hAnsi="Times New Roman" w:cs="Times New Roman"/>
          <w:sz w:val="24"/>
        </w:rPr>
        <w:t xml:space="preserve">. Может стать осложнением ОРВИ; проявляется длительным продуктивным кашлем. (см КР «Бронхит»). </w:t>
      </w:r>
    </w:p>
    <w:p w:rsidR="005A3F38" w:rsidRDefault="003114B5">
      <w:pPr>
        <w:spacing w:after="5" w:line="364" w:lineRule="auto"/>
        <w:ind w:left="355" w:right="2" w:hanging="10"/>
        <w:jc w:val="both"/>
      </w:pPr>
      <w:r>
        <w:rPr>
          <w:rFonts w:ascii="Times New Roman" w:eastAsia="Times New Roman" w:hAnsi="Times New Roman" w:cs="Times New Roman"/>
          <w:b/>
          <w:sz w:val="24"/>
        </w:rPr>
        <w:t>Пневмония.</w:t>
      </w:r>
      <w:r>
        <w:rPr>
          <w:rFonts w:ascii="Times New Roman" w:eastAsia="Times New Roman" w:hAnsi="Times New Roman" w:cs="Times New Roman"/>
          <w:sz w:val="24"/>
        </w:rPr>
        <w:t xml:space="preserve"> В некоторых случаях может стать осложнением ОРВИ. Признаком, характерным для внебольничных пневмоний, вызванных как типичными, так и ат</w:t>
      </w:r>
      <w:r>
        <w:rPr>
          <w:rFonts w:ascii="Times New Roman" w:eastAsia="Times New Roman" w:hAnsi="Times New Roman" w:cs="Times New Roman"/>
          <w:sz w:val="24"/>
        </w:rPr>
        <w:t xml:space="preserve">ипичными возбудителями, является стойкость температуры ≥38,0° более 3 дней, тогда как при ОРВИ такая температура бывает лишь у </w:t>
      </w:r>
    </w:p>
    <w:p w:rsidR="005A3F38" w:rsidRDefault="003114B5">
      <w:pPr>
        <w:spacing w:after="144"/>
        <w:ind w:left="355" w:right="2" w:hanging="10"/>
        <w:jc w:val="both"/>
      </w:pPr>
      <w:r>
        <w:rPr>
          <w:rFonts w:ascii="Times New Roman" w:eastAsia="Times New Roman" w:hAnsi="Times New Roman" w:cs="Times New Roman"/>
          <w:sz w:val="24"/>
        </w:rPr>
        <w:t xml:space="preserve">18% </w:t>
      </w:r>
      <w:r>
        <w:rPr>
          <w:rFonts w:ascii="Times New Roman" w:eastAsia="Times New Roman" w:hAnsi="Times New Roman" w:cs="Times New Roman"/>
          <w:sz w:val="24"/>
        </w:rPr>
        <w:tab/>
        <w:t xml:space="preserve">больных </w:t>
      </w:r>
      <w:r>
        <w:rPr>
          <w:rFonts w:ascii="Times New Roman" w:eastAsia="Times New Roman" w:hAnsi="Times New Roman" w:cs="Times New Roman"/>
          <w:sz w:val="24"/>
        </w:rPr>
        <w:tab/>
        <w:t xml:space="preserve">(при </w:t>
      </w:r>
      <w:r>
        <w:rPr>
          <w:rFonts w:ascii="Times New Roman" w:eastAsia="Times New Roman" w:hAnsi="Times New Roman" w:cs="Times New Roman"/>
          <w:sz w:val="24"/>
        </w:rPr>
        <w:tab/>
        <w:t xml:space="preserve">гриппе, </w:t>
      </w:r>
      <w:r>
        <w:rPr>
          <w:rFonts w:ascii="Times New Roman" w:eastAsia="Times New Roman" w:hAnsi="Times New Roman" w:cs="Times New Roman"/>
          <w:sz w:val="24"/>
        </w:rPr>
        <w:tab/>
        <w:t xml:space="preserve">адено-, </w:t>
      </w:r>
      <w:r>
        <w:rPr>
          <w:rFonts w:ascii="Times New Roman" w:eastAsia="Times New Roman" w:hAnsi="Times New Roman" w:cs="Times New Roman"/>
          <w:sz w:val="24"/>
        </w:rPr>
        <w:tab/>
        <w:t xml:space="preserve">энтеровирусной </w:t>
      </w:r>
      <w:r>
        <w:rPr>
          <w:rFonts w:ascii="Times New Roman" w:eastAsia="Times New Roman" w:hAnsi="Times New Roman" w:cs="Times New Roman"/>
          <w:sz w:val="24"/>
        </w:rPr>
        <w:tab/>
        <w:t xml:space="preserve">инфекциях) </w:t>
      </w:r>
      <w:r>
        <w:rPr>
          <w:rFonts w:ascii="Times New Roman" w:eastAsia="Times New Roman" w:hAnsi="Times New Roman" w:cs="Times New Roman"/>
          <w:sz w:val="24"/>
        </w:rPr>
        <w:tab/>
        <w:t xml:space="preserve">(см. </w:t>
      </w:r>
      <w:r>
        <w:rPr>
          <w:rFonts w:ascii="Times New Roman" w:eastAsia="Times New Roman" w:hAnsi="Times New Roman" w:cs="Times New Roman"/>
          <w:sz w:val="24"/>
        </w:rPr>
        <w:tab/>
        <w:t xml:space="preserve">КР </w:t>
      </w:r>
      <w:r>
        <w:rPr>
          <w:rFonts w:ascii="Times New Roman" w:eastAsia="Times New Roman" w:hAnsi="Times New Roman" w:cs="Times New Roman"/>
          <w:sz w:val="24"/>
        </w:rPr>
        <w:tab/>
        <w:t>«Пневмония (внебольничная)» возрастная категория дет</w:t>
      </w:r>
      <w:r>
        <w:rPr>
          <w:rFonts w:ascii="Times New Roman" w:eastAsia="Times New Roman" w:hAnsi="Times New Roman" w:cs="Times New Roman"/>
          <w:sz w:val="24"/>
        </w:rPr>
        <w:t xml:space="preserve">и). </w:t>
      </w:r>
    </w:p>
    <w:p w:rsidR="005A3F38" w:rsidRDefault="003114B5">
      <w:pPr>
        <w:spacing w:after="4" w:line="365" w:lineRule="auto"/>
        <w:ind w:left="355" w:hanging="10"/>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t xml:space="preserve">На фоне гриппа частота вирусной и бактериальной (чаще всего обусловленной Streptococcus pneumoniae) пневмонии может достигать 12% заболевших вирусной инфекцией детей [61].   </w:t>
      </w:r>
      <w:r>
        <w:rPr>
          <w:rFonts w:ascii="Times New Roman" w:eastAsia="Times New Roman" w:hAnsi="Times New Roman" w:cs="Times New Roman"/>
          <w:i/>
          <w:sz w:val="24"/>
        </w:rPr>
        <w:tab/>
        <w:t xml:space="preserve">Бактериемия осложняет течение ОРВИ в среднем в 1% случаев при РС-вирусной </w:t>
      </w:r>
      <w:r>
        <w:rPr>
          <w:rFonts w:ascii="Times New Roman" w:eastAsia="Times New Roman" w:hAnsi="Times New Roman" w:cs="Times New Roman"/>
          <w:i/>
          <w:sz w:val="24"/>
        </w:rPr>
        <w:t xml:space="preserve">инфекции и в 6,5% случаев при энтеровирусных инфекциях [26].  </w:t>
      </w:r>
    </w:p>
    <w:p w:rsidR="005A3F38" w:rsidRDefault="003114B5">
      <w:pPr>
        <w:spacing w:after="229" w:line="367" w:lineRule="auto"/>
        <w:ind w:left="512"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i/>
          <w:sz w:val="24"/>
        </w:rPr>
        <w:t xml:space="preserve">Респираторная инфекция может явиться триггером обострения хронических заболеваний, чаще всего бронхиальной астмы и инфекции мочевых путей. </w:t>
      </w:r>
    </w:p>
    <w:p w:rsidR="005A3F38" w:rsidRDefault="003114B5">
      <w:pPr>
        <w:spacing w:after="352"/>
        <w:ind w:left="1068"/>
      </w:pPr>
      <w:r>
        <w:rPr>
          <w:rFonts w:ascii="Times New Roman" w:eastAsia="Times New Roman" w:hAnsi="Times New Roman" w:cs="Times New Roman"/>
          <w:b/>
          <w:sz w:val="24"/>
        </w:rPr>
        <w:t xml:space="preserve"> </w:t>
      </w:r>
    </w:p>
    <w:p w:rsidR="005A3F38" w:rsidRDefault="003114B5">
      <w:pPr>
        <w:pStyle w:val="Heading2"/>
        <w:ind w:left="1063"/>
      </w:pPr>
      <w:bookmarkStart w:id="35" w:name="_Toc141908"/>
      <w:r>
        <w:t xml:space="preserve">7.2 </w:t>
      </w:r>
      <w:r>
        <w:t>Исходы и прогноз</w:t>
      </w:r>
      <w:r>
        <w:rPr>
          <w:i/>
          <w:u w:val="none"/>
        </w:rPr>
        <w:t xml:space="preserve"> </w:t>
      </w:r>
      <w:bookmarkEnd w:id="35"/>
    </w:p>
    <w:p w:rsidR="005A3F38" w:rsidRDefault="003114B5">
      <w:pPr>
        <w:spacing w:after="4" w:line="367" w:lineRule="auto"/>
        <w:ind w:left="345" w:firstLine="708"/>
        <w:jc w:val="both"/>
      </w:pPr>
      <w:r>
        <w:rPr>
          <w:rFonts w:ascii="Times New Roman" w:eastAsia="Times New Roman" w:hAnsi="Times New Roman" w:cs="Times New Roman"/>
          <w:i/>
          <w:sz w:val="24"/>
        </w:rPr>
        <w:t>Как указано выше, ОРВИ, в отсутствии бактериальных осложнений, обычно скоротечны, хотя и могут оставлять на 1-2 недели такие симптомы как отделяемое из носовых ходов, кашель. Мнение о том, что повторные ОРВИ, особенно частые, являются проявлением или приво</w:t>
      </w:r>
      <w:r>
        <w:rPr>
          <w:rFonts w:ascii="Times New Roman" w:eastAsia="Times New Roman" w:hAnsi="Times New Roman" w:cs="Times New Roman"/>
          <w:i/>
          <w:sz w:val="24"/>
        </w:rPr>
        <w:t xml:space="preserve">дят к развитию «вторичного иммунодефицита» безосновательно. </w:t>
      </w:r>
    </w:p>
    <w:p w:rsidR="005A3F38" w:rsidRDefault="003114B5">
      <w:pPr>
        <w:spacing w:after="47" w:line="367" w:lineRule="auto"/>
        <w:ind w:left="345" w:firstLine="708"/>
        <w:jc w:val="both"/>
      </w:pPr>
      <w:r>
        <w:rPr>
          <w:rFonts w:ascii="Times New Roman" w:eastAsia="Times New Roman" w:hAnsi="Times New Roman" w:cs="Times New Roman"/>
          <w:i/>
          <w:sz w:val="24"/>
        </w:rPr>
        <w:t xml:space="preserve">Не имеют подтверждения и данные о том, что острые респираторные инфекции «переходят» в хронические болезни (бронхиальная астма, бронхоэктазы и т.д.) </w:t>
      </w:r>
    </w:p>
    <w:p w:rsidR="005A3F38" w:rsidRDefault="003114B5">
      <w:pPr>
        <w:spacing w:after="0"/>
        <w:ind w:left="36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8"/>
        </w:rPr>
        <w:t xml:space="preserve"> </w:t>
      </w:r>
      <w:r>
        <w:br w:type="page"/>
      </w:r>
    </w:p>
    <w:p w:rsidR="005A3F38" w:rsidRDefault="003114B5">
      <w:pPr>
        <w:pStyle w:val="Heading1"/>
        <w:spacing w:after="109" w:line="265" w:lineRule="auto"/>
        <w:ind w:left="1063"/>
      </w:pPr>
      <w:bookmarkStart w:id="36" w:name="_Toc141909"/>
      <w:r>
        <w:rPr>
          <w:sz w:val="24"/>
          <w:u w:val="single" w:color="000000"/>
        </w:rPr>
        <w:t>Критерии оценки качества медицинской пом</w:t>
      </w:r>
      <w:r>
        <w:rPr>
          <w:sz w:val="24"/>
          <w:u w:val="single" w:color="000000"/>
        </w:rPr>
        <w:t>ощи</w:t>
      </w:r>
      <w:r>
        <w:rPr>
          <w:sz w:val="24"/>
        </w:rPr>
        <w:t xml:space="preserve"> </w:t>
      </w:r>
      <w:bookmarkEnd w:id="36"/>
    </w:p>
    <w:p w:rsidR="005A3F38" w:rsidRDefault="003114B5">
      <w:pPr>
        <w:spacing w:after="0"/>
        <w:ind w:left="1068"/>
      </w:pPr>
      <w:r>
        <w:rPr>
          <w:rFonts w:ascii="Times New Roman" w:eastAsia="Times New Roman" w:hAnsi="Times New Roman" w:cs="Times New Roman"/>
          <w:b/>
          <w:sz w:val="24"/>
        </w:rPr>
        <w:t xml:space="preserve"> </w:t>
      </w:r>
    </w:p>
    <w:p w:rsidR="005A3F38" w:rsidRDefault="003114B5">
      <w:pPr>
        <w:spacing w:after="117"/>
        <w:ind w:left="10" w:right="-1" w:hanging="10"/>
        <w:jc w:val="right"/>
      </w:pPr>
      <w:r>
        <w:rPr>
          <w:rFonts w:ascii="Times New Roman" w:eastAsia="Times New Roman" w:hAnsi="Times New Roman" w:cs="Times New Roman"/>
          <w:sz w:val="24"/>
        </w:rPr>
        <w:t xml:space="preserve">Таблица 1. </w:t>
      </w:r>
    </w:p>
    <w:p w:rsidR="005A3F38" w:rsidRDefault="003114B5">
      <w:pPr>
        <w:pStyle w:val="Heading1"/>
        <w:spacing w:after="5" w:line="259" w:lineRule="auto"/>
        <w:ind w:left="355" w:right="2"/>
      </w:pPr>
      <w:bookmarkStart w:id="37" w:name="_Toc141910"/>
      <w:r>
        <w:rPr>
          <w:b w:val="0"/>
          <w:sz w:val="24"/>
        </w:rPr>
        <w:t xml:space="preserve"> Критерии оценки качества первичной медико-санитарной помощи детям при острой респираторной вирусной инфекции (коды по МКБ - 10: J00, J04.1, J06, J39.9, B34.0, B34.2) </w:t>
      </w:r>
      <w:bookmarkEnd w:id="37"/>
    </w:p>
    <w:tbl>
      <w:tblPr>
        <w:tblStyle w:val="TableGrid"/>
        <w:tblW w:w="10348" w:type="dxa"/>
        <w:tblInd w:w="365" w:type="dxa"/>
        <w:tblCellMar>
          <w:top w:w="62" w:type="dxa"/>
          <w:left w:w="108" w:type="dxa"/>
          <w:bottom w:w="0" w:type="dxa"/>
          <w:right w:w="49" w:type="dxa"/>
        </w:tblCellMar>
        <w:tblLook w:val="04A0" w:firstRow="1" w:lastRow="0" w:firstColumn="1" w:lastColumn="0" w:noHBand="0" w:noVBand="1"/>
      </w:tblPr>
      <w:tblGrid>
        <w:gridCol w:w="686"/>
        <w:gridCol w:w="7809"/>
        <w:gridCol w:w="1853"/>
      </w:tblGrid>
      <w:tr w:rsidR="005A3F38">
        <w:trPr>
          <w:trHeight w:val="564"/>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b/>
                <w:sz w:val="24"/>
              </w:rPr>
              <w:t xml:space="preserve">№ </w:t>
            </w:r>
          </w:p>
          <w:p w:rsidR="005A3F38" w:rsidRDefault="003114B5">
            <w:pPr>
              <w:spacing w:after="0"/>
            </w:pPr>
            <w:r>
              <w:rPr>
                <w:rFonts w:ascii="Times New Roman" w:eastAsia="Times New Roman" w:hAnsi="Times New Roman" w:cs="Times New Roman"/>
                <w:b/>
                <w:sz w:val="24"/>
              </w:rPr>
              <w:t xml:space="preserve">п/п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b/>
                <w:sz w:val="24"/>
              </w:rPr>
              <w:t xml:space="preserve">Критерии оценки качества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b/>
                <w:sz w:val="24"/>
              </w:rPr>
              <w:t xml:space="preserve">Оценка выполнения </w:t>
            </w:r>
          </w:p>
        </w:tc>
      </w:tr>
      <w:tr w:rsidR="005A3F38">
        <w:trPr>
          <w:trHeight w:val="1666"/>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1.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59"/>
              <w:jc w:val="both"/>
            </w:pPr>
            <w:r>
              <w:rPr>
                <w:rFonts w:ascii="Times New Roman" w:eastAsia="Times New Roman" w:hAnsi="Times New Roman" w:cs="Times New Roman"/>
                <w:sz w:val="24"/>
              </w:rPr>
              <w:t>Выполнен визуальный осмотр терапевтический в рамках приема (осмотра, консультации) врача-педиатра первичного и повторного/ приема (осмотра, консультации) врача-участкового педиатра первичного и повторного/ приема (осмотра, консультации) врача общей практик</w:t>
            </w:r>
            <w:r>
              <w:rPr>
                <w:rFonts w:ascii="Times New Roman" w:eastAsia="Times New Roman" w:hAnsi="Times New Roman" w:cs="Times New Roman"/>
                <w:sz w:val="24"/>
              </w:rPr>
              <w:t xml:space="preserve">и (семейного врача) первичного и повторного/ приема (осмотра, консультации) врача-инфекциониста первичного и повторного)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bl>
    <w:p w:rsidR="005A3F38" w:rsidRDefault="003114B5">
      <w:pPr>
        <w:spacing w:after="0"/>
        <w:ind w:left="360"/>
      </w:pPr>
      <w:r>
        <w:rPr>
          <w:rFonts w:ascii="Times New Roman" w:eastAsia="Times New Roman" w:hAnsi="Times New Roman" w:cs="Times New Roman"/>
          <w:sz w:val="24"/>
        </w:rPr>
        <w:t xml:space="preserve"> </w:t>
      </w:r>
    </w:p>
    <w:p w:rsidR="005A3F38" w:rsidRDefault="003114B5">
      <w:pPr>
        <w:spacing w:after="117"/>
        <w:ind w:left="10" w:right="-1" w:hanging="10"/>
        <w:jc w:val="right"/>
      </w:pPr>
      <w:r>
        <w:rPr>
          <w:rFonts w:ascii="Times New Roman" w:eastAsia="Times New Roman" w:hAnsi="Times New Roman" w:cs="Times New Roman"/>
          <w:sz w:val="24"/>
        </w:rPr>
        <w:t xml:space="preserve">Таблица 2. </w:t>
      </w:r>
    </w:p>
    <w:p w:rsidR="005A3F38" w:rsidRDefault="003114B5">
      <w:pPr>
        <w:pStyle w:val="Heading1"/>
        <w:spacing w:after="5" w:line="259" w:lineRule="auto"/>
        <w:ind w:left="355" w:right="2"/>
      </w:pPr>
      <w:bookmarkStart w:id="38" w:name="_Toc141911"/>
      <w:r>
        <w:rPr>
          <w:b w:val="0"/>
          <w:sz w:val="24"/>
        </w:rPr>
        <w:t xml:space="preserve"> </w:t>
      </w:r>
      <w:r>
        <w:rPr>
          <w:b w:val="0"/>
          <w:sz w:val="24"/>
        </w:rPr>
        <w:t xml:space="preserve">Критерии оценки качества специализированной медицинской помощи детям при острой респираторной вирусной инфекции (коды по МКБ - 10: J00, J04.1, J06, J39.9, B34.0, B34.2) </w:t>
      </w:r>
      <w:bookmarkEnd w:id="38"/>
    </w:p>
    <w:tbl>
      <w:tblPr>
        <w:tblStyle w:val="TableGrid"/>
        <w:tblW w:w="10348" w:type="dxa"/>
        <w:tblInd w:w="365" w:type="dxa"/>
        <w:tblCellMar>
          <w:top w:w="59" w:type="dxa"/>
          <w:left w:w="108" w:type="dxa"/>
          <w:bottom w:w="0" w:type="dxa"/>
          <w:right w:w="46" w:type="dxa"/>
        </w:tblCellMar>
        <w:tblLook w:val="04A0" w:firstRow="1" w:lastRow="0" w:firstColumn="1" w:lastColumn="0" w:noHBand="0" w:noVBand="1"/>
      </w:tblPr>
      <w:tblGrid>
        <w:gridCol w:w="686"/>
        <w:gridCol w:w="7809"/>
        <w:gridCol w:w="1853"/>
      </w:tblGrid>
      <w:tr w:rsidR="005A3F38">
        <w:trPr>
          <w:trHeight w:val="562"/>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b/>
                <w:sz w:val="24"/>
              </w:rPr>
              <w:t xml:space="preserve">№ </w:t>
            </w:r>
          </w:p>
          <w:p w:rsidR="005A3F38" w:rsidRDefault="003114B5">
            <w:pPr>
              <w:spacing w:after="0"/>
            </w:pPr>
            <w:r>
              <w:rPr>
                <w:rFonts w:ascii="Times New Roman" w:eastAsia="Times New Roman" w:hAnsi="Times New Roman" w:cs="Times New Roman"/>
                <w:b/>
                <w:sz w:val="24"/>
              </w:rPr>
              <w:t xml:space="preserve">п/п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b/>
                <w:sz w:val="24"/>
              </w:rPr>
              <w:t xml:space="preserve">Критерии оценки качества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b/>
                <w:sz w:val="24"/>
              </w:rPr>
              <w:t xml:space="preserve">Оценка выполнения </w:t>
            </w:r>
          </w:p>
        </w:tc>
      </w:tr>
      <w:tr w:rsidR="005A3F38">
        <w:trPr>
          <w:trHeight w:val="564"/>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1.</w:t>
            </w:r>
            <w:r>
              <w:rPr>
                <w:rFonts w:ascii="Arial" w:eastAsia="Arial" w:hAnsi="Arial" w:cs="Arial"/>
                <w:sz w:val="24"/>
              </w:rPr>
              <w:t xml:space="preserve">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jc w:val="both"/>
            </w:pPr>
            <w:r>
              <w:rPr>
                <w:rFonts w:ascii="Times New Roman" w:eastAsia="Times New Roman" w:hAnsi="Times New Roman" w:cs="Times New Roman"/>
                <w:sz w:val="24"/>
              </w:rPr>
              <w:t>Выполнен общий (клинический)</w:t>
            </w:r>
            <w:r>
              <w:rPr>
                <w:rFonts w:ascii="Times New Roman" w:eastAsia="Times New Roman" w:hAnsi="Times New Roman" w:cs="Times New Roman"/>
                <w:sz w:val="24"/>
              </w:rPr>
              <w:t xml:space="preserve"> анализ крови развернутый при лихорадке и выраженных общих симптомах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r w:rsidR="005A3F38">
        <w:trPr>
          <w:trHeight w:val="562"/>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2.</w:t>
            </w:r>
            <w:r>
              <w:rPr>
                <w:rFonts w:ascii="Arial" w:eastAsia="Arial" w:hAnsi="Arial" w:cs="Arial"/>
                <w:sz w:val="24"/>
              </w:rPr>
              <w:t xml:space="preserve">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jc w:val="both"/>
            </w:pPr>
            <w:r>
              <w:rPr>
                <w:rFonts w:ascii="Times New Roman" w:eastAsia="Times New Roman" w:hAnsi="Times New Roman" w:cs="Times New Roman"/>
                <w:sz w:val="24"/>
              </w:rPr>
              <w:t xml:space="preserve">Выполнен общий (клинический) анализ мочи у всех лихорадящих пациентов без катаральных явлений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r w:rsidR="005A3F38">
        <w:trPr>
          <w:trHeight w:val="1390"/>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3.</w:t>
            </w:r>
            <w:r>
              <w:rPr>
                <w:rFonts w:ascii="Arial" w:eastAsia="Arial" w:hAnsi="Arial" w:cs="Arial"/>
                <w:sz w:val="24"/>
              </w:rPr>
              <w:t xml:space="preserve">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58"/>
              <w:jc w:val="both"/>
            </w:pPr>
            <w:r>
              <w:rPr>
                <w:rFonts w:ascii="Times New Roman" w:eastAsia="Times New Roman" w:hAnsi="Times New Roman" w:cs="Times New Roman"/>
                <w:sz w:val="24"/>
              </w:rPr>
              <w:t>Выполнена пациентам с признаками ОРВИ и с лабораторно подтвержденным ОРВИ и подозрением на развитие нарушений ритма сердца и/или миокардита электрокардиография (регистрация электрокардиограммы, расшифровка, описание и интерпретация электрокардиографических</w:t>
            </w:r>
            <w:r>
              <w:rPr>
                <w:rFonts w:ascii="Times New Roman" w:eastAsia="Times New Roman" w:hAnsi="Times New Roman" w:cs="Times New Roman"/>
                <w:sz w:val="24"/>
              </w:rPr>
              <w:t xml:space="preserve"> данных) и/или эхокардиография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r w:rsidR="005A3F38">
        <w:trPr>
          <w:trHeight w:val="562"/>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4.</w:t>
            </w:r>
            <w:r>
              <w:rPr>
                <w:rFonts w:ascii="Arial" w:eastAsia="Arial" w:hAnsi="Arial" w:cs="Arial"/>
                <w:sz w:val="24"/>
              </w:rPr>
              <w:t xml:space="preserve">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Выполнена пульсоксиметрия детям с ОРВИ и признаками дыхательной недостаточности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r w:rsidR="005A3F38">
        <w:trPr>
          <w:trHeight w:val="838"/>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5.</w:t>
            </w:r>
            <w:r>
              <w:rPr>
                <w:rFonts w:ascii="Arial" w:eastAsia="Arial" w:hAnsi="Arial" w:cs="Arial"/>
                <w:sz w:val="24"/>
              </w:rPr>
              <w:t xml:space="preserve">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4"/>
              <w:jc w:val="both"/>
            </w:pPr>
            <w:r>
              <w:rPr>
                <w:rFonts w:ascii="Times New Roman" w:eastAsia="Times New Roman" w:hAnsi="Times New Roman" w:cs="Times New Roman"/>
                <w:sz w:val="24"/>
              </w:rPr>
              <w:t xml:space="preserve">Выполнена элиминационная терапия (промывание полости носа натрия хлоридом или стерильным раствором морской воды) (при отсутствии медицинских противопоказаний)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r w:rsidR="005A3F38">
        <w:trPr>
          <w:trHeight w:val="1390"/>
        </w:trPr>
        <w:tc>
          <w:tcPr>
            <w:tcW w:w="68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6.</w:t>
            </w:r>
            <w:r>
              <w:rPr>
                <w:rFonts w:ascii="Arial" w:eastAsia="Arial" w:hAnsi="Arial" w:cs="Arial"/>
                <w:sz w:val="24"/>
              </w:rPr>
              <w:t xml:space="preserve"> </w:t>
            </w:r>
          </w:p>
        </w:tc>
        <w:tc>
          <w:tcPr>
            <w:tcW w:w="7809"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38" w:lineRule="auto"/>
              <w:ind w:right="59"/>
              <w:jc w:val="both"/>
            </w:pPr>
            <w:r>
              <w:rPr>
                <w:rFonts w:ascii="Times New Roman" w:eastAsia="Times New Roman" w:hAnsi="Times New Roman" w:cs="Times New Roman"/>
                <w:sz w:val="24"/>
              </w:rPr>
              <w:t xml:space="preserve">Выполнено пациентам с ОРВИ с симптомами ринита лечение местные препараты, обладающие сосудосуживающим действием (группа АТХ R01AB «Симпатомиметики в комбинации с другими средствами, исключая кортикостероиды»), интраназально, коротким курсом не более </w:t>
            </w:r>
          </w:p>
          <w:p w:rsidR="005A3F38" w:rsidRDefault="003114B5">
            <w:pPr>
              <w:spacing w:after="0"/>
            </w:pPr>
            <w:r>
              <w:rPr>
                <w:rFonts w:ascii="Times New Roman" w:eastAsia="Times New Roman" w:hAnsi="Times New Roman" w:cs="Times New Roman"/>
                <w:sz w:val="24"/>
              </w:rPr>
              <w:t>5 дне</w:t>
            </w:r>
            <w:r>
              <w:rPr>
                <w:rFonts w:ascii="Times New Roman" w:eastAsia="Times New Roman" w:hAnsi="Times New Roman" w:cs="Times New Roman"/>
                <w:sz w:val="24"/>
              </w:rPr>
              <w:t xml:space="preserve">й (при отсутствии медицинских противопоказаний) </w:t>
            </w:r>
          </w:p>
        </w:tc>
        <w:tc>
          <w:tcPr>
            <w:tcW w:w="185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Да/Нет </w:t>
            </w:r>
          </w:p>
        </w:tc>
      </w:tr>
    </w:tbl>
    <w:p w:rsidR="005A3F38" w:rsidRDefault="003114B5">
      <w:pPr>
        <w:spacing w:after="0"/>
        <w:ind w:left="360"/>
      </w:pPr>
      <w:r>
        <w:rPr>
          <w:rFonts w:ascii="Times New Roman" w:eastAsia="Times New Roman" w:hAnsi="Times New Roman" w:cs="Times New Roman"/>
          <w:b/>
          <w:sz w:val="24"/>
        </w:rPr>
        <w:t xml:space="preserve"> </w:t>
      </w:r>
    </w:p>
    <w:p w:rsidR="005A3F38" w:rsidRDefault="003114B5">
      <w:pPr>
        <w:spacing w:after="54"/>
        <w:ind w:left="360"/>
      </w:pPr>
      <w:r>
        <w:rPr>
          <w:rFonts w:ascii="Times New Roman" w:eastAsia="Times New Roman" w:hAnsi="Times New Roman" w:cs="Times New Roman"/>
          <w:b/>
          <w:sz w:val="24"/>
        </w:rPr>
        <w:t xml:space="preserve"> </w:t>
      </w:r>
    </w:p>
    <w:p w:rsidR="005A3F38" w:rsidRDefault="003114B5">
      <w:pPr>
        <w:spacing w:after="0"/>
        <w:ind w:left="36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5A3F38" w:rsidRDefault="003114B5">
      <w:pPr>
        <w:pStyle w:val="Heading1"/>
        <w:spacing w:after="124" w:line="259" w:lineRule="auto"/>
        <w:ind w:left="352" w:firstLine="0"/>
        <w:jc w:val="center"/>
      </w:pPr>
      <w:bookmarkStart w:id="39" w:name="_Toc141912"/>
      <w:r>
        <w:t>Список литературы</w:t>
      </w:r>
      <w:r>
        <w:t xml:space="preserve"> </w:t>
      </w:r>
      <w:bookmarkEnd w:id="39"/>
    </w:p>
    <w:p w:rsidR="005A3F38" w:rsidRDefault="003114B5">
      <w:pPr>
        <w:numPr>
          <w:ilvl w:val="0"/>
          <w:numId w:val="22"/>
        </w:numPr>
        <w:spacing w:after="5" w:line="364" w:lineRule="auto"/>
        <w:ind w:right="2" w:hanging="708"/>
      </w:pPr>
      <w:r>
        <w:rPr>
          <w:rFonts w:ascii="Times New Roman" w:eastAsia="Times New Roman" w:hAnsi="Times New Roman" w:cs="Times New Roman"/>
          <w:sz w:val="24"/>
        </w:rPr>
        <w:t>Львов Д.К., Бурцева Е.И., Колобухина Л.В. и др Особенности циркуляции вирусов гриппа и ОРВИ в эпидемическом сезоне 2019–</w:t>
      </w:r>
      <w:r>
        <w:rPr>
          <w:rFonts w:ascii="Times New Roman" w:eastAsia="Times New Roman" w:hAnsi="Times New Roman" w:cs="Times New Roman"/>
          <w:sz w:val="24"/>
        </w:rPr>
        <w:t xml:space="preserve">2020 гг. в отдельных регионах России. Вопросы вирусологии. </w:t>
      </w:r>
    </w:p>
    <w:p w:rsidR="005A3F38" w:rsidRDefault="003114B5">
      <w:pPr>
        <w:spacing w:after="152" w:line="249" w:lineRule="auto"/>
        <w:ind w:left="355" w:right="11" w:hanging="10"/>
      </w:pPr>
      <w:r>
        <w:rPr>
          <w:rFonts w:ascii="Times New Roman" w:eastAsia="Times New Roman" w:hAnsi="Times New Roman" w:cs="Times New Roman"/>
          <w:sz w:val="24"/>
        </w:rPr>
        <w:t xml:space="preserve">2020;65(6):335-349. </w:t>
      </w:r>
    </w:p>
    <w:p w:rsidR="005A3F38" w:rsidRDefault="003114B5">
      <w:pPr>
        <w:numPr>
          <w:ilvl w:val="0"/>
          <w:numId w:val="22"/>
        </w:numPr>
        <w:spacing w:after="121"/>
        <w:ind w:right="2" w:hanging="708"/>
      </w:pPr>
      <w:r>
        <w:rPr>
          <w:rFonts w:ascii="Times New Roman" w:eastAsia="Times New Roman" w:hAnsi="Times New Roman" w:cs="Times New Roman"/>
          <w:sz w:val="24"/>
        </w:rPr>
        <w:t xml:space="preserve">Бурцева Е.И., Бреслав Н.В., Мукашева Е.А., Краснослободцев К.Г., Кириллова Е.С., </w:t>
      </w:r>
    </w:p>
    <w:p w:rsidR="005A3F38" w:rsidRDefault="003114B5">
      <w:pPr>
        <w:spacing w:after="112"/>
        <w:ind w:left="355" w:right="2" w:hanging="10"/>
        <w:jc w:val="both"/>
      </w:pPr>
      <w:r>
        <w:rPr>
          <w:rFonts w:ascii="Times New Roman" w:eastAsia="Times New Roman" w:hAnsi="Times New Roman" w:cs="Times New Roman"/>
          <w:sz w:val="24"/>
        </w:rPr>
        <w:t xml:space="preserve">Трушакова С.В., Комарова И.А., Феодоритова Е.Л., Панова А.Д., Кистенева Л.Б., Хлопова И.Н., </w:t>
      </w:r>
    </w:p>
    <w:p w:rsidR="005A3F38" w:rsidRDefault="003114B5">
      <w:pPr>
        <w:spacing w:after="20" w:line="366" w:lineRule="auto"/>
        <w:ind w:left="355" w:hanging="10"/>
      </w:pPr>
      <w:r>
        <w:rPr>
          <w:rFonts w:ascii="Times New Roman" w:eastAsia="Times New Roman" w:hAnsi="Times New Roman" w:cs="Times New Roman"/>
          <w:sz w:val="24"/>
        </w:rPr>
        <w:t>Кружкова И.С., Крепкая А.С., Морозова Е.О., Игнатьева А.В., Комиссаров А.Б., Тюрин И.Н., Самков А.А., Антипят Н.А. Эпидемический сезон 2023–2024 гг.: палитра возбудителей ОРВИ на некоторых территориях РФ и в регионах ВОЗ // Вопросы вирусологии. - 2025. - Т</w:t>
      </w:r>
      <w:r>
        <w:rPr>
          <w:rFonts w:ascii="Times New Roman" w:eastAsia="Times New Roman" w:hAnsi="Times New Roman" w:cs="Times New Roman"/>
          <w:sz w:val="24"/>
        </w:rPr>
        <w:t xml:space="preserve">. 70. - №3. - C. 234245. doi: 10.36233/0507-4088-302 </w:t>
      </w:r>
    </w:p>
    <w:p w:rsidR="005A3F38" w:rsidRDefault="003114B5">
      <w:pPr>
        <w:numPr>
          <w:ilvl w:val="0"/>
          <w:numId w:val="22"/>
        </w:numPr>
        <w:spacing w:after="25" w:line="360" w:lineRule="auto"/>
        <w:ind w:right="2" w:hanging="708"/>
      </w:pPr>
      <w:r>
        <w:rPr>
          <w:rFonts w:ascii="Times New Roman" w:eastAsia="Times New Roman" w:hAnsi="Times New Roman" w:cs="Times New Roman"/>
          <w:sz w:val="24"/>
        </w:rPr>
        <w:t xml:space="preserve">Van den Broek M.F., Gudden C., Kluijfhout W.P.,et al. No evidence for distinguishing bacterial from viral acute rhinosinusitis using symptom duration and purulent rhinorrhea: a systematic review of the </w:t>
      </w:r>
      <w:r>
        <w:rPr>
          <w:rFonts w:ascii="Times New Roman" w:eastAsia="Times New Roman" w:hAnsi="Times New Roman" w:cs="Times New Roman"/>
          <w:sz w:val="24"/>
        </w:rPr>
        <w:t xml:space="preserve">evidence base. Otolaryngol Head Neck Surg. 2014 Apr;150(4):533-7. </w:t>
      </w:r>
    </w:p>
    <w:p w:rsidR="005A3F38" w:rsidRDefault="003114B5">
      <w:pPr>
        <w:numPr>
          <w:ilvl w:val="0"/>
          <w:numId w:val="22"/>
        </w:numPr>
        <w:spacing w:after="20" w:line="366" w:lineRule="auto"/>
        <w:ind w:right="2" w:hanging="708"/>
      </w:pPr>
      <w:r>
        <w:rPr>
          <w:rFonts w:ascii="Times New Roman" w:eastAsia="Times New Roman" w:hAnsi="Times New Roman" w:cs="Times New Roman"/>
          <w:sz w:val="24"/>
        </w:rPr>
        <w:t xml:space="preserve">Руководство по вирусологии. Вирусы и вирусные инфекции человека и животных. Под ред академика РАН Д.К. Львова. М: ООО «Издательство «Медицинское Информацилонное агенство» 2013; 1200 с. </w:t>
      </w:r>
    </w:p>
    <w:p w:rsidR="005A3F38" w:rsidRDefault="003114B5">
      <w:pPr>
        <w:numPr>
          <w:ilvl w:val="0"/>
          <w:numId w:val="22"/>
        </w:numPr>
        <w:spacing w:after="128" w:line="249" w:lineRule="auto"/>
        <w:ind w:right="2" w:hanging="708"/>
      </w:pPr>
      <w:r>
        <w:rPr>
          <w:rFonts w:ascii="Times New Roman" w:eastAsia="Times New Roman" w:hAnsi="Times New Roman" w:cs="Times New Roman"/>
          <w:sz w:val="24"/>
        </w:rPr>
        <w:t>Bas</w:t>
      </w:r>
      <w:r>
        <w:rPr>
          <w:rFonts w:ascii="Times New Roman" w:eastAsia="Times New Roman" w:hAnsi="Times New Roman" w:cs="Times New Roman"/>
          <w:sz w:val="24"/>
        </w:rPr>
        <w:t xml:space="preserve">net S, Palmenberg AC, Gern JE. Rhinoviruses and Their Receptors. Chest. 2019 </w:t>
      </w:r>
    </w:p>
    <w:p w:rsidR="005A3F38" w:rsidRDefault="003114B5">
      <w:pPr>
        <w:spacing w:after="128" w:line="249" w:lineRule="auto"/>
        <w:ind w:left="355" w:right="11" w:hanging="10"/>
      </w:pPr>
      <w:r>
        <w:rPr>
          <w:rFonts w:ascii="Times New Roman" w:eastAsia="Times New Roman" w:hAnsi="Times New Roman" w:cs="Times New Roman"/>
          <w:sz w:val="24"/>
        </w:rPr>
        <w:t xml:space="preserve">May;155(5):1018-1025. doi: 10.1016/j.chest.2018.12.012. Epub 2019 Jan 17. PMID: 30659817; PMCID: </w:t>
      </w:r>
    </w:p>
    <w:p w:rsidR="005A3F38" w:rsidRDefault="003114B5">
      <w:pPr>
        <w:spacing w:after="153" w:line="249" w:lineRule="auto"/>
        <w:ind w:left="355" w:right="11" w:hanging="10"/>
      </w:pPr>
      <w:r>
        <w:rPr>
          <w:rFonts w:ascii="Times New Roman" w:eastAsia="Times New Roman" w:hAnsi="Times New Roman" w:cs="Times New Roman"/>
          <w:sz w:val="24"/>
        </w:rPr>
        <w:t xml:space="preserve">PMC6533451 </w:t>
      </w:r>
    </w:p>
    <w:p w:rsidR="005A3F38" w:rsidRDefault="003114B5">
      <w:pPr>
        <w:numPr>
          <w:ilvl w:val="0"/>
          <w:numId w:val="22"/>
        </w:numPr>
        <w:spacing w:after="0" w:line="364" w:lineRule="auto"/>
        <w:ind w:right="2" w:hanging="708"/>
      </w:pPr>
      <w:r>
        <w:rPr>
          <w:rFonts w:ascii="Times New Roman" w:eastAsia="Times New Roman" w:hAnsi="Times New Roman" w:cs="Times New Roman"/>
          <w:sz w:val="24"/>
        </w:rPr>
        <w:t xml:space="preserve">Rhinovirus Infections and Their Roles in Asthma: Etiology and Exacerbations. David J. Jackson, MRCP, MSc, PhD, James E. Gern, MD. The Journal of Allergy and Clinical Immunology: In Practice. </w:t>
      </w:r>
    </w:p>
    <w:p w:rsidR="005A3F38" w:rsidRDefault="003114B5">
      <w:pPr>
        <w:spacing w:after="155" w:line="249" w:lineRule="auto"/>
        <w:ind w:left="355" w:right="11" w:hanging="10"/>
      </w:pPr>
      <w:r>
        <w:rPr>
          <w:rFonts w:ascii="Times New Roman" w:eastAsia="Times New Roman" w:hAnsi="Times New Roman" w:cs="Times New Roman"/>
          <w:sz w:val="24"/>
        </w:rPr>
        <w:t>Volume 10 Issue 3 Pages 673-681 (March 2022) DOI: 10.1016/j.jaip</w:t>
      </w:r>
      <w:r>
        <w:rPr>
          <w:rFonts w:ascii="Times New Roman" w:eastAsia="Times New Roman" w:hAnsi="Times New Roman" w:cs="Times New Roman"/>
          <w:sz w:val="24"/>
        </w:rPr>
        <w:t xml:space="preserve">.2022.01.006 </w:t>
      </w:r>
    </w:p>
    <w:p w:rsidR="005A3F38" w:rsidRDefault="003114B5">
      <w:pPr>
        <w:numPr>
          <w:ilvl w:val="0"/>
          <w:numId w:val="22"/>
        </w:numPr>
        <w:spacing w:after="119"/>
        <w:ind w:right="2" w:hanging="708"/>
      </w:pPr>
      <w:r>
        <w:rPr>
          <w:rFonts w:ascii="Times New Roman" w:eastAsia="Times New Roman" w:hAnsi="Times New Roman" w:cs="Times New Roman"/>
          <w:sz w:val="24"/>
        </w:rPr>
        <w:t xml:space="preserve">Инфекционные болезни. Национальное руководство. Под ред. акад. РАМ Н.Д. Ющука, акад. </w:t>
      </w:r>
    </w:p>
    <w:p w:rsidR="005A3F38" w:rsidRDefault="003114B5">
      <w:pPr>
        <w:spacing w:after="144"/>
        <w:ind w:left="355" w:right="2" w:hanging="10"/>
        <w:jc w:val="both"/>
      </w:pPr>
      <w:r>
        <w:rPr>
          <w:rFonts w:ascii="Times New Roman" w:eastAsia="Times New Roman" w:hAnsi="Times New Roman" w:cs="Times New Roman"/>
          <w:sz w:val="24"/>
        </w:rPr>
        <w:t xml:space="preserve">РАЕН Ю.Я. Венгерова. – 2-е изд., перераб. и доп. М.: Издательство ГЭОТАР-Медиа, 2019.; 1004 с. </w:t>
      </w:r>
    </w:p>
    <w:p w:rsidR="005A3F38" w:rsidRDefault="003114B5">
      <w:pPr>
        <w:numPr>
          <w:ilvl w:val="0"/>
          <w:numId w:val="22"/>
        </w:numPr>
        <w:spacing w:after="119"/>
        <w:ind w:right="2" w:hanging="708"/>
      </w:pPr>
      <w:r>
        <w:rPr>
          <w:rFonts w:ascii="Times New Roman" w:eastAsia="Times New Roman" w:hAnsi="Times New Roman" w:cs="Times New Roman"/>
          <w:sz w:val="24"/>
        </w:rPr>
        <w:t>Инфекционные болезни у детей. Учебник / Под ред. Учайкина В.</w:t>
      </w:r>
      <w:r>
        <w:rPr>
          <w:rFonts w:ascii="Times New Roman" w:eastAsia="Times New Roman" w:hAnsi="Times New Roman" w:cs="Times New Roman"/>
          <w:sz w:val="24"/>
        </w:rPr>
        <w:t xml:space="preserve">Ф., Шамшевой О.В.–М.: </w:t>
      </w:r>
    </w:p>
    <w:p w:rsidR="005A3F38" w:rsidRDefault="003114B5">
      <w:pPr>
        <w:spacing w:after="144"/>
        <w:ind w:left="355" w:right="2" w:hanging="10"/>
        <w:jc w:val="both"/>
      </w:pPr>
      <w:r>
        <w:rPr>
          <w:rFonts w:ascii="Times New Roman" w:eastAsia="Times New Roman" w:hAnsi="Times New Roman" w:cs="Times New Roman"/>
          <w:sz w:val="24"/>
        </w:rPr>
        <w:t xml:space="preserve">ГЭОТАР Медиа, 2022. –920 с. </w:t>
      </w:r>
    </w:p>
    <w:p w:rsidR="005A3F38" w:rsidRDefault="003114B5">
      <w:pPr>
        <w:numPr>
          <w:ilvl w:val="0"/>
          <w:numId w:val="22"/>
        </w:numPr>
        <w:spacing w:after="119"/>
        <w:ind w:right="2" w:hanging="708"/>
      </w:pPr>
      <w:r>
        <w:rPr>
          <w:rFonts w:ascii="Times New Roman" w:eastAsia="Times New Roman" w:hAnsi="Times New Roman" w:cs="Times New Roman"/>
          <w:sz w:val="24"/>
        </w:rPr>
        <w:t xml:space="preserve">Иммунопрофилактика респираторно-синцитиальной вирусной инфекции у детей: </w:t>
      </w:r>
    </w:p>
    <w:p w:rsidR="005A3F38" w:rsidRDefault="003114B5">
      <w:pPr>
        <w:spacing w:after="5" w:line="364" w:lineRule="auto"/>
        <w:ind w:left="355" w:right="2" w:hanging="10"/>
        <w:jc w:val="both"/>
      </w:pPr>
      <w:r>
        <w:rPr>
          <w:rFonts w:ascii="Times New Roman" w:eastAsia="Times New Roman" w:hAnsi="Times New Roman" w:cs="Times New Roman"/>
          <w:sz w:val="24"/>
        </w:rPr>
        <w:t>методические рекомендации для педиатров / А.А. Баранов, Л.С. Намазова-Баранова, И.А. Беляева [и др.]; Союз педиатров России. — Мос</w:t>
      </w:r>
      <w:r>
        <w:rPr>
          <w:rFonts w:ascii="Times New Roman" w:eastAsia="Times New Roman" w:hAnsi="Times New Roman" w:cs="Times New Roman"/>
          <w:sz w:val="24"/>
        </w:rPr>
        <w:t xml:space="preserve">ква: ПедиатрЪ, 2023. — 54 с. </w:t>
      </w:r>
    </w:p>
    <w:p w:rsidR="005A3F38" w:rsidRDefault="003114B5">
      <w:pPr>
        <w:numPr>
          <w:ilvl w:val="0"/>
          <w:numId w:val="22"/>
        </w:numPr>
        <w:spacing w:after="20" w:line="366" w:lineRule="auto"/>
        <w:ind w:right="2" w:hanging="708"/>
      </w:pPr>
      <w:r>
        <w:rPr>
          <w:rFonts w:ascii="Times New Roman" w:eastAsia="Times New Roman" w:hAnsi="Times New Roman" w:cs="Times New Roman"/>
          <w:sz w:val="24"/>
        </w:rPr>
        <w:t>Информационное письмо: О рекомендуемых сроках проведения иммунопрофилактики респираторно-синцитиальной вирусной инфекции у детей из групп риска [электронный ресурс] http://niidi.ru/news/informatsionnoe-pis-mo-o-rekomenduemykh-</w:t>
      </w:r>
      <w:r>
        <w:rPr>
          <w:rFonts w:ascii="Times New Roman" w:eastAsia="Times New Roman" w:hAnsi="Times New Roman" w:cs="Times New Roman"/>
          <w:sz w:val="24"/>
        </w:rPr>
        <w:t xml:space="preserve">srokakh-provedeniyaimmunoprofilaktiki-respiratorno-sintsitial-noy-virusnoy-infe/, дата доступа 13.03.2023 </w:t>
      </w:r>
    </w:p>
    <w:p w:rsidR="005A3F38" w:rsidRDefault="003114B5">
      <w:pPr>
        <w:numPr>
          <w:ilvl w:val="0"/>
          <w:numId w:val="22"/>
        </w:numPr>
        <w:spacing w:after="128" w:line="360" w:lineRule="auto"/>
        <w:ind w:right="2" w:hanging="708"/>
      </w:pPr>
      <w:r>
        <w:rPr>
          <w:rFonts w:ascii="Times New Roman" w:eastAsia="Times New Roman" w:hAnsi="Times New Roman" w:cs="Times New Roman"/>
          <w:sz w:val="24"/>
        </w:rPr>
        <w:t>Zar HJ, Cacho F, Kootbodien T, Mejias A, Ortiz JR, Stein RT, Hartert TV. Early-life respiratory syncytial virus disease and long-term respiratory hea</w:t>
      </w:r>
      <w:r>
        <w:rPr>
          <w:rFonts w:ascii="Times New Roman" w:eastAsia="Times New Roman" w:hAnsi="Times New Roman" w:cs="Times New Roman"/>
          <w:sz w:val="24"/>
        </w:rPr>
        <w:t xml:space="preserve">lth. Lancet Respir Med. 2024 Oct;12(10):810-821. doi: 10.1016/S2213-2600(24)00246-7. Epub 2024 Sep 9. PMID: 39265601. </w:t>
      </w:r>
    </w:p>
    <w:p w:rsidR="005A3F38" w:rsidRDefault="003114B5">
      <w:pPr>
        <w:numPr>
          <w:ilvl w:val="0"/>
          <w:numId w:val="22"/>
        </w:numPr>
        <w:spacing w:after="21" w:line="364" w:lineRule="auto"/>
        <w:ind w:right="2" w:hanging="708"/>
      </w:pPr>
      <w:hyperlink r:id="rId11">
        <w:r>
          <w:rPr>
            <w:rFonts w:ascii="Times New Roman" w:eastAsia="Times New Roman" w:hAnsi="Times New Roman" w:cs="Times New Roman"/>
            <w:color w:val="0000FF"/>
            <w:sz w:val="24"/>
            <w:u w:val="single" w:color="0000FF"/>
          </w:rPr>
          <w:t>https://www.who.int/ru/news</w:t>
        </w:r>
      </w:hyperlink>
      <w:hyperlink r:id="rId12">
        <w:r>
          <w:rPr>
            <w:rFonts w:ascii="Times New Roman" w:eastAsia="Times New Roman" w:hAnsi="Times New Roman" w:cs="Times New Roman"/>
            <w:color w:val="0000FF"/>
            <w:sz w:val="24"/>
            <w:u w:val="single" w:color="0000FF"/>
          </w:rPr>
          <w:t>-</w:t>
        </w:r>
      </w:hyperlink>
      <w:hyperlink r:id="rId13">
        <w:r>
          <w:rPr>
            <w:rFonts w:ascii="Times New Roman" w:eastAsia="Times New Roman" w:hAnsi="Times New Roman" w:cs="Times New Roman"/>
            <w:color w:val="0000FF"/>
            <w:sz w:val="24"/>
            <w:u w:val="single" w:color="0000FF"/>
          </w:rPr>
          <w:t>room/questions</w:t>
        </w:r>
      </w:hyperlink>
      <w:hyperlink r:id="rId14">
        <w:r>
          <w:rPr>
            <w:rFonts w:ascii="Times New Roman" w:eastAsia="Times New Roman" w:hAnsi="Times New Roman" w:cs="Times New Roman"/>
            <w:color w:val="0000FF"/>
            <w:sz w:val="24"/>
            <w:u w:val="single" w:color="0000FF"/>
          </w:rPr>
          <w:t>-</w:t>
        </w:r>
      </w:hyperlink>
      <w:hyperlink r:id="rId15">
        <w:r>
          <w:rPr>
            <w:rFonts w:ascii="Times New Roman" w:eastAsia="Times New Roman" w:hAnsi="Times New Roman" w:cs="Times New Roman"/>
            <w:color w:val="0000FF"/>
            <w:sz w:val="24"/>
            <w:u w:val="single" w:color="0000FF"/>
          </w:rPr>
          <w:t>and</w:t>
        </w:r>
      </w:hyperlink>
      <w:hyperlink r:id="rId16">
        <w:r>
          <w:rPr>
            <w:rFonts w:ascii="Times New Roman" w:eastAsia="Times New Roman" w:hAnsi="Times New Roman" w:cs="Times New Roman"/>
            <w:color w:val="0000FF"/>
            <w:sz w:val="24"/>
            <w:u w:val="single" w:color="0000FF"/>
          </w:rPr>
          <w:t>-</w:t>
        </w:r>
      </w:hyperlink>
      <w:hyperlink r:id="rId17">
        <w:r>
          <w:rPr>
            <w:rFonts w:ascii="Times New Roman" w:eastAsia="Times New Roman" w:hAnsi="Times New Roman" w:cs="Times New Roman"/>
            <w:color w:val="0000FF"/>
            <w:sz w:val="24"/>
            <w:u w:val="single" w:color="0000FF"/>
          </w:rPr>
          <w:t>answers/item/human</w:t>
        </w:r>
      </w:hyperlink>
      <w:hyperlink r:id="rId18">
        <w:r>
          <w:rPr>
            <w:rFonts w:ascii="Times New Roman" w:eastAsia="Times New Roman" w:hAnsi="Times New Roman" w:cs="Times New Roman"/>
            <w:color w:val="0000FF"/>
            <w:sz w:val="24"/>
            <w:u w:val="single" w:color="0000FF"/>
          </w:rPr>
          <w:t>-</w:t>
        </w:r>
      </w:hyperlink>
      <w:hyperlink r:id="rId19">
        <w:r>
          <w:rPr>
            <w:rFonts w:ascii="Times New Roman" w:eastAsia="Times New Roman" w:hAnsi="Times New Roman" w:cs="Times New Roman"/>
            <w:color w:val="0000FF"/>
            <w:sz w:val="24"/>
            <w:u w:val="single" w:color="0000FF"/>
          </w:rPr>
          <w:t>tapneumovirus</w:t>
        </w:r>
      </w:hyperlink>
      <w:hyperlink r:id="rId20">
        <w:r>
          <w:rPr>
            <w:rFonts w:ascii="Times New Roman" w:eastAsia="Times New Roman" w:hAnsi="Times New Roman" w:cs="Times New Roman"/>
            <w:color w:val="0000FF"/>
            <w:sz w:val="24"/>
            <w:u w:val="single" w:color="0000FF"/>
          </w:rPr>
          <w:t>-</w:t>
        </w:r>
      </w:hyperlink>
      <w:hyperlink r:id="rId21">
        <w:r>
          <w:rPr>
            <w:rFonts w:ascii="Times New Roman" w:eastAsia="Times New Roman" w:hAnsi="Times New Roman" w:cs="Times New Roman"/>
            <w:color w:val="0000FF"/>
            <w:sz w:val="24"/>
            <w:u w:val="single" w:color="0000FF"/>
          </w:rPr>
          <w:t>(hmpv)</w:t>
        </w:r>
      </w:hyperlink>
      <w:hyperlink r:id="rId22"/>
      <w:hyperlink r:id="rId23">
        <w:r>
          <w:rPr>
            <w:rFonts w:ascii="Times New Roman" w:eastAsia="Times New Roman" w:hAnsi="Times New Roman" w:cs="Times New Roman"/>
            <w:color w:val="0000FF"/>
            <w:sz w:val="24"/>
            <w:u w:val="single" w:color="0000FF"/>
          </w:rPr>
          <w:t>infection</w:t>
        </w:r>
      </w:hyperlink>
      <w:hyperlink r:id="rId24">
        <w:r>
          <w:rPr>
            <w:rFonts w:ascii="Times New Roman" w:eastAsia="Times New Roman" w:hAnsi="Times New Roman" w:cs="Times New Roman"/>
            <w:sz w:val="24"/>
          </w:rPr>
          <w:t xml:space="preserve"> </w:t>
        </w:r>
      </w:hyperlink>
    </w:p>
    <w:p w:rsidR="005A3F38" w:rsidRDefault="003114B5">
      <w:pPr>
        <w:numPr>
          <w:ilvl w:val="0"/>
          <w:numId w:val="22"/>
        </w:numPr>
        <w:spacing w:after="121"/>
        <w:ind w:right="2" w:hanging="708"/>
      </w:pPr>
      <w:r>
        <w:rPr>
          <w:rFonts w:ascii="Times New Roman" w:eastAsia="Times New Roman" w:hAnsi="Times New Roman" w:cs="Times New Roman"/>
          <w:sz w:val="24"/>
        </w:rPr>
        <w:t xml:space="preserve">Каннер Е. В., Крутихина С. Б., Горелов А. В. Итоги 15-летнего изучения </w:t>
      </w:r>
    </w:p>
    <w:p w:rsidR="005A3F38" w:rsidRDefault="003114B5">
      <w:pPr>
        <w:spacing w:after="142"/>
        <w:ind w:left="355" w:right="2" w:hanging="10"/>
        <w:jc w:val="both"/>
      </w:pPr>
      <w:r>
        <w:rPr>
          <w:rFonts w:ascii="Times New Roman" w:eastAsia="Times New Roman" w:hAnsi="Times New Roman" w:cs="Times New Roman"/>
          <w:sz w:val="24"/>
        </w:rPr>
        <w:t xml:space="preserve">метапневмовирусной инфекции. Обзор литературы //Медицинский совет. – 2017. – №. 9. – С. 48-50 </w:t>
      </w:r>
    </w:p>
    <w:p w:rsidR="005A3F38" w:rsidRDefault="003114B5">
      <w:pPr>
        <w:numPr>
          <w:ilvl w:val="0"/>
          <w:numId w:val="22"/>
        </w:numPr>
        <w:spacing w:after="121"/>
        <w:ind w:right="2" w:hanging="708"/>
      </w:pPr>
      <w:r>
        <w:rPr>
          <w:rFonts w:ascii="Times New Roman" w:eastAsia="Times New Roman" w:hAnsi="Times New Roman" w:cs="Times New Roman"/>
          <w:sz w:val="24"/>
        </w:rPr>
        <w:t>Грипп</w:t>
      </w:r>
      <w:r>
        <w:rPr>
          <w:rFonts w:ascii="Times New Roman" w:eastAsia="Times New Roman" w:hAnsi="Times New Roman" w:cs="Times New Roman"/>
          <w:sz w:val="24"/>
        </w:rPr>
        <w:t xml:space="preserve"> и ОРВИ в XXI веке: руководство для врачей / под ред. Н. Ю. Пшеничной. - Москва: </w:t>
      </w:r>
    </w:p>
    <w:p w:rsidR="005A3F38" w:rsidRDefault="003114B5">
      <w:pPr>
        <w:spacing w:after="142"/>
        <w:ind w:left="355" w:right="2" w:hanging="10"/>
        <w:jc w:val="both"/>
      </w:pPr>
      <w:r>
        <w:rPr>
          <w:rFonts w:ascii="Times New Roman" w:eastAsia="Times New Roman" w:hAnsi="Times New Roman" w:cs="Times New Roman"/>
          <w:sz w:val="24"/>
        </w:rPr>
        <w:t xml:space="preserve">ГЭОТАР-Медиа, 2024. - 304 с </w:t>
      </w:r>
    </w:p>
    <w:p w:rsidR="005A3F38" w:rsidRDefault="003114B5">
      <w:pPr>
        <w:numPr>
          <w:ilvl w:val="0"/>
          <w:numId w:val="22"/>
        </w:numPr>
        <w:spacing w:after="121"/>
        <w:ind w:right="2" w:hanging="708"/>
      </w:pPr>
      <w:r>
        <w:rPr>
          <w:rFonts w:ascii="Times New Roman" w:eastAsia="Times New Roman" w:hAnsi="Times New Roman" w:cs="Times New Roman"/>
          <w:sz w:val="24"/>
        </w:rPr>
        <w:t xml:space="preserve">Селькова, Е.П. ОРВИ и грипп. В помощь практикующему врачу / Е. П. Селькова, О. В. </w:t>
      </w:r>
    </w:p>
    <w:p w:rsidR="005A3F38" w:rsidRDefault="003114B5">
      <w:pPr>
        <w:spacing w:after="142"/>
        <w:ind w:left="355" w:right="2" w:hanging="10"/>
        <w:jc w:val="both"/>
      </w:pPr>
      <w:r>
        <w:rPr>
          <w:rFonts w:ascii="Times New Roman" w:eastAsia="Times New Roman" w:hAnsi="Times New Roman" w:cs="Times New Roman"/>
          <w:sz w:val="24"/>
        </w:rPr>
        <w:t>Калюжин. - М.: ООО "Издательство "Медицинское информационное а</w:t>
      </w:r>
      <w:r>
        <w:rPr>
          <w:rFonts w:ascii="Times New Roman" w:eastAsia="Times New Roman" w:hAnsi="Times New Roman" w:cs="Times New Roman"/>
          <w:sz w:val="24"/>
        </w:rPr>
        <w:t xml:space="preserve">гентство", 2015. - 224 с.  </w:t>
      </w:r>
    </w:p>
    <w:p w:rsidR="005A3F38" w:rsidRDefault="003114B5">
      <w:pPr>
        <w:numPr>
          <w:ilvl w:val="0"/>
          <w:numId w:val="22"/>
        </w:numPr>
        <w:spacing w:after="128" w:line="249" w:lineRule="auto"/>
        <w:ind w:right="2" w:hanging="708"/>
      </w:pPr>
      <w:r>
        <w:rPr>
          <w:rFonts w:ascii="Times New Roman" w:eastAsia="Times New Roman" w:hAnsi="Times New Roman" w:cs="Times New Roman"/>
          <w:sz w:val="24"/>
        </w:rPr>
        <w:t xml:space="preserve">Parainfluenza Virus Hayat Elboukari; Muddasir Ashraf </w:t>
      </w:r>
    </w:p>
    <w:p w:rsidR="005A3F38" w:rsidRDefault="003114B5">
      <w:pPr>
        <w:spacing w:after="152" w:line="249" w:lineRule="auto"/>
        <w:ind w:left="355" w:right="11" w:hanging="10"/>
      </w:pPr>
      <w:r>
        <w:rPr>
          <w:rFonts w:ascii="Times New Roman" w:eastAsia="Times New Roman" w:hAnsi="Times New Roman" w:cs="Times New Roman"/>
          <w:sz w:val="24"/>
        </w:rPr>
        <w:t xml:space="preserve">https://www.ncbi.nlm.nih.gov/books/NBK560719/ Treasure Island (FL): StatPearls Publishing; 2025 Jan </w:t>
      </w:r>
    </w:p>
    <w:p w:rsidR="005A3F38" w:rsidRDefault="003114B5">
      <w:pPr>
        <w:numPr>
          <w:ilvl w:val="0"/>
          <w:numId w:val="22"/>
        </w:numPr>
        <w:spacing w:after="20" w:line="366" w:lineRule="auto"/>
        <w:ind w:right="2" w:hanging="708"/>
      </w:pPr>
      <w:r>
        <w:rPr>
          <w:rFonts w:ascii="Times New Roman" w:eastAsia="Times New Roman" w:hAnsi="Times New Roman" w:cs="Times New Roman"/>
          <w:sz w:val="24"/>
        </w:rPr>
        <w:t xml:space="preserve">Иванов Д. О. и др. Коронавирусная инфекция //Педиатр. – 2020. – Т. 11. – </w:t>
      </w:r>
      <w:r>
        <w:rPr>
          <w:rFonts w:ascii="Times New Roman" w:eastAsia="Times New Roman" w:hAnsi="Times New Roman" w:cs="Times New Roman"/>
          <w:sz w:val="24"/>
        </w:rPr>
        <w:t>№. 3. – С. 109-117 18.</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 Кокорева С. П. и др. Сезонная коронавирусная инфекция у детей //Инфекционные болезни в современном мире: эпидемиология, диагностика, лечение и профилактика. – 2020. – С. 102-103 </w:t>
      </w:r>
    </w:p>
    <w:p w:rsidR="005A3F38" w:rsidRDefault="003114B5">
      <w:pPr>
        <w:numPr>
          <w:ilvl w:val="0"/>
          <w:numId w:val="23"/>
        </w:numPr>
        <w:spacing w:after="25" w:line="360" w:lineRule="auto"/>
        <w:ind w:right="11" w:hanging="10"/>
      </w:pPr>
      <w:r>
        <w:rPr>
          <w:rFonts w:ascii="Times New Roman" w:eastAsia="Times New Roman" w:hAnsi="Times New Roman" w:cs="Times New Roman"/>
          <w:sz w:val="24"/>
        </w:rPr>
        <w:t>Pediatric Bocavirus Updated: May 28, 2024 Author: Ni</w:t>
      </w:r>
      <w:r>
        <w:rPr>
          <w:rFonts w:ascii="Times New Roman" w:eastAsia="Times New Roman" w:hAnsi="Times New Roman" w:cs="Times New Roman"/>
          <w:sz w:val="24"/>
        </w:rPr>
        <w:t xml:space="preserve">cholas John Bennett, MBBCh, PhD, FAAP, MA(Cantab); Chief Editor: Russell W Steele, MD, https://emedicine.medscape.com/article/1355393overview, </w:t>
      </w:r>
    </w:p>
    <w:p w:rsidR="005A3F38" w:rsidRDefault="003114B5">
      <w:pPr>
        <w:numPr>
          <w:ilvl w:val="0"/>
          <w:numId w:val="23"/>
        </w:numPr>
        <w:spacing w:after="28" w:line="360" w:lineRule="auto"/>
        <w:ind w:right="11" w:hanging="10"/>
      </w:pPr>
      <w:r>
        <w:rPr>
          <w:rFonts w:ascii="Times New Roman" w:eastAsia="Times New Roman" w:hAnsi="Times New Roman" w:cs="Times New Roman"/>
          <w:sz w:val="24"/>
        </w:rPr>
        <w:t xml:space="preserve">Hay AD, Heron J, Ness A, ALSPAC study team. The prevalence of symptoms and consultations in pre-school children </w:t>
      </w:r>
      <w:r>
        <w:rPr>
          <w:rFonts w:ascii="Times New Roman" w:eastAsia="Times New Roman" w:hAnsi="Times New Roman" w:cs="Times New Roman"/>
          <w:sz w:val="24"/>
        </w:rPr>
        <w:t xml:space="preserve">in the Avon Longitudinal Study of Parents and Children (ALSPAC): a prospective cohort study. Family Practice 2005; 22: 367–374.  </w:t>
      </w:r>
    </w:p>
    <w:p w:rsidR="005A3F38" w:rsidRDefault="003114B5">
      <w:pPr>
        <w:numPr>
          <w:ilvl w:val="0"/>
          <w:numId w:val="23"/>
        </w:numPr>
        <w:spacing w:after="18" w:line="366" w:lineRule="auto"/>
        <w:ind w:right="11" w:hanging="10"/>
      </w:pPr>
      <w:r>
        <w:rPr>
          <w:rFonts w:ascii="Times New Roman" w:eastAsia="Times New Roman" w:hAnsi="Times New Roman" w:cs="Times New Roman"/>
          <w:sz w:val="24"/>
        </w:rPr>
        <w:t>Fendrick A.M., Monto A.S., Nightengale B., Sarnes M. The economic burden of non-influenza</w:t>
      </w:r>
      <w:r>
        <w:rPr>
          <w:rFonts w:ascii="Times New Roman" w:eastAsia="Times New Roman" w:hAnsi="Times New Roman" w:cs="Times New Roman"/>
          <w:sz w:val="24"/>
        </w:rPr>
        <w:t>related viral respiratory tract infection in the United States. Arch Intern Med. 2003 Feb 24; 163(4):487-94. 22.</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Союз педиатров России, Международный Фонд охраны здоровья матери и ребенка. Научнопрактическая программа «Острые респираторные заболевания у д</w:t>
      </w:r>
      <w:r>
        <w:rPr>
          <w:rFonts w:ascii="Times New Roman" w:eastAsia="Times New Roman" w:hAnsi="Times New Roman" w:cs="Times New Roman"/>
          <w:sz w:val="24"/>
        </w:rPr>
        <w:t xml:space="preserve">етей. Лечение и профилактика». М., 2002 г.  </w:t>
      </w:r>
    </w:p>
    <w:p w:rsidR="005A3F38" w:rsidRDefault="003114B5">
      <w:pPr>
        <w:numPr>
          <w:ilvl w:val="0"/>
          <w:numId w:val="24"/>
        </w:numPr>
        <w:spacing w:after="5" w:line="364" w:lineRule="auto"/>
        <w:ind w:right="2" w:hanging="708"/>
        <w:jc w:val="both"/>
      </w:pPr>
      <w:r>
        <w:rPr>
          <w:rFonts w:ascii="Times New Roman" w:eastAsia="Times New Roman" w:hAnsi="Times New Roman" w:cs="Times New Roman"/>
          <w:sz w:val="24"/>
        </w:rPr>
        <w:t xml:space="preserve">Государственный доклад «О состоянии санитарно–эпидемиологического благополучия населения в Российской Федерации в 2024 году» </w:t>
      </w:r>
    </w:p>
    <w:p w:rsidR="005A3F38" w:rsidRDefault="003114B5">
      <w:pPr>
        <w:spacing w:after="155" w:line="249" w:lineRule="auto"/>
        <w:ind w:left="355" w:right="11" w:hanging="10"/>
      </w:pPr>
      <w:r>
        <w:rPr>
          <w:rFonts w:ascii="Times New Roman" w:eastAsia="Times New Roman" w:hAnsi="Times New Roman" w:cs="Times New Roman"/>
          <w:sz w:val="24"/>
        </w:rPr>
        <w:t xml:space="preserve">https://www.rospotrebnadzor.ru/documents/details.php?ELEMENT_ID=3017 </w:t>
      </w:r>
    </w:p>
    <w:p w:rsidR="005A3F38" w:rsidRDefault="003114B5">
      <w:pPr>
        <w:numPr>
          <w:ilvl w:val="0"/>
          <w:numId w:val="24"/>
        </w:numPr>
        <w:spacing w:after="5" w:line="364" w:lineRule="auto"/>
        <w:ind w:right="2" w:hanging="708"/>
        <w:jc w:val="both"/>
      </w:pPr>
      <w:r>
        <w:rPr>
          <w:rFonts w:ascii="Times New Roman" w:eastAsia="Times New Roman" w:hAnsi="Times New Roman" w:cs="Times New Roman"/>
          <w:sz w:val="24"/>
        </w:rPr>
        <w:t>Хмилевская С.А.</w:t>
      </w:r>
      <w:r>
        <w:rPr>
          <w:rFonts w:ascii="Times New Roman" w:eastAsia="Times New Roman" w:hAnsi="Times New Roman" w:cs="Times New Roman"/>
          <w:sz w:val="24"/>
        </w:rPr>
        <w:t xml:space="preserve">, Зрячкин Н.М., Михайлов В.Е. Клинико-эпидемиологические особенности острых респираторных инфекций у детей и оценка эффективности противовирусной терапии. </w:t>
      </w:r>
    </w:p>
    <w:p w:rsidR="005A3F38" w:rsidRDefault="003114B5">
      <w:pPr>
        <w:spacing w:after="144"/>
        <w:ind w:left="355" w:right="2" w:hanging="10"/>
        <w:jc w:val="both"/>
      </w:pPr>
      <w:r>
        <w:rPr>
          <w:rFonts w:ascii="Times New Roman" w:eastAsia="Times New Roman" w:hAnsi="Times New Roman" w:cs="Times New Roman"/>
          <w:sz w:val="24"/>
        </w:rPr>
        <w:t xml:space="preserve">Журнал инфектологии. 2019; 3(11): 38-45 </w:t>
      </w:r>
    </w:p>
    <w:p w:rsidR="005A3F38" w:rsidRDefault="003114B5">
      <w:pPr>
        <w:numPr>
          <w:ilvl w:val="0"/>
          <w:numId w:val="24"/>
        </w:numPr>
        <w:spacing w:after="128" w:line="249" w:lineRule="auto"/>
        <w:ind w:right="2" w:hanging="708"/>
        <w:jc w:val="both"/>
      </w:pPr>
      <w:r>
        <w:rPr>
          <w:rFonts w:ascii="Times New Roman" w:eastAsia="Times New Roman" w:hAnsi="Times New Roman" w:cs="Times New Roman"/>
          <w:sz w:val="24"/>
        </w:rPr>
        <w:t xml:space="preserve">Gill PJ, Kaziev CL, Mtaweh H, Kant T, Seaton C, Farrar DS, </w:t>
      </w:r>
      <w:r>
        <w:rPr>
          <w:rFonts w:ascii="Times New Roman" w:eastAsia="Times New Roman" w:hAnsi="Times New Roman" w:cs="Times New Roman"/>
          <w:sz w:val="24"/>
        </w:rPr>
        <w:t xml:space="preserve">Wagman H, Han M, Datta RR, </w:t>
      </w:r>
    </w:p>
    <w:p w:rsidR="005A3F38" w:rsidRDefault="003114B5">
      <w:pPr>
        <w:spacing w:after="1" w:line="357" w:lineRule="auto"/>
        <w:ind w:left="355" w:right="11" w:hanging="10"/>
      </w:pPr>
      <w:r>
        <w:rPr>
          <w:rFonts w:ascii="Times New Roman" w:eastAsia="Times New Roman" w:hAnsi="Times New Roman" w:cs="Times New Roman"/>
          <w:sz w:val="24"/>
        </w:rPr>
        <w:t>Mahant S, Freire G, Campigotto A, Bone JN, Sadarangani M, Buchanan F, Morris SK; READAPT-Kids Study. Performance of the World Health Organization (WHO) severe acute respiratory infection (SARI) case definitions in hospitalized c</w:t>
      </w:r>
      <w:r>
        <w:rPr>
          <w:rFonts w:ascii="Times New Roman" w:eastAsia="Times New Roman" w:hAnsi="Times New Roman" w:cs="Times New Roman"/>
          <w:sz w:val="24"/>
        </w:rPr>
        <w:t xml:space="preserve">hildren and youth: cross-sectional study. Lancet Reg Health Am. 2025 Feb </w:t>
      </w:r>
    </w:p>
    <w:p w:rsidR="005A3F38" w:rsidRDefault="003114B5">
      <w:pPr>
        <w:spacing w:after="128" w:line="249" w:lineRule="auto"/>
        <w:ind w:left="355" w:right="11" w:hanging="10"/>
      </w:pPr>
      <w:r>
        <w:rPr>
          <w:rFonts w:ascii="Times New Roman" w:eastAsia="Times New Roman" w:hAnsi="Times New Roman" w:cs="Times New Roman"/>
          <w:sz w:val="24"/>
        </w:rPr>
        <w:t xml:space="preserve">21;44:101034. doi: 10.1016/j.lana.2025.101034. PMID: 40083965; PMCID: PMC11904563 </w:t>
      </w:r>
    </w:p>
    <w:p w:rsidR="005A3F38" w:rsidRDefault="003114B5">
      <w:pPr>
        <w:numPr>
          <w:ilvl w:val="0"/>
          <w:numId w:val="24"/>
        </w:numPr>
        <w:spacing w:after="5"/>
        <w:ind w:right="2" w:hanging="708"/>
        <w:jc w:val="both"/>
      </w:pPr>
      <w:r>
        <w:rPr>
          <w:rFonts w:ascii="Times New Roman" w:eastAsia="Times New Roman" w:hAnsi="Times New Roman" w:cs="Times New Roman"/>
          <w:sz w:val="24"/>
        </w:rPr>
        <w:t>Таточенко В.К. Болезни органов дыхания у детей. М. StatusPraesens 2025 8-е изд., доп., 600 с.</w:t>
      </w:r>
      <w:r>
        <w:rPr>
          <w:rFonts w:ascii="Times New Roman" w:eastAsia="Times New Roman" w:hAnsi="Times New Roman" w:cs="Times New Roman"/>
          <w:sz w:val="20"/>
        </w:rPr>
        <w:t xml:space="preserve"> </w:t>
      </w:r>
    </w:p>
    <w:p w:rsidR="005A3F38" w:rsidRDefault="003114B5">
      <w:pPr>
        <w:numPr>
          <w:ilvl w:val="0"/>
          <w:numId w:val="24"/>
        </w:numPr>
        <w:spacing w:after="20" w:line="366" w:lineRule="auto"/>
        <w:ind w:right="2" w:hanging="708"/>
        <w:jc w:val="both"/>
      </w:pPr>
      <w:r>
        <w:rPr>
          <w:rFonts w:ascii="Times New Roman" w:eastAsia="Times New Roman" w:hAnsi="Times New Roman" w:cs="Times New Roman"/>
          <w:sz w:val="24"/>
        </w:rPr>
        <w:t xml:space="preserve">Thompson M., Cohen H. D , Vodicka T.A  et al. Duration of symptoms of respiratory tract infections in children: systematic review BMJ 2013; 347 doi: </w:t>
      </w:r>
      <w:hyperlink r:id="rId25">
        <w:r>
          <w:rPr>
            <w:rFonts w:ascii="Times New Roman" w:eastAsia="Times New Roman" w:hAnsi="Times New Roman" w:cs="Times New Roman"/>
            <w:color w:val="0000FF"/>
            <w:sz w:val="24"/>
            <w:u w:val="single" w:color="0000FF"/>
          </w:rPr>
          <w:t>http://dx.doi.org/10.1136/bmj.f7027</w:t>
        </w:r>
      </w:hyperlink>
      <w:hyperlink r:id="rId26">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28.</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Острые респираторные инфекции у детей и подростков: практическое руководство для врачей /Л.В. Осидак, В.П. Дриневский, Л.М. Цыбалова и др.; под ред. Л.В. Осидак. – 3-е изд., доп. – СПб: ИнформМед, 2014. – 256 с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 xml:space="preserve">Инфекционные болезни у детей: Руководство для врачей. –2-е издание, испр. и доп./ под ред. В.В. Ивановой.– М: ООО «Медицинское информационное агентство», 2009.–832 с. </w:t>
      </w:r>
    </w:p>
    <w:p w:rsidR="005A3F38" w:rsidRDefault="003114B5">
      <w:pPr>
        <w:numPr>
          <w:ilvl w:val="0"/>
          <w:numId w:val="25"/>
        </w:numPr>
        <w:spacing w:after="20" w:line="366" w:lineRule="auto"/>
        <w:ind w:right="11" w:hanging="708"/>
      </w:pPr>
      <w:r>
        <w:rPr>
          <w:rFonts w:ascii="Times New Roman" w:eastAsia="Times New Roman" w:hAnsi="Times New Roman" w:cs="Times New Roman"/>
          <w:sz w:val="24"/>
        </w:rPr>
        <w:t>Руженцова Т. А. Сердечно-сосудистые нарушения у детей на фоне гриппа и других острых ре</w:t>
      </w:r>
      <w:r>
        <w:rPr>
          <w:rFonts w:ascii="Times New Roman" w:eastAsia="Times New Roman" w:hAnsi="Times New Roman" w:cs="Times New Roman"/>
          <w:sz w:val="24"/>
        </w:rPr>
        <w:t xml:space="preserve">спираторных вирусных инфекций //Эпидемиология и инфекционные болезни. Актуальные вопросы. – 2017. – №. 5. – С. 21-27.].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Шкарин В.В., Сергеева А.В. Эпидемиологические и клинические особенности сочетанных респираторных инфекций у детей. Детские инфекции.201</w:t>
      </w:r>
      <w:r>
        <w:rPr>
          <w:rFonts w:ascii="Times New Roman" w:eastAsia="Times New Roman" w:hAnsi="Times New Roman" w:cs="Times New Roman"/>
          <w:sz w:val="24"/>
        </w:rPr>
        <w:t xml:space="preserve">7;1(16):51-56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 xml:space="preserve">Каннер Е.В., Печкуров Д.В., Горелов А.В. Эпидемиологическая характеристика острых инфекций с сочетанным поражением дыхательной и пищеварительной систем у детей. </w:t>
      </w:r>
    </w:p>
    <w:p w:rsidR="005A3F38" w:rsidRDefault="003114B5">
      <w:pPr>
        <w:spacing w:after="144"/>
        <w:ind w:left="355" w:right="2" w:hanging="10"/>
        <w:jc w:val="both"/>
      </w:pPr>
      <w:r>
        <w:rPr>
          <w:rFonts w:ascii="Times New Roman" w:eastAsia="Times New Roman" w:hAnsi="Times New Roman" w:cs="Times New Roman"/>
          <w:sz w:val="24"/>
        </w:rPr>
        <w:t xml:space="preserve">Эпидемиология и инфекционные болезни. 2019;2:24-30 </w:t>
      </w:r>
    </w:p>
    <w:p w:rsidR="005A3F38" w:rsidRDefault="003114B5">
      <w:pPr>
        <w:numPr>
          <w:ilvl w:val="0"/>
          <w:numId w:val="25"/>
        </w:numPr>
        <w:spacing w:after="119"/>
        <w:ind w:right="11" w:hanging="708"/>
      </w:pPr>
      <w:r>
        <w:rPr>
          <w:rFonts w:ascii="Times New Roman" w:eastAsia="Times New Roman" w:hAnsi="Times New Roman" w:cs="Times New Roman"/>
          <w:sz w:val="24"/>
        </w:rPr>
        <w:t>Лихорадка у детей: руководс</w:t>
      </w:r>
      <w:r>
        <w:rPr>
          <w:rFonts w:ascii="Times New Roman" w:eastAsia="Times New Roman" w:hAnsi="Times New Roman" w:cs="Times New Roman"/>
          <w:sz w:val="24"/>
        </w:rPr>
        <w:t xml:space="preserve">тво для врачей / [Намазова-Баранова Л.С., Баранов А.А., </w:t>
      </w:r>
    </w:p>
    <w:p w:rsidR="005A3F38" w:rsidRDefault="003114B5">
      <w:pPr>
        <w:spacing w:after="115"/>
        <w:ind w:left="355" w:right="2" w:hanging="10"/>
        <w:jc w:val="both"/>
      </w:pPr>
      <w:r>
        <w:rPr>
          <w:rFonts w:ascii="Times New Roman" w:eastAsia="Times New Roman" w:hAnsi="Times New Roman" w:cs="Times New Roman"/>
          <w:sz w:val="24"/>
        </w:rPr>
        <w:t xml:space="preserve">Эфендиева К.Е. и др.]; Союз педиатров России. — 2-е изд., испр. и доп. — Москва: ПедиатрЪ, 2022. </w:t>
      </w:r>
    </w:p>
    <w:p w:rsidR="005A3F38" w:rsidRDefault="003114B5">
      <w:pPr>
        <w:spacing w:after="142"/>
        <w:ind w:left="355" w:right="2" w:hanging="10"/>
        <w:jc w:val="both"/>
      </w:pPr>
      <w:r>
        <w:rPr>
          <w:rFonts w:ascii="Times New Roman" w:eastAsia="Times New Roman" w:hAnsi="Times New Roman" w:cs="Times New Roman"/>
          <w:sz w:val="24"/>
        </w:rPr>
        <w:t xml:space="preserve">— 76 с. — (Болезни детского возраста от А до Я; вып. 21 </w:t>
      </w:r>
    </w:p>
    <w:p w:rsidR="005A3F38" w:rsidRDefault="003114B5">
      <w:pPr>
        <w:numPr>
          <w:ilvl w:val="0"/>
          <w:numId w:val="25"/>
        </w:numPr>
        <w:spacing w:after="20" w:line="364" w:lineRule="auto"/>
        <w:ind w:right="11" w:hanging="708"/>
      </w:pPr>
      <w:r>
        <w:rPr>
          <w:rFonts w:ascii="Times New Roman" w:eastAsia="Times New Roman" w:hAnsi="Times New Roman" w:cs="Times New Roman"/>
          <w:sz w:val="24"/>
        </w:rPr>
        <w:t>Goldman RD, Friedman JN, Parkin PC. Validati</w:t>
      </w:r>
      <w:r>
        <w:rPr>
          <w:rFonts w:ascii="Times New Roman" w:eastAsia="Times New Roman" w:hAnsi="Times New Roman" w:cs="Times New Roman"/>
          <w:sz w:val="24"/>
        </w:rPr>
        <w:t xml:space="preserve">on of the clinical dehydration scale for children with acute gastroenteritis. Pediatrics. 2008 Sep;122(3):545-9. doi: 10.1542/peds.2007-3141 </w:t>
      </w:r>
    </w:p>
    <w:p w:rsidR="005A3F38" w:rsidRDefault="003114B5">
      <w:pPr>
        <w:numPr>
          <w:ilvl w:val="0"/>
          <w:numId w:val="25"/>
        </w:numPr>
        <w:spacing w:after="0" w:line="364" w:lineRule="auto"/>
        <w:ind w:right="11" w:hanging="708"/>
      </w:pPr>
      <w:r>
        <w:rPr>
          <w:rFonts w:ascii="Times New Roman" w:eastAsia="Times New Roman" w:hAnsi="Times New Roman" w:cs="Times New Roman"/>
          <w:sz w:val="24"/>
        </w:rPr>
        <w:t xml:space="preserve">Jauregui J, Nelson D, Choo E, Stearns B, Levine AC, Liebmann O, Shah SP. External validation and comparison of three pediatric clinical dehydration scales. PLoS One. 2014 May 2;9 (5):e95739.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10.1371/journal.pone.0095739.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Литвицкий П.Ф. Нарушения теп</w:t>
      </w:r>
      <w:r>
        <w:rPr>
          <w:rFonts w:ascii="Times New Roman" w:eastAsia="Times New Roman" w:hAnsi="Times New Roman" w:cs="Times New Roman"/>
          <w:sz w:val="24"/>
        </w:rPr>
        <w:t xml:space="preserve">лового баланса организма. Лихорадка. Вопросы современной педиатрии, 2009, 8(6): 55-63. </w:t>
      </w:r>
    </w:p>
    <w:p w:rsidR="005A3F38" w:rsidRDefault="003114B5">
      <w:pPr>
        <w:numPr>
          <w:ilvl w:val="0"/>
          <w:numId w:val="25"/>
        </w:numPr>
        <w:spacing w:after="26" w:line="360" w:lineRule="auto"/>
        <w:ind w:right="11" w:hanging="708"/>
      </w:pPr>
      <w:r>
        <w:rPr>
          <w:rFonts w:ascii="Times New Roman" w:eastAsia="Times New Roman" w:hAnsi="Times New Roman" w:cs="Times New Roman"/>
          <w:sz w:val="24"/>
        </w:rPr>
        <w:t>Wald E.R., Applegate K.E., Bordley C., Darrow D.H., Glode M.P. et al. American Academy of Pediatrics. Clinical practice guideline for the diagnosis and management of ac</w:t>
      </w:r>
      <w:r>
        <w:rPr>
          <w:rFonts w:ascii="Times New Roman" w:eastAsia="Times New Roman" w:hAnsi="Times New Roman" w:cs="Times New Roman"/>
          <w:sz w:val="24"/>
        </w:rPr>
        <w:t xml:space="preserve">ute bacterial sinusitis in children aged 1 to 18 years. Pediatrics. 2013 Jul;132(1):e262-80. </w:t>
      </w:r>
    </w:p>
    <w:p w:rsidR="005A3F38" w:rsidRDefault="003114B5">
      <w:pPr>
        <w:numPr>
          <w:ilvl w:val="0"/>
          <w:numId w:val="25"/>
        </w:numPr>
        <w:spacing w:after="25" w:line="362" w:lineRule="auto"/>
        <w:ind w:right="11" w:hanging="708"/>
      </w:pPr>
      <w:r>
        <w:rPr>
          <w:rFonts w:ascii="Times New Roman" w:eastAsia="Times New Roman" w:hAnsi="Times New Roman" w:cs="Times New Roman"/>
          <w:sz w:val="24"/>
        </w:rPr>
        <w:t>S Esposito et al. Multiplex Platforms for the Identification of Respiratory Pathogens: Are They Useful in Pediatric Clinical Practice? Front Cell Infect Microbiol</w:t>
      </w:r>
      <w:r>
        <w:rPr>
          <w:rFonts w:ascii="Times New Roman" w:eastAsia="Times New Roman" w:hAnsi="Times New Roman" w:cs="Times New Roman"/>
          <w:sz w:val="24"/>
        </w:rPr>
        <w:t xml:space="preserve"> 9, 196. 2019. PMID 31275863. </w:t>
      </w:r>
    </w:p>
    <w:p w:rsidR="005A3F38" w:rsidRDefault="003114B5">
      <w:pPr>
        <w:numPr>
          <w:ilvl w:val="0"/>
          <w:numId w:val="25"/>
        </w:numPr>
        <w:spacing w:after="25" w:line="362" w:lineRule="auto"/>
        <w:ind w:right="11" w:hanging="708"/>
      </w:pPr>
      <w:r>
        <w:rPr>
          <w:rFonts w:ascii="Times New Roman" w:eastAsia="Times New Roman" w:hAnsi="Times New Roman" w:cs="Times New Roman"/>
          <w:sz w:val="24"/>
        </w:rPr>
        <w:t xml:space="preserve">Echavarría M, et al. Clinical impact of rapid molecular detection of respiratory pathogens in patients with acute respiratory infection. J Clin Virol 2018 - Clinical Trial. PMID 30267999 . </w:t>
      </w:r>
    </w:p>
    <w:p w:rsidR="005A3F38" w:rsidRDefault="003114B5">
      <w:pPr>
        <w:numPr>
          <w:ilvl w:val="0"/>
          <w:numId w:val="25"/>
        </w:numPr>
        <w:spacing w:after="25" w:line="360" w:lineRule="auto"/>
        <w:ind w:right="11" w:hanging="708"/>
      </w:pPr>
      <w:r>
        <w:rPr>
          <w:rFonts w:ascii="Times New Roman" w:eastAsia="Times New Roman" w:hAnsi="Times New Roman" w:cs="Times New Roman"/>
          <w:sz w:val="24"/>
        </w:rPr>
        <w:t>Doan Q, Enarson P, Kissoon N, Klass</w:t>
      </w:r>
      <w:r>
        <w:rPr>
          <w:rFonts w:ascii="Times New Roman" w:eastAsia="Times New Roman" w:hAnsi="Times New Roman" w:cs="Times New Roman"/>
          <w:sz w:val="24"/>
        </w:rPr>
        <w:t xml:space="preserve">en TP, Johnson DW. Rapid viral diagnosis for acute febrile respiratory illness in children in the Emergency Department. Cochrane Database of Systematic Reviews 2014, Issue 9. Art. No.: CD006452. DOI: 10.1002/14651858.CD006452.pub4. </w:t>
      </w:r>
    </w:p>
    <w:p w:rsidR="005A3F38" w:rsidRDefault="003114B5">
      <w:pPr>
        <w:numPr>
          <w:ilvl w:val="0"/>
          <w:numId w:val="25"/>
        </w:numPr>
        <w:spacing w:after="128" w:line="364" w:lineRule="auto"/>
        <w:ind w:right="11" w:hanging="708"/>
      </w:pPr>
      <w:r>
        <w:rPr>
          <w:rFonts w:ascii="Times New Roman" w:eastAsia="Times New Roman" w:hAnsi="Times New Roman" w:cs="Times New Roman"/>
          <w:sz w:val="24"/>
        </w:rPr>
        <w:t>Rao S, Lamb MM, Moss A,</w:t>
      </w:r>
      <w:r>
        <w:rPr>
          <w:rFonts w:ascii="Times New Roman" w:eastAsia="Times New Roman" w:hAnsi="Times New Roman" w:cs="Times New Roman"/>
          <w:sz w:val="24"/>
        </w:rPr>
        <w:t xml:space="preserve"> Mistry RD, Grice K, Ahmed W, et al. Effect of rapid respiratory virus testing on antibiotic prescribing among children presenting to the emergency department with acute respiratory illness: A randomized clinical trial. JAMA Netw Open. 2021 Jun 1;4(6):e211</w:t>
      </w:r>
      <w:r>
        <w:rPr>
          <w:rFonts w:ascii="Times New Roman" w:eastAsia="Times New Roman" w:hAnsi="Times New Roman" w:cs="Times New Roman"/>
          <w:sz w:val="24"/>
        </w:rPr>
        <w:t xml:space="preserve">1836. doi: </w:t>
      </w:r>
    </w:p>
    <w:p w:rsidR="005A3F38" w:rsidRDefault="003114B5">
      <w:pPr>
        <w:spacing w:after="153" w:line="249" w:lineRule="auto"/>
        <w:ind w:left="355" w:right="11" w:hanging="10"/>
      </w:pPr>
      <w:r>
        <w:rPr>
          <w:rFonts w:ascii="Times New Roman" w:eastAsia="Times New Roman" w:hAnsi="Times New Roman" w:cs="Times New Roman"/>
          <w:sz w:val="24"/>
        </w:rPr>
        <w:t xml:space="preserve">10.1001/jamanetworkopen.2021.11836. PMID: 34086034; PMCID: PMC8178728. </w:t>
      </w:r>
    </w:p>
    <w:p w:rsidR="005A3F38" w:rsidRDefault="003114B5">
      <w:pPr>
        <w:numPr>
          <w:ilvl w:val="0"/>
          <w:numId w:val="25"/>
        </w:numPr>
        <w:spacing w:after="0" w:line="364" w:lineRule="auto"/>
        <w:ind w:right="11" w:hanging="708"/>
      </w:pPr>
      <w:r>
        <w:rPr>
          <w:rFonts w:ascii="Times New Roman" w:eastAsia="Times New Roman" w:hAnsi="Times New Roman" w:cs="Times New Roman"/>
          <w:sz w:val="24"/>
        </w:rPr>
        <w:t>Vos-Kerkhof E, et al. Clinical prediction models for young febrile infants at the emergency department: an international validation study. Arch Dis Child 2018 Nov;103(11):1</w:t>
      </w:r>
      <w:r>
        <w:rPr>
          <w:rFonts w:ascii="Times New Roman" w:eastAsia="Times New Roman" w:hAnsi="Times New Roman" w:cs="Times New Roman"/>
          <w:sz w:val="24"/>
        </w:rPr>
        <w:t xml:space="preserve">033-1041.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10.1136/archdischild-2017-314011. Epub 2018 May 24. PMID: 29794106 </w:t>
      </w:r>
    </w:p>
    <w:p w:rsidR="005A3F38" w:rsidRDefault="003114B5">
      <w:pPr>
        <w:numPr>
          <w:ilvl w:val="0"/>
          <w:numId w:val="25"/>
        </w:numPr>
        <w:spacing w:after="0" w:line="362" w:lineRule="auto"/>
        <w:ind w:right="11" w:hanging="708"/>
      </w:pPr>
      <w:r>
        <w:rPr>
          <w:rFonts w:ascii="Times New Roman" w:eastAsia="Times New Roman" w:hAnsi="Times New Roman" w:cs="Times New Roman"/>
          <w:sz w:val="24"/>
        </w:rPr>
        <w:t xml:space="preserve">Trippella G, et al. Inflammatory biomarkers to guide diagnostic and therapeutic decisions in children presenting with fever without </w:t>
      </w:r>
      <w:r>
        <w:rPr>
          <w:rFonts w:ascii="Times New Roman" w:eastAsia="Times New Roman" w:hAnsi="Times New Roman" w:cs="Times New Roman"/>
          <w:sz w:val="24"/>
        </w:rPr>
        <w:t xml:space="preserve">apparent source. J Chemother 2018Sep;30(5):255-265.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10.1080/1120009X.2018.1451430. Epub 2018 Apr 5. PMID: 29619901 </w:t>
      </w:r>
    </w:p>
    <w:p w:rsidR="005A3F38" w:rsidRDefault="003114B5">
      <w:pPr>
        <w:numPr>
          <w:ilvl w:val="0"/>
          <w:numId w:val="25"/>
        </w:numPr>
        <w:spacing w:after="0" w:line="364" w:lineRule="auto"/>
        <w:ind w:right="11" w:hanging="708"/>
      </w:pPr>
      <w:r>
        <w:rPr>
          <w:rFonts w:ascii="Times New Roman" w:eastAsia="Times New Roman" w:hAnsi="Times New Roman" w:cs="Times New Roman"/>
          <w:sz w:val="24"/>
        </w:rPr>
        <w:t>Lacroix L, et al. Impact of the lab-score on antibiotic prescription rate in children with fever without source: a randomized controll</w:t>
      </w:r>
      <w:r>
        <w:rPr>
          <w:rFonts w:ascii="Times New Roman" w:eastAsia="Times New Roman" w:hAnsi="Times New Roman" w:cs="Times New Roman"/>
          <w:sz w:val="24"/>
        </w:rPr>
        <w:t xml:space="preserve">ed trial. PLoS One. 2014 Dec 11;9(12):e115061.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10.1371/journal.pone.0115061. PMID: 25503770; PMCID: PMC4263728 </w:t>
      </w:r>
    </w:p>
    <w:p w:rsidR="005A3F38" w:rsidRDefault="003114B5">
      <w:pPr>
        <w:numPr>
          <w:ilvl w:val="0"/>
          <w:numId w:val="25"/>
        </w:numPr>
        <w:spacing w:after="20" w:line="366" w:lineRule="auto"/>
        <w:ind w:right="11" w:hanging="708"/>
      </w:pPr>
      <w:r>
        <w:rPr>
          <w:rFonts w:ascii="Times New Roman" w:eastAsia="Times New Roman" w:hAnsi="Times New Roman" w:cs="Times New Roman"/>
          <w:sz w:val="24"/>
        </w:rPr>
        <w:t>Рачина С.А., Козлов Р.С., Таточенко В.К., и др. Анализ подходов к применению антибиотиков при инфекциях верхних дыхательных путей и ЛОр-ор</w:t>
      </w:r>
      <w:r>
        <w:rPr>
          <w:rFonts w:ascii="Times New Roman" w:eastAsia="Times New Roman" w:hAnsi="Times New Roman" w:cs="Times New Roman"/>
          <w:sz w:val="24"/>
        </w:rPr>
        <w:t xml:space="preserve">ганов у детей: результаты опроса участковых педиатров. Клиническая микробиология и антимикробная химиотерапия. 2016. Т. 18. № 1. С. 20-32. </w:t>
      </w:r>
    </w:p>
    <w:p w:rsidR="005A3F38" w:rsidRDefault="003114B5">
      <w:pPr>
        <w:numPr>
          <w:ilvl w:val="0"/>
          <w:numId w:val="25"/>
        </w:numPr>
        <w:spacing w:after="20" w:line="366" w:lineRule="auto"/>
        <w:ind w:right="11" w:hanging="708"/>
      </w:pPr>
      <w:r>
        <w:rPr>
          <w:rFonts w:ascii="Times New Roman" w:eastAsia="Times New Roman" w:hAnsi="Times New Roman" w:cs="Times New Roman"/>
          <w:sz w:val="24"/>
        </w:rPr>
        <w:t>Особенности клиники и варианты течения инфекционных заболеваний нижних дыхательных путей у детей: медицинская технол</w:t>
      </w:r>
      <w:r>
        <w:rPr>
          <w:rFonts w:ascii="Times New Roman" w:eastAsia="Times New Roman" w:hAnsi="Times New Roman" w:cs="Times New Roman"/>
          <w:sz w:val="24"/>
        </w:rPr>
        <w:t xml:space="preserve">огия. «Современные подходы к диагностике, терапии и профилактике инфекционных заболеваний у детей»: Научные труды, Т. 12. /Под ред. д.м.н., проф. </w:t>
      </w:r>
    </w:p>
    <w:p w:rsidR="005A3F38" w:rsidRDefault="003114B5">
      <w:pPr>
        <w:spacing w:after="5" w:line="364" w:lineRule="auto"/>
        <w:ind w:left="355" w:right="2" w:hanging="10"/>
        <w:jc w:val="both"/>
      </w:pPr>
      <w:r>
        <w:rPr>
          <w:rFonts w:ascii="Times New Roman" w:eastAsia="Times New Roman" w:hAnsi="Times New Roman" w:cs="Times New Roman"/>
          <w:sz w:val="24"/>
        </w:rPr>
        <w:t>Н.В. Скрипченко, д.м.н. А.Н. Ускова, акад. РАН, д.м.н., проф. Ю.В. Лобзина – СПб.: ДНКЦИБ, 2022. – 572 с. – С</w:t>
      </w:r>
      <w:r>
        <w:rPr>
          <w:rFonts w:ascii="Times New Roman" w:eastAsia="Times New Roman" w:hAnsi="Times New Roman" w:cs="Times New Roman"/>
          <w:sz w:val="24"/>
        </w:rPr>
        <w:t xml:space="preserve">. 111-122 </w:t>
      </w:r>
    </w:p>
    <w:p w:rsidR="005A3F38" w:rsidRDefault="003114B5">
      <w:pPr>
        <w:numPr>
          <w:ilvl w:val="0"/>
          <w:numId w:val="25"/>
        </w:numPr>
        <w:spacing w:after="20" w:line="366" w:lineRule="auto"/>
        <w:ind w:right="11" w:hanging="708"/>
      </w:pPr>
      <w:r>
        <w:rPr>
          <w:rFonts w:ascii="Times New Roman" w:eastAsia="Times New Roman" w:hAnsi="Times New Roman" w:cs="Times New Roman"/>
          <w:sz w:val="24"/>
        </w:rPr>
        <w:t xml:space="preserve">Тактика ведения пациентов с острыми респираторными вирусными инфекциями при развитии бронхолегочных и кардиальных поражений: медицинские рекомендации. «Современные подходы к диагностике, терапии и профилактике инфекционных заболеваний у детей»: </w:t>
      </w:r>
      <w:r>
        <w:rPr>
          <w:rFonts w:ascii="Times New Roman" w:eastAsia="Times New Roman" w:hAnsi="Times New Roman" w:cs="Times New Roman"/>
          <w:sz w:val="24"/>
        </w:rPr>
        <w:t xml:space="preserve">научные труды, Т. 11. / Под ред. д.м.н., проф. Н.В. Скрипченко, д.м.н. А.Н. Ускова, акад. РАН, д.м.н., проф. </w:t>
      </w:r>
    </w:p>
    <w:p w:rsidR="005A3F38" w:rsidRDefault="003114B5">
      <w:pPr>
        <w:spacing w:after="144"/>
        <w:ind w:left="355" w:right="2" w:hanging="10"/>
        <w:jc w:val="both"/>
      </w:pPr>
      <w:r>
        <w:rPr>
          <w:rFonts w:ascii="Times New Roman" w:eastAsia="Times New Roman" w:hAnsi="Times New Roman" w:cs="Times New Roman"/>
          <w:sz w:val="24"/>
        </w:rPr>
        <w:t xml:space="preserve">Ю.В. Лобзина,. – СПб.: ДНКЦИБ, 2021. – 340 с. – С. 313-334 </w:t>
      </w:r>
    </w:p>
    <w:p w:rsidR="005A3F38" w:rsidRDefault="003114B5">
      <w:pPr>
        <w:numPr>
          <w:ilvl w:val="0"/>
          <w:numId w:val="25"/>
        </w:numPr>
        <w:spacing w:after="128" w:line="249" w:lineRule="auto"/>
        <w:ind w:right="11" w:hanging="708"/>
      </w:pPr>
      <w:r>
        <w:rPr>
          <w:rFonts w:ascii="Times New Roman" w:eastAsia="Times New Roman" w:hAnsi="Times New Roman" w:cs="Times New Roman"/>
          <w:sz w:val="24"/>
        </w:rPr>
        <w:t>Shah SN, Bachur RG, Simel DL, Neuman MI. Does This Child Have Pneumonia?: The Rational</w:t>
      </w:r>
      <w:r>
        <w:rPr>
          <w:rFonts w:ascii="Times New Roman" w:eastAsia="Times New Roman" w:hAnsi="Times New Roman" w:cs="Times New Roman"/>
          <w:sz w:val="24"/>
        </w:rPr>
        <w:t xml:space="preserve"> </w:t>
      </w:r>
    </w:p>
    <w:p w:rsidR="005A3F38" w:rsidRDefault="003114B5">
      <w:pPr>
        <w:spacing w:after="28" w:line="358" w:lineRule="auto"/>
        <w:ind w:left="355" w:right="11" w:hanging="10"/>
      </w:pPr>
      <w:r>
        <w:rPr>
          <w:rFonts w:ascii="Times New Roman" w:eastAsia="Times New Roman" w:hAnsi="Times New Roman" w:cs="Times New Roman"/>
          <w:sz w:val="24"/>
        </w:rPr>
        <w:t xml:space="preserve">Clinical Examination Systematic Review [published correction appears in JAMA. 2017 Oct 3;318(13):1284]. JAMA. 2017;318(5):462–471. doi:10.1001/jama.2017.9039. </w:t>
      </w:r>
    </w:p>
    <w:p w:rsidR="005A3F38" w:rsidRDefault="003114B5">
      <w:pPr>
        <w:numPr>
          <w:ilvl w:val="0"/>
          <w:numId w:val="25"/>
        </w:numPr>
        <w:spacing w:after="25" w:line="360" w:lineRule="auto"/>
        <w:ind w:right="11" w:hanging="708"/>
      </w:pPr>
      <w:r>
        <w:rPr>
          <w:rFonts w:ascii="Times New Roman" w:eastAsia="Times New Roman" w:hAnsi="Times New Roman" w:cs="Times New Roman"/>
          <w:sz w:val="24"/>
        </w:rPr>
        <w:t>Chao JH, Lin RC, Marneni S, Pandya S, Alhajri S, Sinert R. Predictors of Airspace Disease on Chest X-ray in Emergency Department Patients With Clinical Bronchiolitis: A Systematic Review and Meta-analysis. Acad Emerg Med. 2016;23(10):1107–1118. doi:10.1111</w:t>
      </w:r>
      <w:r>
        <w:rPr>
          <w:rFonts w:ascii="Times New Roman" w:eastAsia="Times New Roman" w:hAnsi="Times New Roman" w:cs="Times New Roman"/>
          <w:sz w:val="24"/>
        </w:rPr>
        <w:t xml:space="preserve">/acem.13052. </w:t>
      </w:r>
    </w:p>
    <w:p w:rsidR="005A3F38" w:rsidRDefault="003114B5">
      <w:pPr>
        <w:numPr>
          <w:ilvl w:val="0"/>
          <w:numId w:val="25"/>
        </w:numPr>
        <w:spacing w:after="128" w:line="249" w:lineRule="auto"/>
        <w:ind w:right="11" w:hanging="708"/>
      </w:pPr>
      <w:r>
        <w:rPr>
          <w:rFonts w:ascii="Times New Roman" w:eastAsia="Times New Roman" w:hAnsi="Times New Roman" w:cs="Times New Roman"/>
          <w:sz w:val="24"/>
        </w:rPr>
        <w:t xml:space="preserve">Smith-Bindman R, Chu PW, Azman Firdaus H, Stewart C, Malekhedayat M, Alber S, Bolch WE, </w:t>
      </w:r>
    </w:p>
    <w:p w:rsidR="005A3F38" w:rsidRDefault="003114B5">
      <w:pPr>
        <w:spacing w:after="5" w:line="364" w:lineRule="auto"/>
        <w:ind w:left="355" w:right="2" w:hanging="10"/>
        <w:jc w:val="both"/>
      </w:pPr>
      <w:r>
        <w:rPr>
          <w:rFonts w:ascii="Times New Roman" w:eastAsia="Times New Roman" w:hAnsi="Times New Roman" w:cs="Times New Roman"/>
          <w:sz w:val="24"/>
        </w:rPr>
        <w:t>Mahendra M, Berrington de González A, Miglioretti DL. Projected Lifetime Cancer Risks From Current Computed Tomography Imaging. JAMA Intern Med. 2025 Jun</w:t>
      </w:r>
      <w:r>
        <w:rPr>
          <w:rFonts w:ascii="Times New Roman" w:eastAsia="Times New Roman" w:hAnsi="Times New Roman" w:cs="Times New Roman"/>
          <w:sz w:val="24"/>
        </w:rPr>
        <w:t xml:space="preserve"> 1;185(6):710-719.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10.1001/jamainternmed.2025.0505. Erratum in: JAMA Intern Med. 2025 Jun 1;185(6):747.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10.1001/jamainternmed.2025.2355. PMID: 40227719; PMCID: PMC11997853 </w:t>
      </w:r>
    </w:p>
    <w:p w:rsidR="005A3F38" w:rsidRDefault="003114B5">
      <w:pPr>
        <w:numPr>
          <w:ilvl w:val="0"/>
          <w:numId w:val="25"/>
        </w:numPr>
        <w:spacing w:after="21" w:line="364" w:lineRule="auto"/>
        <w:ind w:right="11" w:hanging="708"/>
      </w:pPr>
      <w:r>
        <w:rPr>
          <w:rFonts w:ascii="Times New Roman" w:eastAsia="Times New Roman" w:hAnsi="Times New Roman" w:cs="Times New Roman"/>
          <w:sz w:val="24"/>
        </w:rPr>
        <w:t>Smith M.J. Evidence for the diagnosis and treatment of acute uncomplica</w:t>
      </w:r>
      <w:r>
        <w:rPr>
          <w:rFonts w:ascii="Times New Roman" w:eastAsia="Times New Roman" w:hAnsi="Times New Roman" w:cs="Times New Roman"/>
          <w:sz w:val="24"/>
        </w:rPr>
        <w:t xml:space="preserve">ted sinusitis in children: a systematic review. Pediatrics. 2013 Jul;132(1):e284-96. </w:t>
      </w:r>
    </w:p>
    <w:p w:rsidR="005A3F38" w:rsidRDefault="003114B5">
      <w:pPr>
        <w:numPr>
          <w:ilvl w:val="0"/>
          <w:numId w:val="25"/>
        </w:numPr>
        <w:spacing w:after="0" w:line="364" w:lineRule="auto"/>
        <w:ind w:right="11" w:hanging="708"/>
      </w:pPr>
      <w:r>
        <w:rPr>
          <w:rFonts w:ascii="Times New Roman" w:eastAsia="Times New Roman" w:hAnsi="Times New Roman" w:cs="Times New Roman"/>
          <w:sz w:val="24"/>
        </w:rPr>
        <w:t>Influenza-Associated Acute Necrotizing Encephalopathy (IA-ANE) Working Group; Silverman A, Walsh R, Santoro JD, Thomas K, Ballinger E, Fisher KS, Thomas AX, Appavu B, Kru</w:t>
      </w:r>
      <w:r>
        <w:rPr>
          <w:rFonts w:ascii="Times New Roman" w:eastAsia="Times New Roman" w:hAnsi="Times New Roman" w:cs="Times New Roman"/>
          <w:sz w:val="24"/>
        </w:rPr>
        <w:t xml:space="preserve">er MC, Neilson D, </w:t>
      </w:r>
    </w:p>
    <w:p w:rsidR="005A3F38" w:rsidRDefault="003114B5">
      <w:pPr>
        <w:spacing w:after="128" w:line="249" w:lineRule="auto"/>
        <w:ind w:left="355" w:right="11" w:hanging="10"/>
      </w:pPr>
      <w:r>
        <w:rPr>
          <w:rFonts w:ascii="Times New Roman" w:eastAsia="Times New Roman" w:hAnsi="Times New Roman" w:cs="Times New Roman"/>
          <w:sz w:val="24"/>
        </w:rPr>
        <w:t xml:space="preserve">Knoll J, Sharp AN, Edelman HE, Otallah S, Morgan A, Grzezulkowska A, Nguyen J, Rao LM, Hecht SM, </w:t>
      </w:r>
    </w:p>
    <w:p w:rsidR="005A3F38" w:rsidRDefault="003114B5">
      <w:pPr>
        <w:spacing w:after="128" w:line="249" w:lineRule="auto"/>
        <w:ind w:left="355" w:right="11" w:hanging="10"/>
      </w:pPr>
      <w:r>
        <w:rPr>
          <w:rFonts w:ascii="Times New Roman" w:eastAsia="Times New Roman" w:hAnsi="Times New Roman" w:cs="Times New Roman"/>
          <w:sz w:val="24"/>
        </w:rPr>
        <w:t xml:space="preserve">Catalano L, Daigle H, Kronfol C, Wharton J, Adams D, Kalawi AZ, Kung M, Arellano JL, Smith L, Segal </w:t>
      </w:r>
    </w:p>
    <w:p w:rsidR="005A3F38" w:rsidRDefault="003114B5">
      <w:pPr>
        <w:spacing w:after="128" w:line="249" w:lineRule="auto"/>
        <w:ind w:left="355" w:right="11" w:hanging="10"/>
      </w:pPr>
      <w:r>
        <w:rPr>
          <w:rFonts w:ascii="Times New Roman" w:eastAsia="Times New Roman" w:hAnsi="Times New Roman" w:cs="Times New Roman"/>
          <w:sz w:val="24"/>
        </w:rPr>
        <w:t>D, Feja K, Broomall E, Jayakar A, Arno</w:t>
      </w:r>
      <w:r>
        <w:rPr>
          <w:rFonts w:ascii="Times New Roman" w:eastAsia="Times New Roman" w:hAnsi="Times New Roman" w:cs="Times New Roman"/>
          <w:sz w:val="24"/>
        </w:rPr>
        <w:t xml:space="preserve">ld SR, Retallack H, Press CA, Gombolay G, McLaughlin MH, </w:t>
      </w:r>
    </w:p>
    <w:p w:rsidR="005A3F38" w:rsidRDefault="003114B5">
      <w:pPr>
        <w:spacing w:after="128" w:line="249" w:lineRule="auto"/>
        <w:ind w:left="355" w:right="11" w:hanging="10"/>
      </w:pPr>
      <w:r>
        <w:rPr>
          <w:rFonts w:ascii="Times New Roman" w:eastAsia="Times New Roman" w:hAnsi="Times New Roman" w:cs="Times New Roman"/>
          <w:sz w:val="24"/>
        </w:rPr>
        <w:t xml:space="preserve">Kannan V, Thakkar K, Rezwan T, Hulfish E, Eid D, Meylor J, Peng D, Hurtado R, Nickerson T, Mandell I, </w:t>
      </w:r>
    </w:p>
    <w:p w:rsidR="005A3F38" w:rsidRDefault="003114B5">
      <w:pPr>
        <w:spacing w:after="2" w:line="357" w:lineRule="auto"/>
        <w:ind w:left="355" w:right="11" w:hanging="10"/>
      </w:pPr>
      <w:r>
        <w:rPr>
          <w:rFonts w:ascii="Times New Roman" w:eastAsia="Times New Roman" w:hAnsi="Times New Roman" w:cs="Times New Roman"/>
          <w:sz w:val="24"/>
        </w:rPr>
        <w:t>Carbonell AU, Kerner-</w:t>
      </w:r>
      <w:r>
        <w:rPr>
          <w:rFonts w:ascii="Times New Roman" w:eastAsia="Times New Roman" w:hAnsi="Times New Roman" w:cs="Times New Roman"/>
          <w:sz w:val="24"/>
        </w:rPr>
        <w:t xml:space="preserve">Rossi M, Jayaraman D, Davis M, Olivero R, Shah N, Osborne CM, Zhang B, Cortina C, Randolph AG, Rao S, LaRocca T, Van Haren KP, Wilson-Murphy M. Influenza-Associated Acute Necrotizing Encephalopathy in US Children. JAMA. 2025 Aug 26;334(8):692-701. doi: </w:t>
      </w:r>
    </w:p>
    <w:p w:rsidR="005A3F38" w:rsidRDefault="003114B5">
      <w:pPr>
        <w:spacing w:after="152" w:line="249" w:lineRule="auto"/>
        <w:ind w:left="355" w:right="11" w:hanging="10"/>
      </w:pPr>
      <w:r>
        <w:rPr>
          <w:rFonts w:ascii="Times New Roman" w:eastAsia="Times New Roman" w:hAnsi="Times New Roman" w:cs="Times New Roman"/>
          <w:sz w:val="24"/>
        </w:rPr>
        <w:t>10</w:t>
      </w:r>
      <w:r>
        <w:rPr>
          <w:rFonts w:ascii="Times New Roman" w:eastAsia="Times New Roman" w:hAnsi="Times New Roman" w:cs="Times New Roman"/>
          <w:sz w:val="24"/>
        </w:rPr>
        <w:t xml:space="preserve">.1001/jama.2025.11534. PMID: 40736730; PMCID: PMC12311823 </w:t>
      </w:r>
    </w:p>
    <w:p w:rsidR="005A3F38" w:rsidRDefault="003114B5">
      <w:pPr>
        <w:numPr>
          <w:ilvl w:val="0"/>
          <w:numId w:val="25"/>
        </w:numPr>
        <w:spacing w:after="0" w:line="364" w:lineRule="auto"/>
        <w:ind w:right="11" w:hanging="708"/>
      </w:pPr>
      <w:r>
        <w:rPr>
          <w:rFonts w:ascii="Times New Roman" w:eastAsia="Times New Roman" w:hAnsi="Times New Roman" w:cs="Times New Roman"/>
          <w:sz w:val="24"/>
        </w:rPr>
        <w:t xml:space="preserve">Li XF, Ai B, Ye JW et al. Clinical analysis of seven cases of H1N1 influenza-associated encephalopathy in children. Zhonghua Er Ke Za Zhi. 2019 Jul 2;57(7):538-542. (doi: </w:t>
      </w:r>
    </w:p>
    <w:p w:rsidR="005A3F38" w:rsidRDefault="003114B5">
      <w:pPr>
        <w:spacing w:after="0" w:line="358" w:lineRule="auto"/>
        <w:ind w:left="355" w:right="11" w:hanging="10"/>
      </w:pPr>
      <w:r>
        <w:rPr>
          <w:rFonts w:ascii="Times New Roman" w:eastAsia="Times New Roman" w:hAnsi="Times New Roman" w:cs="Times New Roman"/>
          <w:sz w:val="24"/>
        </w:rPr>
        <w:t>10.3760/cma.j.issn.0578-1</w:t>
      </w:r>
      <w:r>
        <w:rPr>
          <w:rFonts w:ascii="Times New Roman" w:eastAsia="Times New Roman" w:hAnsi="Times New Roman" w:cs="Times New Roman"/>
          <w:sz w:val="24"/>
        </w:rPr>
        <w:t xml:space="preserve">310.2019.07.009), Yuan HT, Ho TH, Lee JT et al. Simply influenza A (H3N2)associated encephalitis with seizure. Am J Emerg Med. 2019 Sep;37 (9):1808.e1-1808.e3.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10.1016/j.ajem.2019.06.027) </w:t>
      </w:r>
    </w:p>
    <w:p w:rsidR="005A3F38" w:rsidRDefault="003114B5">
      <w:pPr>
        <w:numPr>
          <w:ilvl w:val="0"/>
          <w:numId w:val="25"/>
        </w:numPr>
        <w:spacing w:after="0" w:line="362" w:lineRule="auto"/>
        <w:ind w:right="11" w:hanging="708"/>
      </w:pPr>
      <w:r>
        <w:rPr>
          <w:rFonts w:ascii="Times New Roman" w:eastAsia="Times New Roman" w:hAnsi="Times New Roman" w:cs="Times New Roman"/>
          <w:sz w:val="24"/>
        </w:rPr>
        <w:t xml:space="preserve">Schwartz KL, Richardson SE, MacGregor D, Mahant S, Raghuram </w:t>
      </w:r>
      <w:r>
        <w:rPr>
          <w:rFonts w:ascii="Times New Roman" w:eastAsia="Times New Roman" w:hAnsi="Times New Roman" w:cs="Times New Roman"/>
          <w:sz w:val="24"/>
        </w:rPr>
        <w:t xml:space="preserve">K, Bitnun A. AdenovirusAssociated Central Nervous System Disease in Children. J Pediatr. 2019 Feb;205:130-137.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10.1016/j.jpeds.2018.09.036. Epub 2018 Nov 6. PMID: 30413311, Saravanos GL, King CL, Deng L, </w:t>
      </w:r>
    </w:p>
    <w:p w:rsidR="005A3F38" w:rsidRDefault="003114B5">
      <w:pPr>
        <w:spacing w:after="128" w:line="249" w:lineRule="auto"/>
        <w:ind w:left="355" w:right="11" w:hanging="10"/>
      </w:pPr>
      <w:r>
        <w:rPr>
          <w:rFonts w:ascii="Times New Roman" w:eastAsia="Times New Roman" w:hAnsi="Times New Roman" w:cs="Times New Roman"/>
          <w:sz w:val="24"/>
        </w:rPr>
        <w:t>Dinsmore N, Ramos I, Takashima M, Crawford N,</w:t>
      </w:r>
      <w:r>
        <w:rPr>
          <w:rFonts w:ascii="Times New Roman" w:eastAsia="Times New Roman" w:hAnsi="Times New Roman" w:cs="Times New Roman"/>
          <w:sz w:val="24"/>
        </w:rPr>
        <w:t xml:space="preserve"> Clark JE, Dale RC, Jones CA, Wood NJ, Britton PN. </w:t>
      </w:r>
    </w:p>
    <w:p w:rsidR="005A3F38" w:rsidRDefault="003114B5">
      <w:pPr>
        <w:spacing w:after="128" w:line="249" w:lineRule="auto"/>
        <w:ind w:left="355" w:right="11" w:hanging="10"/>
      </w:pPr>
      <w:r>
        <w:rPr>
          <w:rFonts w:ascii="Times New Roman" w:eastAsia="Times New Roman" w:hAnsi="Times New Roman" w:cs="Times New Roman"/>
          <w:sz w:val="24"/>
        </w:rPr>
        <w:t xml:space="preserve">Respiratory Syncytial Virus-Associated Neurologic Complications in Children: A Systematic Review and </w:t>
      </w:r>
    </w:p>
    <w:p w:rsidR="005A3F38" w:rsidRDefault="003114B5">
      <w:pPr>
        <w:spacing w:after="27" w:line="358" w:lineRule="auto"/>
        <w:ind w:left="355" w:right="11" w:hanging="10"/>
      </w:pPr>
      <w:r>
        <w:rPr>
          <w:rFonts w:ascii="Times New Roman" w:eastAsia="Times New Roman" w:hAnsi="Times New Roman" w:cs="Times New Roman"/>
          <w:sz w:val="24"/>
        </w:rPr>
        <w:t xml:space="preserve">Aggregated Case Series. J Pediatr. 2021 Dec;239:39-49.e9. doi: 10.1016/j.jpeds.2021.06.045. Epub 2021 </w:t>
      </w:r>
      <w:r>
        <w:rPr>
          <w:rFonts w:ascii="Times New Roman" w:eastAsia="Times New Roman" w:hAnsi="Times New Roman" w:cs="Times New Roman"/>
          <w:sz w:val="24"/>
        </w:rPr>
        <w:t xml:space="preserve">Jun 25. PMID: 34181989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 xml:space="preserve">Острые инфекции дыхательных путей у детей. Диагностика, лечение профилактика: клиническое руководство/ Геппе Н.А  и др – 2-е изд. обновленное и переработанное  М. </w:t>
      </w:r>
    </w:p>
    <w:p w:rsidR="005A3F38" w:rsidRDefault="003114B5">
      <w:pPr>
        <w:spacing w:after="144"/>
        <w:ind w:left="355" w:right="2" w:hanging="10"/>
        <w:jc w:val="both"/>
      </w:pPr>
      <w:r>
        <w:rPr>
          <w:rFonts w:ascii="Times New Roman" w:eastAsia="Times New Roman" w:hAnsi="Times New Roman" w:cs="Times New Roman"/>
          <w:sz w:val="24"/>
        </w:rPr>
        <w:t xml:space="preserve">Издательство  МедКом- про, 2020:254с.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 xml:space="preserve">Лобзин Ю.В., Жданов К.В. Руководство по инфекционным болезням. 4-е изд., доп. и перераб. СПб, 2011; 1408 с. </w:t>
      </w:r>
    </w:p>
    <w:p w:rsidR="005A3F38" w:rsidRDefault="003114B5">
      <w:pPr>
        <w:numPr>
          <w:ilvl w:val="0"/>
          <w:numId w:val="25"/>
        </w:numPr>
        <w:spacing w:after="5" w:line="364" w:lineRule="auto"/>
        <w:ind w:right="11" w:hanging="708"/>
      </w:pPr>
      <w:r>
        <w:rPr>
          <w:rFonts w:ascii="Times New Roman" w:eastAsia="Times New Roman" w:hAnsi="Times New Roman" w:cs="Times New Roman"/>
          <w:sz w:val="24"/>
        </w:rPr>
        <w:t xml:space="preserve">Инфекционные болезни у детей: учебник для педиатрических факультетов медицинских вузов / под ред. проф. В.Н. Тимченко. – 5-е издание, испр. и доп. </w:t>
      </w:r>
      <w:r>
        <w:rPr>
          <w:rFonts w:ascii="Times New Roman" w:eastAsia="Times New Roman" w:hAnsi="Times New Roman" w:cs="Times New Roman"/>
          <w:sz w:val="24"/>
        </w:rPr>
        <w:t xml:space="preserve">– СПб: СпецЛит, 2023. – 895 с. </w:t>
      </w:r>
    </w:p>
    <w:p w:rsidR="005A3F38" w:rsidRDefault="003114B5">
      <w:pPr>
        <w:numPr>
          <w:ilvl w:val="0"/>
          <w:numId w:val="25"/>
        </w:numPr>
        <w:spacing w:after="121"/>
        <w:ind w:right="11" w:hanging="708"/>
      </w:pPr>
      <w:r>
        <w:rPr>
          <w:rFonts w:ascii="Times New Roman" w:eastAsia="Times New Roman" w:hAnsi="Times New Roman" w:cs="Times New Roman"/>
          <w:sz w:val="24"/>
        </w:rPr>
        <w:t xml:space="preserve">Руководство по педиатрии. Инфекционные болезни детского возраста / Д.О. Иванов, В.Н. </w:t>
      </w:r>
    </w:p>
    <w:p w:rsidR="005A3F38" w:rsidRDefault="003114B5">
      <w:pPr>
        <w:spacing w:after="142"/>
        <w:ind w:left="355" w:right="2" w:hanging="10"/>
        <w:jc w:val="both"/>
      </w:pPr>
      <w:r>
        <w:rPr>
          <w:rFonts w:ascii="Times New Roman" w:eastAsia="Times New Roman" w:hAnsi="Times New Roman" w:cs="Times New Roman"/>
          <w:sz w:val="24"/>
        </w:rPr>
        <w:t xml:space="preserve">Тимченко, Н.В. Скрипченко и др. – 2023 г. Том 8. – 816 с. </w:t>
      </w:r>
    </w:p>
    <w:p w:rsidR="005A3F38" w:rsidRDefault="003114B5">
      <w:pPr>
        <w:numPr>
          <w:ilvl w:val="0"/>
          <w:numId w:val="25"/>
        </w:numPr>
        <w:spacing w:after="128" w:line="249" w:lineRule="auto"/>
        <w:ind w:right="11" w:hanging="708"/>
      </w:pPr>
      <w:r>
        <w:rPr>
          <w:rFonts w:ascii="Times New Roman" w:eastAsia="Times New Roman" w:hAnsi="Times New Roman" w:cs="Times New Roman"/>
          <w:sz w:val="24"/>
        </w:rPr>
        <w:t>Barrett B, Brown R, Rakel D, Rabago D, Marchand L, Scheder J, Mundt M, Thomas G</w:t>
      </w:r>
      <w:r>
        <w:rPr>
          <w:rFonts w:ascii="Times New Roman" w:eastAsia="Times New Roman" w:hAnsi="Times New Roman" w:cs="Times New Roman"/>
          <w:sz w:val="24"/>
        </w:rPr>
        <w:t xml:space="preserve">, Barlow S. </w:t>
      </w:r>
    </w:p>
    <w:p w:rsidR="005A3F38" w:rsidRDefault="003114B5">
      <w:pPr>
        <w:spacing w:after="128" w:line="249" w:lineRule="auto"/>
        <w:ind w:left="355" w:right="11" w:hanging="10"/>
      </w:pPr>
      <w:r>
        <w:rPr>
          <w:rFonts w:ascii="Times New Roman" w:eastAsia="Times New Roman" w:hAnsi="Times New Roman" w:cs="Times New Roman"/>
          <w:sz w:val="24"/>
        </w:rPr>
        <w:t>Placebo effects and the common cold: a randomized controlled trial. Ann Fam Med. 2011 Jul-</w:t>
      </w:r>
    </w:p>
    <w:p w:rsidR="005A3F38" w:rsidRDefault="003114B5">
      <w:pPr>
        <w:spacing w:after="128" w:line="249" w:lineRule="auto"/>
        <w:ind w:left="355" w:right="11" w:hanging="10"/>
      </w:pPr>
      <w:r>
        <w:rPr>
          <w:rFonts w:ascii="Times New Roman" w:eastAsia="Times New Roman" w:hAnsi="Times New Roman" w:cs="Times New Roman"/>
          <w:sz w:val="24"/>
        </w:rPr>
        <w:t xml:space="preserve">Aug;9(4):312-22. doi: 10.1370/afm.1250. PMID: 21747102; PMCID: PMC3133578 </w:t>
      </w:r>
    </w:p>
    <w:p w:rsidR="005A3F38" w:rsidRDefault="003114B5">
      <w:pPr>
        <w:numPr>
          <w:ilvl w:val="0"/>
          <w:numId w:val="25"/>
        </w:numPr>
        <w:spacing w:after="0" w:line="364" w:lineRule="auto"/>
        <w:ind w:right="11" w:hanging="708"/>
      </w:pPr>
      <w:r>
        <w:rPr>
          <w:rFonts w:ascii="Times New Roman" w:eastAsia="Times New Roman" w:hAnsi="Times New Roman" w:cs="Times New Roman"/>
          <w:sz w:val="24"/>
        </w:rPr>
        <w:t>Thomas M, Bomar PA. Upper Respiratory Tract Infection. [Updated 2023 Jun 26].</w:t>
      </w:r>
      <w:r>
        <w:rPr>
          <w:rFonts w:ascii="Times New Roman" w:eastAsia="Times New Roman" w:hAnsi="Times New Roman" w:cs="Times New Roman"/>
          <w:sz w:val="24"/>
        </w:rPr>
        <w:t xml:space="preserve"> In: StatPearls [Internet]. Treasure Island (FL): StatPearls Publishing; 2025 Jan-. Available from: </w:t>
      </w:r>
    </w:p>
    <w:p w:rsidR="005A3F38" w:rsidRDefault="003114B5">
      <w:pPr>
        <w:spacing w:after="155" w:line="249" w:lineRule="auto"/>
        <w:ind w:left="355" w:right="11" w:hanging="10"/>
      </w:pPr>
      <w:r>
        <w:rPr>
          <w:rFonts w:ascii="Times New Roman" w:eastAsia="Times New Roman" w:hAnsi="Times New Roman" w:cs="Times New Roman"/>
          <w:sz w:val="24"/>
        </w:rPr>
        <w:t xml:space="preserve">https://www.ncbi.nlm.nih.gov/books/NBK532961/ </w:t>
      </w:r>
    </w:p>
    <w:p w:rsidR="005A3F38" w:rsidRDefault="003114B5">
      <w:pPr>
        <w:numPr>
          <w:ilvl w:val="0"/>
          <w:numId w:val="25"/>
        </w:numPr>
        <w:spacing w:after="128" w:line="249" w:lineRule="auto"/>
        <w:ind w:right="11" w:hanging="708"/>
      </w:pPr>
      <w:r>
        <w:rPr>
          <w:rFonts w:ascii="Times New Roman" w:eastAsia="Times New Roman" w:hAnsi="Times New Roman" w:cs="Times New Roman"/>
          <w:sz w:val="24"/>
        </w:rPr>
        <w:t xml:space="preserve">Uyeki T.M., Bernstein H.H., Bradley J.S. et al. Clinical Practice Guidelines by the Infectious </w:t>
      </w:r>
    </w:p>
    <w:p w:rsidR="005A3F38" w:rsidRDefault="003114B5">
      <w:pPr>
        <w:spacing w:after="128" w:line="249" w:lineRule="auto"/>
        <w:ind w:left="355" w:right="11" w:hanging="10"/>
      </w:pPr>
      <w:r>
        <w:rPr>
          <w:rFonts w:ascii="Times New Roman" w:eastAsia="Times New Roman" w:hAnsi="Times New Roman" w:cs="Times New Roman"/>
          <w:sz w:val="24"/>
        </w:rPr>
        <w:t xml:space="preserve">Diseases Society of America: 2018 Update on Diagnosis, Treatment, Chemoprophylaxis, and Institutional </w:t>
      </w:r>
    </w:p>
    <w:p w:rsidR="005A3F38" w:rsidRDefault="003114B5">
      <w:pPr>
        <w:spacing w:after="128" w:line="249" w:lineRule="auto"/>
        <w:ind w:left="355" w:right="11" w:hanging="10"/>
      </w:pPr>
      <w:r>
        <w:rPr>
          <w:rFonts w:ascii="Times New Roman" w:eastAsia="Times New Roman" w:hAnsi="Times New Roman" w:cs="Times New Roman"/>
          <w:sz w:val="24"/>
        </w:rPr>
        <w:t xml:space="preserve">Outbreak Management of Seasonal Influenza, Clinical Infectious Diseases, Volume 68, Issue 6, 15 March </w:t>
      </w:r>
    </w:p>
    <w:p w:rsidR="005A3F38" w:rsidRDefault="003114B5">
      <w:pPr>
        <w:spacing w:after="141"/>
        <w:ind w:left="355" w:hanging="10"/>
      </w:pPr>
      <w:r>
        <w:rPr>
          <w:rFonts w:ascii="Times New Roman" w:eastAsia="Times New Roman" w:hAnsi="Times New Roman" w:cs="Times New Roman"/>
          <w:sz w:val="24"/>
        </w:rPr>
        <w:t xml:space="preserve">2019, Pages e1–e47, </w:t>
      </w:r>
      <w:hyperlink r:id="rId27">
        <w:r>
          <w:rPr>
            <w:rFonts w:ascii="Times New Roman" w:eastAsia="Times New Roman" w:hAnsi="Times New Roman" w:cs="Times New Roman"/>
            <w:color w:val="0000FF"/>
            <w:sz w:val="24"/>
            <w:u w:val="single" w:color="0000FF"/>
          </w:rPr>
          <w:t>https://doi.org/10.1093/cid/ciy866</w:t>
        </w:r>
      </w:hyperlink>
      <w:hyperlink r:id="rId28">
        <w:r>
          <w:rPr>
            <w:rFonts w:ascii="Times New Roman" w:eastAsia="Times New Roman" w:hAnsi="Times New Roman" w:cs="Times New Roman"/>
            <w:sz w:val="24"/>
          </w:rPr>
          <w:t xml:space="preserve"> </w:t>
        </w:r>
      </w:hyperlink>
    </w:p>
    <w:p w:rsidR="005A3F38" w:rsidRDefault="003114B5">
      <w:pPr>
        <w:numPr>
          <w:ilvl w:val="0"/>
          <w:numId w:val="25"/>
        </w:numPr>
        <w:spacing w:after="25" w:line="362" w:lineRule="auto"/>
        <w:ind w:right="11" w:hanging="708"/>
      </w:pPr>
      <w:r>
        <w:rPr>
          <w:rFonts w:ascii="Times New Roman" w:eastAsia="Times New Roman" w:hAnsi="Times New Roman" w:cs="Times New Roman"/>
          <w:sz w:val="24"/>
        </w:rPr>
        <w:t xml:space="preserve">Clinical practice guidelines for influenza. Geneva: World Health Organization; 2024. Licence: CC BY-NC-SA 3.0 IGO </w:t>
      </w:r>
    </w:p>
    <w:p w:rsidR="005A3F38" w:rsidRDefault="003114B5">
      <w:pPr>
        <w:numPr>
          <w:ilvl w:val="0"/>
          <w:numId w:val="25"/>
        </w:numPr>
        <w:spacing w:after="20" w:line="366" w:lineRule="auto"/>
        <w:ind w:right="11" w:hanging="708"/>
      </w:pPr>
      <w:r>
        <w:rPr>
          <w:rFonts w:ascii="Times New Roman" w:eastAsia="Times New Roman" w:hAnsi="Times New Roman" w:cs="Times New Roman"/>
          <w:sz w:val="24"/>
        </w:rPr>
        <w:t>Рациональный выбор противов</w:t>
      </w:r>
      <w:r>
        <w:rPr>
          <w:rFonts w:ascii="Times New Roman" w:eastAsia="Times New Roman" w:hAnsi="Times New Roman" w:cs="Times New Roman"/>
          <w:sz w:val="24"/>
        </w:rPr>
        <w:t xml:space="preserve">ирусной терапии гриппа и острых респираторных вирусных инфекций в условиях тридемии (консенсус Экспертного совета). Инфекционные болезни: новости, мнения, обучение. 2024;13(4):125–138. doi: </w:t>
      </w:r>
      <w:hyperlink r:id="rId29">
        <w:r>
          <w:rPr>
            <w:rFonts w:ascii="Times New Roman" w:eastAsia="Times New Roman" w:hAnsi="Times New Roman" w:cs="Times New Roman"/>
            <w:color w:val="0000FF"/>
            <w:sz w:val="24"/>
            <w:u w:val="single" w:color="0000FF"/>
          </w:rPr>
          <w:t>https://doi.org/10.33029/2305</w:t>
        </w:r>
      </w:hyperlink>
      <w:hyperlink r:id="rId30">
        <w:r>
          <w:rPr>
            <w:rFonts w:ascii="Times New Roman" w:eastAsia="Times New Roman" w:hAnsi="Times New Roman" w:cs="Times New Roman"/>
            <w:color w:val="0000FF"/>
            <w:sz w:val="24"/>
            <w:u w:val="single" w:color="0000FF"/>
          </w:rPr>
          <w:t>-</w:t>
        </w:r>
      </w:hyperlink>
      <w:hyperlink r:id="rId31">
        <w:r>
          <w:rPr>
            <w:rFonts w:ascii="Times New Roman" w:eastAsia="Times New Roman" w:hAnsi="Times New Roman" w:cs="Times New Roman"/>
            <w:color w:val="0000FF"/>
            <w:sz w:val="24"/>
            <w:u w:val="single" w:color="0000FF"/>
          </w:rPr>
          <w:t>3496</w:t>
        </w:r>
      </w:hyperlink>
      <w:hyperlink r:id="rId32">
        <w:r>
          <w:rPr>
            <w:rFonts w:ascii="Times New Roman" w:eastAsia="Times New Roman" w:hAnsi="Times New Roman" w:cs="Times New Roman"/>
            <w:color w:val="0000FF"/>
            <w:sz w:val="24"/>
            <w:u w:val="single" w:color="0000FF"/>
          </w:rPr>
          <w:t>-</w:t>
        </w:r>
      </w:hyperlink>
      <w:hyperlink r:id="rId33">
        <w:r>
          <w:rPr>
            <w:rFonts w:ascii="Times New Roman" w:eastAsia="Times New Roman" w:hAnsi="Times New Roman" w:cs="Times New Roman"/>
            <w:color w:val="0000FF"/>
            <w:sz w:val="24"/>
            <w:u w:val="single" w:color="0000FF"/>
          </w:rPr>
          <w:t>2024</w:t>
        </w:r>
      </w:hyperlink>
      <w:hyperlink r:id="rId34">
        <w:r>
          <w:rPr>
            <w:rFonts w:ascii="Times New Roman" w:eastAsia="Times New Roman" w:hAnsi="Times New Roman" w:cs="Times New Roman"/>
            <w:color w:val="0000FF"/>
            <w:sz w:val="24"/>
            <w:u w:val="single" w:color="0000FF"/>
          </w:rPr>
          <w:t>-</w:t>
        </w:r>
      </w:hyperlink>
      <w:hyperlink r:id="rId35">
        <w:r>
          <w:rPr>
            <w:rFonts w:ascii="Times New Roman" w:eastAsia="Times New Roman" w:hAnsi="Times New Roman" w:cs="Times New Roman"/>
            <w:color w:val="0000FF"/>
            <w:sz w:val="24"/>
            <w:u w:val="single" w:color="0000FF"/>
          </w:rPr>
          <w:t>13</w:t>
        </w:r>
      </w:hyperlink>
      <w:hyperlink r:id="rId36">
        <w:r>
          <w:rPr>
            <w:rFonts w:ascii="Times New Roman" w:eastAsia="Times New Roman" w:hAnsi="Times New Roman" w:cs="Times New Roman"/>
            <w:color w:val="0000FF"/>
            <w:sz w:val="24"/>
            <w:u w:val="single" w:color="0000FF"/>
          </w:rPr>
          <w:t>-</w:t>
        </w:r>
      </w:hyperlink>
      <w:hyperlink r:id="rId37">
        <w:r>
          <w:rPr>
            <w:rFonts w:ascii="Times New Roman" w:eastAsia="Times New Roman" w:hAnsi="Times New Roman" w:cs="Times New Roman"/>
            <w:color w:val="0000FF"/>
            <w:sz w:val="24"/>
            <w:u w:val="single" w:color="0000FF"/>
          </w:rPr>
          <w:t>4</w:t>
        </w:r>
      </w:hyperlink>
      <w:hyperlink r:id="rId38">
        <w:r>
          <w:rPr>
            <w:rFonts w:ascii="Times New Roman" w:eastAsia="Times New Roman" w:hAnsi="Times New Roman" w:cs="Times New Roman"/>
            <w:color w:val="0000FF"/>
            <w:sz w:val="24"/>
            <w:u w:val="single" w:color="0000FF"/>
          </w:rPr>
          <w:t>-</w:t>
        </w:r>
      </w:hyperlink>
      <w:hyperlink r:id="rId39">
        <w:r>
          <w:rPr>
            <w:rFonts w:ascii="Times New Roman" w:eastAsia="Times New Roman" w:hAnsi="Times New Roman" w:cs="Times New Roman"/>
            <w:color w:val="0000FF"/>
            <w:sz w:val="24"/>
            <w:u w:val="single" w:color="0000FF"/>
          </w:rPr>
          <w:t>125</w:t>
        </w:r>
      </w:hyperlink>
      <w:hyperlink r:id="rId40">
        <w:r>
          <w:rPr>
            <w:rFonts w:ascii="Times New Roman" w:eastAsia="Times New Roman" w:hAnsi="Times New Roman" w:cs="Times New Roman"/>
            <w:color w:val="0000FF"/>
            <w:sz w:val="24"/>
            <w:u w:val="single" w:color="0000FF"/>
          </w:rPr>
          <w:t>-</w:t>
        </w:r>
      </w:hyperlink>
      <w:hyperlink r:id="rId41">
        <w:r>
          <w:rPr>
            <w:rFonts w:ascii="Times New Roman" w:eastAsia="Times New Roman" w:hAnsi="Times New Roman" w:cs="Times New Roman"/>
            <w:color w:val="0000FF"/>
            <w:sz w:val="24"/>
            <w:u w:val="single" w:color="0000FF"/>
          </w:rPr>
          <w:t>138</w:t>
        </w:r>
      </w:hyperlink>
      <w:hyperlink r:id="rId42">
        <w:r>
          <w:rPr>
            <w:rFonts w:ascii="Times New Roman" w:eastAsia="Times New Roman" w:hAnsi="Times New Roman" w:cs="Times New Roman"/>
            <w:sz w:val="24"/>
          </w:rPr>
          <w:t xml:space="preserve"> </w:t>
        </w:r>
      </w:hyperlink>
      <w:r>
        <w:rPr>
          <w:rFonts w:ascii="Times New Roman" w:eastAsia="Times New Roman" w:hAnsi="Times New Roman" w:cs="Times New Roman"/>
          <w:sz w:val="24"/>
        </w:rPr>
        <w:t>64.</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Лопатин А.С., Свистушкин В.М. Острый риносинусит: этиология, патогенез, диагностика и принципы лечения. Клинические рекомендации. М.: Российское общество ринологов. -2009-26 с. </w:t>
      </w:r>
    </w:p>
    <w:p w:rsidR="005A3F38" w:rsidRDefault="003114B5">
      <w:pPr>
        <w:tabs>
          <w:tab w:val="center" w:pos="510"/>
          <w:tab w:val="right" w:pos="10719"/>
        </w:tabs>
        <w:spacing w:after="128" w:line="249" w:lineRule="auto"/>
      </w:pPr>
      <w:r>
        <w:tab/>
      </w:r>
      <w:r>
        <w:rPr>
          <w:rFonts w:ascii="Times New Roman" w:eastAsia="Times New Roman" w:hAnsi="Times New Roman" w:cs="Times New Roman"/>
          <w:sz w:val="24"/>
        </w:rPr>
        <w:t>65.</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Green, C., Krafft, H., Guyatt, G., &amp; Martin, D. (2021). Symptomati</w:t>
      </w:r>
      <w:r>
        <w:rPr>
          <w:rFonts w:ascii="Times New Roman" w:eastAsia="Times New Roman" w:hAnsi="Times New Roman" w:cs="Times New Roman"/>
          <w:sz w:val="24"/>
        </w:rPr>
        <w:t xml:space="preserve">c fever management in children: </w:t>
      </w:r>
    </w:p>
    <w:p w:rsidR="005A3F38" w:rsidRDefault="003114B5">
      <w:pPr>
        <w:spacing w:after="128" w:line="249" w:lineRule="auto"/>
        <w:ind w:left="355" w:right="11" w:hanging="10"/>
      </w:pPr>
      <w:r>
        <w:rPr>
          <w:rFonts w:ascii="Times New Roman" w:eastAsia="Times New Roman" w:hAnsi="Times New Roman" w:cs="Times New Roman"/>
          <w:sz w:val="24"/>
        </w:rPr>
        <w:t xml:space="preserve">A systematic review of national and international guidelines. PloS one, 16(6), e0245815. </w:t>
      </w:r>
    </w:p>
    <w:p w:rsidR="005A3F38" w:rsidRDefault="003114B5">
      <w:pPr>
        <w:spacing w:after="141"/>
        <w:ind w:left="355" w:hanging="10"/>
      </w:pPr>
      <w:hyperlink r:id="rId43">
        <w:r>
          <w:rPr>
            <w:rFonts w:ascii="Times New Roman" w:eastAsia="Times New Roman" w:hAnsi="Times New Roman" w:cs="Times New Roman"/>
            <w:color w:val="0000FF"/>
            <w:sz w:val="24"/>
            <w:u w:val="single" w:color="0000FF"/>
          </w:rPr>
          <w:t>https://doi.org/10.1371/journal.pone.0245815</w:t>
        </w:r>
      </w:hyperlink>
      <w:hyperlink r:id="rId44">
        <w:r>
          <w:rPr>
            <w:rFonts w:ascii="Times New Roman" w:eastAsia="Times New Roman" w:hAnsi="Times New Roman" w:cs="Times New Roman"/>
            <w:sz w:val="24"/>
          </w:rPr>
          <w:t xml:space="preserve"> </w:t>
        </w:r>
      </w:hyperlink>
    </w:p>
    <w:p w:rsidR="005A3F38" w:rsidRDefault="003114B5">
      <w:pPr>
        <w:numPr>
          <w:ilvl w:val="0"/>
          <w:numId w:val="26"/>
        </w:numPr>
        <w:spacing w:after="128" w:line="249" w:lineRule="auto"/>
        <w:ind w:right="11" w:hanging="708"/>
      </w:pPr>
      <w:r>
        <w:rPr>
          <w:rFonts w:ascii="Times New Roman" w:eastAsia="Times New Roman" w:hAnsi="Times New Roman" w:cs="Times New Roman"/>
          <w:sz w:val="24"/>
        </w:rPr>
        <w:t>https://iris.who.int/bitstream/handle/10665/104772/9789241506823_Module-</w:t>
      </w:r>
    </w:p>
    <w:p w:rsidR="005A3F38" w:rsidRDefault="003114B5">
      <w:pPr>
        <w:spacing w:after="155" w:line="249" w:lineRule="auto"/>
        <w:ind w:left="355" w:right="11" w:hanging="10"/>
      </w:pPr>
      <w:r>
        <w:rPr>
          <w:rFonts w:ascii="Times New Roman" w:eastAsia="Times New Roman" w:hAnsi="Times New Roman" w:cs="Times New Roman"/>
          <w:sz w:val="24"/>
        </w:rPr>
        <w:t xml:space="preserve">5_eng.pdf;jsessionid=1348F4D8E65CFFE9CD02AACCA6FF1050?sequence=7 </w:t>
      </w:r>
    </w:p>
    <w:p w:rsidR="005A3F38" w:rsidRDefault="003114B5">
      <w:pPr>
        <w:numPr>
          <w:ilvl w:val="0"/>
          <w:numId w:val="26"/>
        </w:numPr>
        <w:spacing w:after="0" w:line="359" w:lineRule="auto"/>
        <w:ind w:right="11" w:hanging="708"/>
      </w:pPr>
      <w:r>
        <w:rPr>
          <w:rFonts w:ascii="Times New Roman" w:eastAsia="Times New Roman" w:hAnsi="Times New Roman" w:cs="Times New Roman"/>
          <w:sz w:val="24"/>
        </w:rPr>
        <w:t>National Collaborating Centre for Women's and Children's Health (UK). Feveri</w:t>
      </w:r>
      <w:r>
        <w:rPr>
          <w:rFonts w:ascii="Times New Roman" w:eastAsia="Times New Roman" w:hAnsi="Times New Roman" w:cs="Times New Roman"/>
          <w:sz w:val="24"/>
        </w:rPr>
        <w:t>sh Illness in Children: Assessment and Initial Management in Children Younger Than 5 Years. London: Royal College of Obstetricians and Gynaecologists (UK); 2013 May. (NICE Clinical Guidelines, No. 160.) Available from: https://www.ncbi.nlm.nih.gov/books/NB</w:t>
      </w:r>
      <w:r>
        <w:rPr>
          <w:rFonts w:ascii="Times New Roman" w:eastAsia="Times New Roman" w:hAnsi="Times New Roman" w:cs="Times New Roman"/>
          <w:sz w:val="24"/>
        </w:rPr>
        <w:t xml:space="preserve">K247907/, Section on Clinical Pharmacology and </w:t>
      </w:r>
    </w:p>
    <w:p w:rsidR="005A3F38" w:rsidRDefault="003114B5">
      <w:pPr>
        <w:spacing w:after="152" w:line="249" w:lineRule="auto"/>
        <w:ind w:left="355" w:right="11" w:hanging="10"/>
      </w:pPr>
      <w:r>
        <w:rPr>
          <w:rFonts w:ascii="Times New Roman" w:eastAsia="Times New Roman" w:hAnsi="Times New Roman" w:cs="Times New Roman"/>
          <w:sz w:val="24"/>
        </w:rPr>
        <w:t xml:space="preserve">Therapeutics; Committee on Drugs </w:t>
      </w:r>
    </w:p>
    <w:p w:rsidR="005A3F38" w:rsidRDefault="003114B5">
      <w:pPr>
        <w:numPr>
          <w:ilvl w:val="0"/>
          <w:numId w:val="26"/>
        </w:numPr>
        <w:spacing w:after="27" w:line="360" w:lineRule="auto"/>
        <w:ind w:right="11" w:hanging="708"/>
      </w:pPr>
      <w:r>
        <w:rPr>
          <w:rFonts w:ascii="Times New Roman" w:eastAsia="Times New Roman" w:hAnsi="Times New Roman" w:cs="Times New Roman"/>
          <w:sz w:val="24"/>
        </w:rPr>
        <w:t xml:space="preserve">Sullivan JE, Farrar HC. Fever and antipyretic use in children. Pediatrics. 2011 Mar;127(3):580-7. doi: 10.1542/peds.2010-3852. </w:t>
      </w:r>
      <w:hyperlink r:id="rId45">
        <w:r>
          <w:rPr>
            <w:rFonts w:ascii="Times New Roman" w:eastAsia="Times New Roman" w:hAnsi="Times New Roman" w:cs="Times New Roman"/>
            <w:color w:val="0000FF"/>
            <w:sz w:val="24"/>
            <w:u w:val="single" w:color="0000FF"/>
          </w:rPr>
          <w:t>https://publications.aap.org/pediatrics/article/127/3/e20103852/65016/Fever</w:t>
        </w:r>
      </w:hyperlink>
      <w:hyperlink r:id="rId46"/>
      <w:hyperlink r:id="rId47">
        <w:r>
          <w:rPr>
            <w:rFonts w:ascii="Times New Roman" w:eastAsia="Times New Roman" w:hAnsi="Times New Roman" w:cs="Times New Roman"/>
            <w:color w:val="0000FF"/>
            <w:sz w:val="24"/>
            <w:u w:val="single" w:color="0000FF"/>
          </w:rPr>
          <w:t>and</w:t>
        </w:r>
      </w:hyperlink>
      <w:hyperlink r:id="rId48">
        <w:r>
          <w:rPr>
            <w:rFonts w:ascii="Times New Roman" w:eastAsia="Times New Roman" w:hAnsi="Times New Roman" w:cs="Times New Roman"/>
            <w:color w:val="0000FF"/>
            <w:sz w:val="24"/>
            <w:u w:val="single" w:color="0000FF"/>
          </w:rPr>
          <w:t>-</w:t>
        </w:r>
      </w:hyperlink>
      <w:hyperlink r:id="rId49">
        <w:r>
          <w:rPr>
            <w:rFonts w:ascii="Times New Roman" w:eastAsia="Times New Roman" w:hAnsi="Times New Roman" w:cs="Times New Roman"/>
            <w:color w:val="0000FF"/>
            <w:sz w:val="24"/>
            <w:u w:val="single" w:color="0000FF"/>
          </w:rPr>
          <w:t>Antipyretic</w:t>
        </w:r>
      </w:hyperlink>
      <w:hyperlink r:id="rId50">
        <w:r>
          <w:rPr>
            <w:rFonts w:ascii="Times New Roman" w:eastAsia="Times New Roman" w:hAnsi="Times New Roman" w:cs="Times New Roman"/>
            <w:color w:val="0000FF"/>
            <w:sz w:val="24"/>
            <w:u w:val="single" w:color="0000FF"/>
          </w:rPr>
          <w:t>-</w:t>
        </w:r>
      </w:hyperlink>
      <w:hyperlink r:id="rId51">
        <w:r>
          <w:rPr>
            <w:rFonts w:ascii="Times New Roman" w:eastAsia="Times New Roman" w:hAnsi="Times New Roman" w:cs="Times New Roman"/>
            <w:color w:val="0000FF"/>
            <w:sz w:val="24"/>
            <w:u w:val="single" w:color="0000FF"/>
          </w:rPr>
          <w:t>Use</w:t>
        </w:r>
      </w:hyperlink>
      <w:hyperlink r:id="rId52">
        <w:r>
          <w:rPr>
            <w:rFonts w:ascii="Times New Roman" w:eastAsia="Times New Roman" w:hAnsi="Times New Roman" w:cs="Times New Roman"/>
            <w:color w:val="0000FF"/>
            <w:sz w:val="24"/>
            <w:u w:val="single" w:color="0000FF"/>
          </w:rPr>
          <w:t>-</w:t>
        </w:r>
      </w:hyperlink>
      <w:hyperlink r:id="rId53">
        <w:r>
          <w:rPr>
            <w:rFonts w:ascii="Times New Roman" w:eastAsia="Times New Roman" w:hAnsi="Times New Roman" w:cs="Times New Roman"/>
            <w:color w:val="0000FF"/>
            <w:sz w:val="24"/>
            <w:u w:val="single" w:color="0000FF"/>
          </w:rPr>
          <w:t>in</w:t>
        </w:r>
      </w:hyperlink>
      <w:hyperlink r:id="rId54">
        <w:r>
          <w:rPr>
            <w:rFonts w:ascii="Times New Roman" w:eastAsia="Times New Roman" w:hAnsi="Times New Roman" w:cs="Times New Roman"/>
            <w:color w:val="0000FF"/>
            <w:sz w:val="24"/>
            <w:u w:val="single" w:color="0000FF"/>
          </w:rPr>
          <w:t>-</w:t>
        </w:r>
      </w:hyperlink>
      <w:hyperlink r:id="rId55">
        <w:r>
          <w:rPr>
            <w:rFonts w:ascii="Times New Roman" w:eastAsia="Times New Roman" w:hAnsi="Times New Roman" w:cs="Times New Roman"/>
            <w:color w:val="0000FF"/>
            <w:sz w:val="24"/>
            <w:u w:val="single" w:color="0000FF"/>
          </w:rPr>
          <w:t>Children?autologincheck=redirected</w:t>
        </w:r>
      </w:hyperlink>
      <w:hyperlink r:id="rId56">
        <w:r>
          <w:rPr>
            <w:rFonts w:ascii="Times New Roman" w:eastAsia="Times New Roman" w:hAnsi="Times New Roman" w:cs="Times New Roman"/>
            <w:sz w:val="24"/>
          </w:rPr>
          <w:t xml:space="preserve"> </w:t>
        </w:r>
      </w:hyperlink>
    </w:p>
    <w:p w:rsidR="005A3F38" w:rsidRDefault="003114B5">
      <w:pPr>
        <w:numPr>
          <w:ilvl w:val="0"/>
          <w:numId w:val="26"/>
        </w:numPr>
        <w:spacing w:after="0" w:line="359" w:lineRule="auto"/>
        <w:ind w:right="11" w:hanging="708"/>
      </w:pPr>
      <w:r>
        <w:rPr>
          <w:rFonts w:ascii="Times New Roman" w:eastAsia="Times New Roman" w:hAnsi="Times New Roman" w:cs="Times New Roman"/>
          <w:sz w:val="24"/>
        </w:rPr>
        <w:t>Prot-Labarthe S, Weil T, Angoulvant F, Boulkedid R, Alberti C, Bo</w:t>
      </w:r>
      <w:r>
        <w:rPr>
          <w:rFonts w:ascii="Times New Roman" w:eastAsia="Times New Roman" w:hAnsi="Times New Roman" w:cs="Times New Roman"/>
          <w:sz w:val="24"/>
        </w:rPr>
        <w:t xml:space="preserve">urdon O. POPI (Pediatrics: Omission of Prescriptions and Inappropriate prescriptions): development of a tool to identify inappropriate prescribing. PLoS One. 2014 Jun 30;9(6):e101171. doi: 10.1371/journal.pone.0101171. Erratum in: PLoS </w:t>
      </w:r>
    </w:p>
    <w:p w:rsidR="005A3F38" w:rsidRDefault="003114B5">
      <w:pPr>
        <w:spacing w:after="152" w:line="249" w:lineRule="auto"/>
        <w:ind w:left="355" w:right="11" w:hanging="10"/>
      </w:pPr>
      <w:r>
        <w:rPr>
          <w:rFonts w:ascii="Times New Roman" w:eastAsia="Times New Roman" w:hAnsi="Times New Roman" w:cs="Times New Roman"/>
          <w:sz w:val="24"/>
        </w:rPr>
        <w:t>One. 2014;9(9):e108</w:t>
      </w:r>
      <w:r>
        <w:rPr>
          <w:rFonts w:ascii="Times New Roman" w:eastAsia="Times New Roman" w:hAnsi="Times New Roman" w:cs="Times New Roman"/>
          <w:sz w:val="24"/>
        </w:rPr>
        <w:t xml:space="preserve">007. PMID: 24978045; PMCID: PMC4076280 </w:t>
      </w:r>
    </w:p>
    <w:p w:rsidR="005A3F38" w:rsidRDefault="003114B5">
      <w:pPr>
        <w:numPr>
          <w:ilvl w:val="0"/>
          <w:numId w:val="26"/>
        </w:numPr>
        <w:spacing w:after="128" w:line="249" w:lineRule="auto"/>
        <w:ind w:right="11" w:hanging="708"/>
      </w:pPr>
      <w:r>
        <w:rPr>
          <w:rFonts w:ascii="Times New Roman" w:eastAsia="Times New Roman" w:hAnsi="Times New Roman" w:cs="Times New Roman"/>
          <w:sz w:val="24"/>
        </w:rPr>
        <w:t xml:space="preserve">Doria M, Careddu D, Iorio R, Verrotti A, Chiappini E, Barbero GM, Ceschin F, Dell'Era L, Fabiano </w:t>
      </w:r>
    </w:p>
    <w:p w:rsidR="005A3F38" w:rsidRDefault="003114B5">
      <w:pPr>
        <w:spacing w:after="128" w:line="249" w:lineRule="auto"/>
        <w:ind w:left="355" w:right="11" w:hanging="10"/>
      </w:pPr>
      <w:r>
        <w:rPr>
          <w:rFonts w:ascii="Times New Roman" w:eastAsia="Times New Roman" w:hAnsi="Times New Roman" w:cs="Times New Roman"/>
          <w:sz w:val="24"/>
        </w:rPr>
        <w:t xml:space="preserve">V, Mencacci M, Carlomagno F, Libranti M, Mazzone T, Vitale A. Paracetamol and Ibuprofen in the </w:t>
      </w:r>
    </w:p>
    <w:p w:rsidR="005A3F38" w:rsidRDefault="003114B5">
      <w:pPr>
        <w:spacing w:after="128" w:line="249" w:lineRule="auto"/>
        <w:ind w:left="355" w:right="11" w:hanging="10"/>
      </w:pPr>
      <w:r>
        <w:rPr>
          <w:rFonts w:ascii="Times New Roman" w:eastAsia="Times New Roman" w:hAnsi="Times New Roman" w:cs="Times New Roman"/>
          <w:sz w:val="24"/>
        </w:rPr>
        <w:t>Treatment of Fever and</w:t>
      </w:r>
      <w:r>
        <w:rPr>
          <w:rFonts w:ascii="Times New Roman" w:eastAsia="Times New Roman" w:hAnsi="Times New Roman" w:cs="Times New Roman"/>
          <w:sz w:val="24"/>
        </w:rPr>
        <w:t xml:space="preserve"> Acute Mild-Moderate Pain in Children: Italian Experts' Consensus Statements. </w:t>
      </w:r>
    </w:p>
    <w:p w:rsidR="005A3F38" w:rsidRDefault="003114B5">
      <w:pPr>
        <w:spacing w:after="128" w:line="249" w:lineRule="auto"/>
        <w:ind w:left="355" w:right="11" w:hanging="10"/>
      </w:pPr>
      <w:r>
        <w:rPr>
          <w:rFonts w:ascii="Times New Roman" w:eastAsia="Times New Roman" w:hAnsi="Times New Roman" w:cs="Times New Roman"/>
          <w:sz w:val="24"/>
        </w:rPr>
        <w:t xml:space="preserve">Children (Basel). 2021 Sep 30;8(10):873. doi: 10.3390/children8100873. PMID: 34682137; PMCID: </w:t>
      </w:r>
    </w:p>
    <w:p w:rsidR="005A3F38" w:rsidRDefault="003114B5">
      <w:pPr>
        <w:spacing w:after="128" w:line="249" w:lineRule="auto"/>
        <w:ind w:left="355" w:right="11" w:hanging="10"/>
      </w:pPr>
      <w:r>
        <w:rPr>
          <w:rFonts w:ascii="Times New Roman" w:eastAsia="Times New Roman" w:hAnsi="Times New Roman" w:cs="Times New Roman"/>
          <w:sz w:val="24"/>
        </w:rPr>
        <w:t xml:space="preserve">PMC8534871 </w:t>
      </w:r>
    </w:p>
    <w:p w:rsidR="005A3F38" w:rsidRDefault="003114B5">
      <w:pPr>
        <w:numPr>
          <w:ilvl w:val="0"/>
          <w:numId w:val="26"/>
        </w:numPr>
        <w:spacing w:after="0" w:line="364" w:lineRule="auto"/>
        <w:ind w:right="11" w:hanging="708"/>
      </w:pPr>
      <w:r>
        <w:rPr>
          <w:rFonts w:ascii="Times New Roman" w:eastAsia="Times New Roman" w:hAnsi="Times New Roman" w:cs="Times New Roman"/>
          <w:sz w:val="24"/>
        </w:rPr>
        <w:t>Fever in under 5s: assessment and initial management. London: National</w:t>
      </w:r>
      <w:r>
        <w:rPr>
          <w:rFonts w:ascii="Times New Roman" w:eastAsia="Times New Roman" w:hAnsi="Times New Roman" w:cs="Times New Roman"/>
          <w:sz w:val="24"/>
        </w:rPr>
        <w:t xml:space="preserve"> Institute for Health and Care Excellence (NICE); 2021 Nov 26. (NICE Guideline, No. 143.) Available from: </w:t>
      </w:r>
    </w:p>
    <w:p w:rsidR="005A3F38" w:rsidRDefault="003114B5">
      <w:pPr>
        <w:spacing w:after="141"/>
        <w:ind w:left="355" w:hanging="10"/>
      </w:pPr>
      <w:hyperlink r:id="rId57">
        <w:r>
          <w:rPr>
            <w:rFonts w:ascii="Times New Roman" w:eastAsia="Times New Roman" w:hAnsi="Times New Roman" w:cs="Times New Roman"/>
            <w:color w:val="0000FF"/>
            <w:sz w:val="24"/>
            <w:u w:val="single" w:color="0000FF"/>
          </w:rPr>
          <w:t>https://www.ncbi.nlm.nih.gov/books/NBK552086/</w:t>
        </w:r>
      </w:hyperlink>
      <w:hyperlink r:id="rId58">
        <w:r>
          <w:rPr>
            <w:rFonts w:ascii="Times New Roman" w:eastAsia="Times New Roman" w:hAnsi="Times New Roman" w:cs="Times New Roman"/>
            <w:sz w:val="24"/>
          </w:rPr>
          <w:t xml:space="preserve"> </w:t>
        </w:r>
      </w:hyperlink>
    </w:p>
    <w:p w:rsidR="005A3F38" w:rsidRDefault="003114B5">
      <w:pPr>
        <w:numPr>
          <w:ilvl w:val="0"/>
          <w:numId w:val="26"/>
        </w:numPr>
        <w:spacing w:after="25" w:line="362" w:lineRule="auto"/>
        <w:ind w:right="11" w:hanging="708"/>
      </w:pPr>
      <w:r>
        <w:rPr>
          <w:rFonts w:ascii="Times New Roman" w:eastAsia="Times New Roman" w:hAnsi="Times New Roman" w:cs="Times New Roman"/>
          <w:sz w:val="24"/>
        </w:rPr>
        <w:t xml:space="preserve">Coelho MM, Luheshi G, Hopkins SJ, et al. Multiple mechanisms mediate antipyretic action of glucocorticoids. Am J Physiol. 1995;269(3 Pt 2):R527-R535. doi:10.1152/ajpregu.1995.269.3.R527 </w:t>
      </w:r>
    </w:p>
    <w:p w:rsidR="005A3F38" w:rsidRDefault="003114B5">
      <w:pPr>
        <w:numPr>
          <w:ilvl w:val="0"/>
          <w:numId w:val="26"/>
        </w:numPr>
        <w:spacing w:after="128" w:line="249" w:lineRule="auto"/>
        <w:ind w:right="11" w:hanging="708"/>
      </w:pPr>
      <w:r>
        <w:rPr>
          <w:rFonts w:ascii="Times New Roman" w:eastAsia="Times New Roman" w:hAnsi="Times New Roman" w:cs="Times New Roman"/>
          <w:sz w:val="24"/>
        </w:rPr>
        <w:t xml:space="preserve">Gomes K, Goldman RD. Corticosteroids for </w:t>
      </w:r>
      <w:r>
        <w:rPr>
          <w:rFonts w:ascii="Times New Roman" w:eastAsia="Times New Roman" w:hAnsi="Times New Roman" w:cs="Times New Roman"/>
          <w:sz w:val="24"/>
        </w:rPr>
        <w:t xml:space="preserve">infectious mononucleosis. Can Fam Physician. </w:t>
      </w:r>
    </w:p>
    <w:p w:rsidR="005A3F38" w:rsidRDefault="003114B5">
      <w:pPr>
        <w:spacing w:after="155" w:line="249" w:lineRule="auto"/>
        <w:ind w:left="355" w:right="11" w:hanging="10"/>
      </w:pPr>
      <w:r>
        <w:rPr>
          <w:rFonts w:ascii="Times New Roman" w:eastAsia="Times New Roman" w:hAnsi="Times New Roman" w:cs="Times New Roman"/>
          <w:sz w:val="24"/>
        </w:rPr>
        <w:t xml:space="preserve">2023;69(2):101-102. doi:10.46747/cfp.6902101 </w:t>
      </w:r>
    </w:p>
    <w:p w:rsidR="005A3F38" w:rsidRDefault="003114B5">
      <w:pPr>
        <w:numPr>
          <w:ilvl w:val="0"/>
          <w:numId w:val="26"/>
        </w:numPr>
        <w:spacing w:after="128" w:line="249" w:lineRule="auto"/>
        <w:ind w:right="11" w:hanging="708"/>
      </w:pPr>
      <w:r>
        <w:rPr>
          <w:rFonts w:ascii="Times New Roman" w:eastAsia="Times New Roman" w:hAnsi="Times New Roman" w:cs="Times New Roman"/>
          <w:sz w:val="24"/>
        </w:rPr>
        <w:t xml:space="preserve">Rezk E, Nofal YH, Hamzeh A, et al. Steroids for symptom control in infectious mononucleosis. </w:t>
      </w:r>
    </w:p>
    <w:p w:rsidR="005A3F38" w:rsidRDefault="003114B5">
      <w:pPr>
        <w:spacing w:after="128" w:line="249" w:lineRule="auto"/>
        <w:ind w:left="355" w:right="11" w:hanging="10"/>
      </w:pPr>
      <w:r>
        <w:rPr>
          <w:rFonts w:ascii="Times New Roman" w:eastAsia="Times New Roman" w:hAnsi="Times New Roman" w:cs="Times New Roman"/>
          <w:sz w:val="24"/>
        </w:rPr>
        <w:t xml:space="preserve">Cochrane Database Syst Rev. 2015;2015(11):CD004402. Published 2015 Nov 8. </w:t>
      </w:r>
    </w:p>
    <w:p w:rsidR="005A3F38" w:rsidRDefault="003114B5">
      <w:pPr>
        <w:spacing w:after="152" w:line="249" w:lineRule="auto"/>
        <w:ind w:left="355" w:right="11" w:hanging="10"/>
      </w:pPr>
      <w:r>
        <w:rPr>
          <w:rFonts w:ascii="Times New Roman" w:eastAsia="Times New Roman" w:hAnsi="Times New Roman" w:cs="Times New Roman"/>
          <w:sz w:val="24"/>
        </w:rPr>
        <w:t xml:space="preserve">doi:10.1002/14651858.CD004402.pub3 </w:t>
      </w:r>
    </w:p>
    <w:p w:rsidR="005A3F38" w:rsidRDefault="003114B5">
      <w:pPr>
        <w:numPr>
          <w:ilvl w:val="0"/>
          <w:numId w:val="26"/>
        </w:numPr>
        <w:spacing w:after="128" w:line="249" w:lineRule="auto"/>
        <w:ind w:right="11" w:hanging="708"/>
      </w:pPr>
      <w:r>
        <w:rPr>
          <w:rFonts w:ascii="Times New Roman" w:eastAsia="Times New Roman" w:hAnsi="Times New Roman" w:cs="Times New Roman"/>
          <w:sz w:val="24"/>
        </w:rPr>
        <w:t xml:space="preserve">Han JY, Yang EA, Rhim JW, Han SB. Effects of Antiviral Therapy and Glucocorticoid Therapy on </w:t>
      </w:r>
    </w:p>
    <w:p w:rsidR="005A3F38" w:rsidRDefault="003114B5">
      <w:pPr>
        <w:spacing w:after="128" w:line="249" w:lineRule="auto"/>
        <w:ind w:left="355" w:right="11" w:hanging="10"/>
      </w:pPr>
      <w:r>
        <w:rPr>
          <w:rFonts w:ascii="Times New Roman" w:eastAsia="Times New Roman" w:hAnsi="Times New Roman" w:cs="Times New Roman"/>
          <w:sz w:val="24"/>
        </w:rPr>
        <w:t>Fever Duration in Pediatric Patients with Influenza</w:t>
      </w:r>
      <w:r>
        <w:rPr>
          <w:rFonts w:ascii="Times New Roman" w:eastAsia="Times New Roman" w:hAnsi="Times New Roman" w:cs="Times New Roman"/>
          <w:sz w:val="24"/>
        </w:rPr>
        <w:t xml:space="preserve">. Medicina (Kaunas). 2021;57(12):1385. Published 2021 </w:t>
      </w:r>
    </w:p>
    <w:p w:rsidR="005A3F38" w:rsidRDefault="003114B5">
      <w:pPr>
        <w:spacing w:after="155" w:line="249" w:lineRule="auto"/>
        <w:ind w:left="355" w:right="11" w:hanging="10"/>
      </w:pPr>
      <w:r>
        <w:rPr>
          <w:rFonts w:ascii="Times New Roman" w:eastAsia="Times New Roman" w:hAnsi="Times New Roman" w:cs="Times New Roman"/>
          <w:sz w:val="24"/>
        </w:rPr>
        <w:t xml:space="preserve">Dec 20. doi:10.3390/medicina57121385 </w:t>
      </w:r>
    </w:p>
    <w:p w:rsidR="005A3F38" w:rsidRDefault="003114B5">
      <w:pPr>
        <w:numPr>
          <w:ilvl w:val="0"/>
          <w:numId w:val="26"/>
        </w:numPr>
        <w:spacing w:after="0" w:line="369" w:lineRule="auto"/>
        <w:ind w:right="11" w:hanging="708"/>
      </w:pPr>
      <w:r>
        <w:rPr>
          <w:rFonts w:ascii="Times New Roman" w:eastAsia="Times New Roman" w:hAnsi="Times New Roman" w:cs="Times New Roman"/>
          <w:sz w:val="24"/>
        </w:rPr>
        <w:t>Rajapakse S, Rodrigo C, Maduranga S, Rajapakse AC. Corticosteroids in the treatment of dengue shock syndrome. Infect Drug Resist. 2014;7:137-143. Published 2014 Ma</w:t>
      </w:r>
      <w:r>
        <w:rPr>
          <w:rFonts w:ascii="Times New Roman" w:eastAsia="Times New Roman" w:hAnsi="Times New Roman" w:cs="Times New Roman"/>
          <w:sz w:val="24"/>
        </w:rPr>
        <w:t>y 22. doi:10.2147/IDR.S55380 77.</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Chen Y, Wang H, Zhou F, Guo C. The use of glucocorticoid in severe fever with thrombocytopenia syndrome: a retrospective cohort study. Front Cell Infect Microbiol. 2024;14:1419015. Published 2024 </w:t>
      </w:r>
    </w:p>
    <w:p w:rsidR="005A3F38" w:rsidRDefault="003114B5">
      <w:pPr>
        <w:spacing w:after="152" w:line="249" w:lineRule="auto"/>
        <w:ind w:left="355" w:right="11" w:hanging="10"/>
      </w:pPr>
      <w:r>
        <w:rPr>
          <w:rFonts w:ascii="Times New Roman" w:eastAsia="Times New Roman" w:hAnsi="Times New Roman" w:cs="Times New Roman"/>
          <w:sz w:val="24"/>
        </w:rPr>
        <w:t>Aug 6. doi:10.3389/fcimb.</w:t>
      </w:r>
      <w:r>
        <w:rPr>
          <w:rFonts w:ascii="Times New Roman" w:eastAsia="Times New Roman" w:hAnsi="Times New Roman" w:cs="Times New Roman"/>
          <w:sz w:val="24"/>
        </w:rPr>
        <w:t xml:space="preserve">2024.1419015 </w:t>
      </w:r>
    </w:p>
    <w:p w:rsidR="005A3F38" w:rsidRDefault="003114B5">
      <w:pPr>
        <w:numPr>
          <w:ilvl w:val="0"/>
          <w:numId w:val="27"/>
        </w:numPr>
        <w:spacing w:after="0" w:line="364" w:lineRule="auto"/>
        <w:ind w:right="11" w:hanging="708"/>
      </w:pPr>
      <w:r>
        <w:rPr>
          <w:rFonts w:ascii="Times New Roman" w:eastAsia="Times New Roman" w:hAnsi="Times New Roman" w:cs="Times New Roman"/>
          <w:sz w:val="24"/>
        </w:rPr>
        <w:t xml:space="preserve">Wang G, Xu YL, Zhu Y, et al. Clinical efficacy of low-dose glucocorticoid therapy for critically ill patients with severe fever with thrombocytopenia syndrome: A retrospective cohort study. Int J Infect Dis. </w:t>
      </w:r>
    </w:p>
    <w:p w:rsidR="005A3F38" w:rsidRDefault="003114B5">
      <w:pPr>
        <w:spacing w:after="155" w:line="249" w:lineRule="auto"/>
        <w:ind w:left="355" w:right="11" w:hanging="10"/>
      </w:pPr>
      <w:r>
        <w:rPr>
          <w:rFonts w:ascii="Times New Roman" w:eastAsia="Times New Roman" w:hAnsi="Times New Roman" w:cs="Times New Roman"/>
          <w:sz w:val="24"/>
        </w:rPr>
        <w:t>2023;130:153-160. doi:10.1016/j.i</w:t>
      </w:r>
      <w:r>
        <w:rPr>
          <w:rFonts w:ascii="Times New Roman" w:eastAsia="Times New Roman" w:hAnsi="Times New Roman" w:cs="Times New Roman"/>
          <w:sz w:val="24"/>
        </w:rPr>
        <w:t xml:space="preserve">jid.2023.03.015 </w:t>
      </w:r>
    </w:p>
    <w:p w:rsidR="005A3F38" w:rsidRDefault="003114B5">
      <w:pPr>
        <w:numPr>
          <w:ilvl w:val="0"/>
          <w:numId w:val="27"/>
        </w:numPr>
        <w:spacing w:after="25" w:line="362" w:lineRule="auto"/>
        <w:ind w:right="11" w:hanging="708"/>
      </w:pPr>
      <w:r>
        <w:rPr>
          <w:rFonts w:ascii="Times New Roman" w:eastAsia="Times New Roman" w:hAnsi="Times New Roman" w:cs="Times New Roman"/>
          <w:sz w:val="24"/>
        </w:rPr>
        <w:t xml:space="preserve">Han K, Ma H, An X, et al. Early use of glucocorticoids was a risk factor for critical disease and death from pH1N1 infection. Clin Infect Dis. 2011;53(4):326-333. doi:10.1093/cid/cir398 </w:t>
      </w:r>
    </w:p>
    <w:p w:rsidR="005A3F38" w:rsidRDefault="003114B5">
      <w:pPr>
        <w:numPr>
          <w:ilvl w:val="0"/>
          <w:numId w:val="27"/>
        </w:numPr>
        <w:spacing w:after="0" w:line="362" w:lineRule="auto"/>
        <w:ind w:right="11" w:hanging="708"/>
      </w:pPr>
      <w:r>
        <w:rPr>
          <w:rFonts w:ascii="Times New Roman" w:eastAsia="Times New Roman" w:hAnsi="Times New Roman" w:cs="Times New Roman"/>
          <w:sz w:val="24"/>
        </w:rPr>
        <w:t xml:space="preserve">Ma H, He F, Wan J, et al. Glucocorticoid and pyrazolone treatment of acute fever is a risk factor for critical and life-threatening human enterovirus 71 infection during an outbreak in China, 2008. Pediatr </w:t>
      </w:r>
    </w:p>
    <w:p w:rsidR="005A3F38" w:rsidRDefault="003114B5">
      <w:pPr>
        <w:spacing w:after="152" w:line="249" w:lineRule="auto"/>
        <w:ind w:left="355" w:right="11" w:hanging="10"/>
      </w:pPr>
      <w:r>
        <w:rPr>
          <w:rFonts w:ascii="Times New Roman" w:eastAsia="Times New Roman" w:hAnsi="Times New Roman" w:cs="Times New Roman"/>
          <w:sz w:val="24"/>
        </w:rPr>
        <w:t>Infect Dis J. 2010;29(6):524-529. doi:10.1097/INF</w:t>
      </w:r>
      <w:r>
        <w:rPr>
          <w:rFonts w:ascii="Times New Roman" w:eastAsia="Times New Roman" w:hAnsi="Times New Roman" w:cs="Times New Roman"/>
          <w:sz w:val="24"/>
        </w:rPr>
        <w:t xml:space="preserve">.0b013e3181cdd178 </w:t>
      </w:r>
    </w:p>
    <w:p w:rsidR="005A3F38" w:rsidRDefault="003114B5">
      <w:pPr>
        <w:numPr>
          <w:ilvl w:val="0"/>
          <w:numId w:val="27"/>
        </w:numPr>
        <w:spacing w:after="0" w:line="364" w:lineRule="auto"/>
        <w:ind w:right="11" w:hanging="708"/>
      </w:pPr>
      <w:r>
        <w:rPr>
          <w:rFonts w:ascii="Times New Roman" w:eastAsia="Times New Roman" w:hAnsi="Times New Roman" w:cs="Times New Roman"/>
          <w:sz w:val="24"/>
        </w:rPr>
        <w:t xml:space="preserve">Chiappini E, Venturini E, Remaschi G, et al. 2016 Update of the Italian Pediatric Society Guidelines for Management of Fever in Children. J Pediatr. 2017;180:177-183.e1. </w:t>
      </w:r>
    </w:p>
    <w:p w:rsidR="005A3F38" w:rsidRDefault="003114B5">
      <w:pPr>
        <w:spacing w:after="152" w:line="249" w:lineRule="auto"/>
        <w:ind w:left="355" w:right="11" w:hanging="10"/>
      </w:pPr>
      <w:r>
        <w:rPr>
          <w:rFonts w:ascii="Times New Roman" w:eastAsia="Times New Roman" w:hAnsi="Times New Roman" w:cs="Times New Roman"/>
          <w:sz w:val="24"/>
        </w:rPr>
        <w:t xml:space="preserve">doi:10.1016/j.jpeds.2016.09.043 </w:t>
      </w:r>
    </w:p>
    <w:p w:rsidR="005A3F38" w:rsidRDefault="003114B5">
      <w:pPr>
        <w:numPr>
          <w:ilvl w:val="0"/>
          <w:numId w:val="27"/>
        </w:numPr>
        <w:spacing w:after="0" w:line="364" w:lineRule="auto"/>
        <w:ind w:right="11" w:hanging="708"/>
      </w:pPr>
      <w:r>
        <w:rPr>
          <w:rFonts w:ascii="Times New Roman" w:eastAsia="Times New Roman" w:hAnsi="Times New Roman" w:cs="Times New Roman"/>
          <w:sz w:val="24"/>
        </w:rPr>
        <w:t>Tomidis Chatzimanouil MK, Goppelt</w:t>
      </w:r>
      <w:r>
        <w:rPr>
          <w:rFonts w:ascii="Times New Roman" w:eastAsia="Times New Roman" w:hAnsi="Times New Roman" w:cs="Times New Roman"/>
          <w:sz w:val="24"/>
        </w:rPr>
        <w:t xml:space="preserve"> I, Zeissig Y, Sachs UJ, Laass MW. Metamizole-induced agranulocytosis (MIA): a mini review. Mol Cell Pediatr. 2023 Aug 17;10(1):6. doi: 10.1186/s40348-023-</w:t>
      </w:r>
    </w:p>
    <w:p w:rsidR="005A3F38" w:rsidRDefault="003114B5">
      <w:pPr>
        <w:spacing w:after="155" w:line="249" w:lineRule="auto"/>
        <w:ind w:left="355" w:right="11" w:hanging="10"/>
      </w:pPr>
      <w:r>
        <w:rPr>
          <w:rFonts w:ascii="Times New Roman" w:eastAsia="Times New Roman" w:hAnsi="Times New Roman" w:cs="Times New Roman"/>
          <w:sz w:val="24"/>
        </w:rPr>
        <w:t xml:space="preserve">00160-8. PMID: 37589909; PMCID: PMC10435429 </w:t>
      </w:r>
    </w:p>
    <w:p w:rsidR="005A3F38" w:rsidRDefault="003114B5">
      <w:pPr>
        <w:numPr>
          <w:ilvl w:val="0"/>
          <w:numId w:val="27"/>
        </w:numPr>
        <w:spacing w:after="119"/>
        <w:ind w:right="11" w:hanging="708"/>
      </w:pPr>
      <w:r>
        <w:rPr>
          <w:rFonts w:ascii="Times New Roman" w:eastAsia="Times New Roman" w:hAnsi="Times New Roman" w:cs="Times New Roman"/>
          <w:sz w:val="24"/>
        </w:rPr>
        <w:t>Cismaru AL, Rudin D, Ibañez L, Liakoni E, Bonadies N, K</w:t>
      </w:r>
      <w:r>
        <w:rPr>
          <w:rFonts w:ascii="Times New Roman" w:eastAsia="Times New Roman" w:hAnsi="Times New Roman" w:cs="Times New Roman"/>
          <w:sz w:val="24"/>
        </w:rPr>
        <w:t xml:space="preserve">reutz R, Carvajal A, Lucena MI, Martin </w:t>
      </w:r>
    </w:p>
    <w:p w:rsidR="005A3F38" w:rsidRDefault="003114B5">
      <w:pPr>
        <w:spacing w:after="115"/>
        <w:ind w:left="355" w:right="2" w:hanging="10"/>
        <w:jc w:val="both"/>
      </w:pPr>
      <w:r>
        <w:rPr>
          <w:rFonts w:ascii="Times New Roman" w:eastAsia="Times New Roman" w:hAnsi="Times New Roman" w:cs="Times New Roman"/>
          <w:sz w:val="24"/>
        </w:rPr>
        <w:t xml:space="preserve">J, Sancho Ponce E, Molokhia M, Eriksson N, EuDAC Collaborators, Krähenbühl S, Largiadèr CR, </w:t>
      </w:r>
    </w:p>
    <w:p w:rsidR="005A3F38" w:rsidRDefault="003114B5">
      <w:pPr>
        <w:spacing w:after="2" w:line="356" w:lineRule="auto"/>
        <w:ind w:left="355" w:right="11" w:hanging="10"/>
      </w:pPr>
      <w:r>
        <w:rPr>
          <w:rFonts w:ascii="Times New Roman" w:eastAsia="Times New Roman" w:hAnsi="Times New Roman" w:cs="Times New Roman"/>
          <w:sz w:val="24"/>
        </w:rPr>
        <w:t>Haschke M, Hallberg P, Wadelius M, Amstutz U. Genome-Wide Association Study of MetamizoleInduced Agranulocytosis in Europea</w:t>
      </w:r>
      <w:r>
        <w:rPr>
          <w:rFonts w:ascii="Times New Roman" w:eastAsia="Times New Roman" w:hAnsi="Times New Roman" w:cs="Times New Roman"/>
          <w:sz w:val="24"/>
        </w:rPr>
        <w:t xml:space="preserve">n Populations. Genes (Basel). 2020 Oct 29;11(11):1275.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10.3390/genes11111275. PMID: 33138277; PMCID: PMC7716224 </w:t>
      </w:r>
    </w:p>
    <w:p w:rsidR="005A3F38" w:rsidRDefault="003114B5">
      <w:pPr>
        <w:numPr>
          <w:ilvl w:val="0"/>
          <w:numId w:val="27"/>
        </w:numPr>
        <w:spacing w:after="0" w:line="364" w:lineRule="auto"/>
        <w:ind w:right="11" w:hanging="708"/>
      </w:pPr>
      <w:r>
        <w:rPr>
          <w:rFonts w:ascii="Times New Roman" w:eastAsia="Times New Roman" w:hAnsi="Times New Roman" w:cs="Times New Roman"/>
          <w:sz w:val="24"/>
        </w:rPr>
        <w:t>Brüne B, Sonderer S, Bösing M, Hübner S, Dongre K, Späni S, Holboro A, Leuppi JD, LeuppiTaegtmeyer AB. Assessing potential risk factors f</w:t>
      </w:r>
      <w:r>
        <w:rPr>
          <w:rFonts w:ascii="Times New Roman" w:eastAsia="Times New Roman" w:hAnsi="Times New Roman" w:cs="Times New Roman"/>
          <w:sz w:val="24"/>
        </w:rPr>
        <w:t xml:space="preserve">or metamizole-induced leukopenia. Ther Adv Drug Saf. </w:t>
      </w:r>
    </w:p>
    <w:p w:rsidR="005A3F38" w:rsidRDefault="003114B5">
      <w:pPr>
        <w:spacing w:after="155" w:line="249" w:lineRule="auto"/>
        <w:ind w:left="355" w:right="11" w:hanging="10"/>
      </w:pPr>
      <w:r>
        <w:rPr>
          <w:rFonts w:ascii="Times New Roman" w:eastAsia="Times New Roman" w:hAnsi="Times New Roman" w:cs="Times New Roman"/>
          <w:sz w:val="24"/>
        </w:rPr>
        <w:t xml:space="preserve">2024 Sep 18;15:20420986241275255. doi: 10.1177/20420986241275255 </w:t>
      </w:r>
    </w:p>
    <w:p w:rsidR="005A3F38" w:rsidRDefault="003114B5">
      <w:pPr>
        <w:numPr>
          <w:ilvl w:val="0"/>
          <w:numId w:val="28"/>
        </w:numPr>
        <w:spacing w:after="119"/>
        <w:ind w:right="11" w:hanging="708"/>
      </w:pPr>
      <w:r>
        <w:rPr>
          <w:rFonts w:ascii="Times New Roman" w:eastAsia="Times New Roman" w:hAnsi="Times New Roman" w:cs="Times New Roman"/>
          <w:sz w:val="24"/>
        </w:rPr>
        <w:t xml:space="preserve">Kılıç Ö, İşeri Nepesov M, Ulukapı HB, Özdemir ZC, Bör Ö, Dinleyici EÇ. Paediatric </w:t>
      </w:r>
    </w:p>
    <w:p w:rsidR="005A3F38" w:rsidRDefault="003114B5">
      <w:pPr>
        <w:spacing w:after="128" w:line="249" w:lineRule="auto"/>
        <w:ind w:left="355" w:right="11" w:hanging="10"/>
      </w:pPr>
      <w:r>
        <w:rPr>
          <w:rFonts w:ascii="Times New Roman" w:eastAsia="Times New Roman" w:hAnsi="Times New Roman" w:cs="Times New Roman"/>
          <w:sz w:val="24"/>
        </w:rPr>
        <w:t xml:space="preserve">Agranulocytosis Associated with Metamizole Treatment. Paediatr Drugs. 2021 Jan;23(1):105-110.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10.1007/s40272-020-00431-1,  </w:t>
      </w:r>
    </w:p>
    <w:p w:rsidR="005A3F38" w:rsidRDefault="003114B5">
      <w:pPr>
        <w:numPr>
          <w:ilvl w:val="0"/>
          <w:numId w:val="28"/>
        </w:numPr>
        <w:spacing w:after="26" w:line="360" w:lineRule="auto"/>
        <w:ind w:right="11" w:hanging="708"/>
      </w:pPr>
      <w:r>
        <w:rPr>
          <w:rFonts w:ascii="Times New Roman" w:eastAsia="Times New Roman" w:hAnsi="Times New Roman" w:cs="Times New Roman"/>
          <w:sz w:val="24"/>
        </w:rPr>
        <w:t xml:space="preserve">Measures to minimise serious outcomes of known side effect with painkiller  etamizole </w:t>
      </w:r>
      <w:hyperlink r:id="rId59">
        <w:r>
          <w:rPr>
            <w:rFonts w:ascii="Times New Roman" w:eastAsia="Times New Roman" w:hAnsi="Times New Roman" w:cs="Times New Roman"/>
            <w:color w:val="0000FF"/>
            <w:sz w:val="24"/>
            <w:u w:val="single" w:color="0000FF"/>
          </w:rPr>
          <w:t>https://www.ema.europa.eu</w:t>
        </w:r>
      </w:hyperlink>
      <w:hyperlink r:id="rId60">
        <w:r>
          <w:rPr>
            <w:rFonts w:ascii="Times New Roman" w:eastAsia="Times New Roman" w:hAnsi="Times New Roman" w:cs="Times New Roman"/>
            <w:sz w:val="24"/>
          </w:rPr>
          <w:t xml:space="preserve"> </w:t>
        </w:r>
      </w:hyperlink>
      <w:r>
        <w:rPr>
          <w:rFonts w:ascii="Times New Roman" w:eastAsia="Times New Roman" w:hAnsi="Times New Roman" w:cs="Times New Roman"/>
          <w:sz w:val="24"/>
        </w:rPr>
        <w:t>(https://www.ema.europa.eu/en/documents/refe</w:t>
      </w:r>
      <w:r>
        <w:rPr>
          <w:rFonts w:ascii="Times New Roman" w:eastAsia="Times New Roman" w:hAnsi="Times New Roman" w:cs="Times New Roman"/>
          <w:sz w:val="24"/>
        </w:rPr>
        <w:t xml:space="preserve">rral/metamizole-containingmedicinal-products-article-107i-referral-measures-minimise-serious-outcomes-known-side-effectpainkiller-metamizole_en.pdf) </w:t>
      </w:r>
    </w:p>
    <w:p w:rsidR="005A3F38" w:rsidRDefault="003114B5">
      <w:pPr>
        <w:numPr>
          <w:ilvl w:val="0"/>
          <w:numId w:val="28"/>
        </w:numPr>
        <w:spacing w:after="128" w:line="249" w:lineRule="auto"/>
        <w:ind w:right="11" w:hanging="708"/>
      </w:pPr>
      <w:r>
        <w:rPr>
          <w:rFonts w:ascii="Times New Roman" w:eastAsia="Times New Roman" w:hAnsi="Times New Roman" w:cs="Times New Roman"/>
          <w:sz w:val="24"/>
        </w:rPr>
        <w:t>Guideline: Updates on Paediatric Emergency Triage, Assessment and Treatment: Care of Critically-</w:t>
      </w:r>
    </w:p>
    <w:p w:rsidR="005A3F38" w:rsidRDefault="003114B5">
      <w:pPr>
        <w:spacing w:after="152" w:line="249" w:lineRule="auto"/>
        <w:ind w:left="355" w:right="11" w:hanging="10"/>
      </w:pPr>
      <w:r>
        <w:rPr>
          <w:rFonts w:ascii="Times New Roman" w:eastAsia="Times New Roman" w:hAnsi="Times New Roman" w:cs="Times New Roman"/>
          <w:sz w:val="24"/>
        </w:rPr>
        <w:t>Ill Child</w:t>
      </w:r>
      <w:r>
        <w:rPr>
          <w:rFonts w:ascii="Times New Roman" w:eastAsia="Times New Roman" w:hAnsi="Times New Roman" w:cs="Times New Roman"/>
          <w:sz w:val="24"/>
        </w:rPr>
        <w:t xml:space="preserve">ren. Geneva: World Health Organization; 2016. PMID: 27010047 </w:t>
      </w:r>
    </w:p>
    <w:p w:rsidR="005A3F38" w:rsidRDefault="003114B5">
      <w:pPr>
        <w:numPr>
          <w:ilvl w:val="0"/>
          <w:numId w:val="28"/>
        </w:numPr>
        <w:spacing w:after="0" w:line="364" w:lineRule="auto"/>
        <w:ind w:right="11" w:hanging="708"/>
      </w:pPr>
      <w:r>
        <w:rPr>
          <w:rFonts w:ascii="Times New Roman" w:eastAsia="Times New Roman" w:hAnsi="Times New Roman" w:cs="Times New Roman"/>
          <w:sz w:val="24"/>
        </w:rPr>
        <w:t xml:space="preserve">Robertson A, Coutinho G, Mantzourani E, Szomolay B, Pillay T, Shephard A, Maillard JY. Overthe-counter antibiotics compromising aminoglycoside activity. J Antimicrob Chemother. 2025 Jan </w:t>
      </w:r>
    </w:p>
    <w:p w:rsidR="005A3F38" w:rsidRDefault="003114B5">
      <w:pPr>
        <w:spacing w:after="155" w:line="249" w:lineRule="auto"/>
        <w:ind w:left="355" w:right="11" w:hanging="10"/>
      </w:pPr>
      <w:r>
        <w:rPr>
          <w:rFonts w:ascii="Times New Roman" w:eastAsia="Times New Roman" w:hAnsi="Times New Roman" w:cs="Times New Roman"/>
          <w:sz w:val="24"/>
        </w:rPr>
        <w:t>3;80(1)</w:t>
      </w:r>
      <w:r>
        <w:rPr>
          <w:rFonts w:ascii="Times New Roman" w:eastAsia="Times New Roman" w:hAnsi="Times New Roman" w:cs="Times New Roman"/>
          <w:sz w:val="24"/>
        </w:rPr>
        <w:t xml:space="preserve">:87-94. doi: 10.1093/jac/dkae376. PMID: 39471310; PMCID: PMC11695918 </w:t>
      </w:r>
    </w:p>
    <w:p w:rsidR="005A3F38" w:rsidRDefault="003114B5">
      <w:pPr>
        <w:numPr>
          <w:ilvl w:val="0"/>
          <w:numId w:val="28"/>
        </w:numPr>
        <w:spacing w:after="25" w:line="360" w:lineRule="auto"/>
        <w:ind w:right="11" w:hanging="708"/>
      </w:pPr>
      <w:r>
        <w:rPr>
          <w:rFonts w:ascii="Times New Roman" w:eastAsia="Times New Roman" w:hAnsi="Times New Roman" w:cs="Times New Roman"/>
          <w:sz w:val="24"/>
        </w:rPr>
        <w:t>Wesgate R, Evangelista C, Atkinson R, Shepard A, Adegoke O, Maillard JY. Understanding the risk of emerging bacterial resistance to over the counter antibiotics in topical sore throat me</w:t>
      </w:r>
      <w:r>
        <w:rPr>
          <w:rFonts w:ascii="Times New Roman" w:eastAsia="Times New Roman" w:hAnsi="Times New Roman" w:cs="Times New Roman"/>
          <w:sz w:val="24"/>
        </w:rPr>
        <w:t xml:space="preserve">dicines. J Appl Microbiol. 2020 Oct;129(4):916-925. doi: 10.1111/jam.14682. Epub 2020 May 26. PMID: 32352619 </w:t>
      </w:r>
    </w:p>
    <w:p w:rsidR="005A3F38" w:rsidRDefault="003114B5">
      <w:pPr>
        <w:numPr>
          <w:ilvl w:val="0"/>
          <w:numId w:val="28"/>
        </w:numPr>
        <w:spacing w:after="0" w:line="364" w:lineRule="auto"/>
        <w:ind w:right="11" w:hanging="708"/>
      </w:pPr>
      <w:r>
        <w:rPr>
          <w:rFonts w:ascii="Times New Roman" w:eastAsia="Times New Roman" w:hAnsi="Times New Roman" w:cs="Times New Roman"/>
          <w:sz w:val="24"/>
        </w:rPr>
        <w:t xml:space="preserve">Julia Robinson Antibiotic OTC treatments for sore throat could be fuelling antimicrobial resistance, researchers warn The Pharmaceutical Journal, </w:t>
      </w:r>
      <w:r>
        <w:rPr>
          <w:rFonts w:ascii="Times New Roman" w:eastAsia="Times New Roman" w:hAnsi="Times New Roman" w:cs="Times New Roman"/>
          <w:sz w:val="24"/>
        </w:rPr>
        <w:t xml:space="preserve">PJ, April 2019, Vol 302, No </w:t>
      </w:r>
    </w:p>
    <w:p w:rsidR="005A3F38" w:rsidRDefault="003114B5">
      <w:pPr>
        <w:spacing w:after="155" w:line="249" w:lineRule="auto"/>
        <w:ind w:left="355" w:right="11" w:hanging="10"/>
      </w:pPr>
      <w:r>
        <w:rPr>
          <w:rFonts w:ascii="Times New Roman" w:eastAsia="Times New Roman" w:hAnsi="Times New Roman" w:cs="Times New Roman"/>
          <w:sz w:val="24"/>
        </w:rPr>
        <w:t xml:space="preserve">7924;302(7924):DOI:10.1211/PJ.2019.20206417 </w:t>
      </w:r>
    </w:p>
    <w:p w:rsidR="005A3F38" w:rsidRDefault="003114B5">
      <w:pPr>
        <w:numPr>
          <w:ilvl w:val="0"/>
          <w:numId w:val="28"/>
        </w:numPr>
        <w:spacing w:after="128" w:line="249" w:lineRule="auto"/>
        <w:ind w:right="11" w:hanging="708"/>
      </w:pPr>
      <w:r>
        <w:rPr>
          <w:rFonts w:ascii="Times New Roman" w:eastAsia="Times New Roman" w:hAnsi="Times New Roman" w:cs="Times New Roman"/>
          <w:sz w:val="24"/>
        </w:rPr>
        <w:t xml:space="preserve">Angjelova A, Jovanova E, Polizzi A, Leonardi R, Isola G. Effects of Antiseptic Formulations on </w:t>
      </w:r>
    </w:p>
    <w:p w:rsidR="005A3F38" w:rsidRDefault="003114B5">
      <w:pPr>
        <w:spacing w:after="128" w:line="249" w:lineRule="auto"/>
        <w:ind w:left="355" w:right="11" w:hanging="10"/>
      </w:pPr>
      <w:r>
        <w:rPr>
          <w:rFonts w:ascii="Times New Roman" w:eastAsia="Times New Roman" w:hAnsi="Times New Roman" w:cs="Times New Roman"/>
          <w:sz w:val="24"/>
        </w:rPr>
        <w:t xml:space="preserve">Oral Microbiota and Related Systemic Diseases: A Scoping Review. Antibiotics </w:t>
      </w:r>
      <w:r>
        <w:rPr>
          <w:rFonts w:ascii="Times New Roman" w:eastAsia="Times New Roman" w:hAnsi="Times New Roman" w:cs="Times New Roman"/>
          <w:sz w:val="24"/>
        </w:rPr>
        <w:t xml:space="preserve">(Basel). 2025 Aug </w:t>
      </w:r>
    </w:p>
    <w:p w:rsidR="005A3F38" w:rsidRDefault="003114B5">
      <w:pPr>
        <w:spacing w:after="0" w:line="373" w:lineRule="auto"/>
        <w:ind w:left="355" w:right="795" w:hanging="10"/>
      </w:pPr>
      <w:r>
        <w:rPr>
          <w:rFonts w:ascii="Times New Roman" w:eastAsia="Times New Roman" w:hAnsi="Times New Roman" w:cs="Times New Roman"/>
          <w:sz w:val="24"/>
        </w:rPr>
        <w:t>8;14(8):815. doi: 10.3390/antibiotics14080815. PMID: 40868009; PMCID: PMC12382659 92.</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Garrido L, Lyra P, Rodrigues J, Viana J, Mendes JJ, Barroso H. Revisiting Oral Antiseptics, Microorganism Targets and Effectiveness. J Pers Med. 2023 </w:t>
      </w:r>
      <w:r>
        <w:rPr>
          <w:rFonts w:ascii="Times New Roman" w:eastAsia="Times New Roman" w:hAnsi="Times New Roman" w:cs="Times New Roman"/>
          <w:sz w:val="24"/>
        </w:rPr>
        <w:t xml:space="preserve">Aug 29;13(9):1332.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10.3390/jpm13091332. PMID: 37763100; PMCID: PMC10532628. </w:t>
      </w:r>
    </w:p>
    <w:p w:rsidR="005A3F38" w:rsidRDefault="003114B5">
      <w:pPr>
        <w:numPr>
          <w:ilvl w:val="0"/>
          <w:numId w:val="29"/>
        </w:numPr>
        <w:spacing w:after="20" w:line="366" w:lineRule="auto"/>
        <w:ind w:hanging="10"/>
      </w:pPr>
      <w:r>
        <w:rPr>
          <w:rFonts w:ascii="Times New Roman" w:eastAsia="Times New Roman" w:hAnsi="Times New Roman" w:cs="Times New Roman"/>
          <w:sz w:val="24"/>
        </w:rPr>
        <w:t>Никифорова Г.Н., Свистушкин В.М., Биданова Д.Б., Волкова К.Б. Эффективность применения комплексных топических препаратов у пациентов с воспалительными заболеваниями глотки /</w:t>
      </w:r>
      <w:r>
        <w:rPr>
          <w:rFonts w:ascii="Times New Roman" w:eastAsia="Times New Roman" w:hAnsi="Times New Roman" w:cs="Times New Roman"/>
          <w:sz w:val="24"/>
        </w:rPr>
        <w:t xml:space="preserve">/ Медицинский Совет ЛОР №8 2017. С.8-12 </w:t>
      </w:r>
    </w:p>
    <w:p w:rsidR="005A3F38" w:rsidRDefault="003114B5">
      <w:pPr>
        <w:numPr>
          <w:ilvl w:val="0"/>
          <w:numId w:val="29"/>
        </w:numPr>
        <w:spacing w:after="20" w:line="366" w:lineRule="auto"/>
        <w:ind w:hanging="10"/>
      </w:pPr>
      <w:r>
        <w:rPr>
          <w:rFonts w:ascii="Times New Roman" w:eastAsia="Times New Roman" w:hAnsi="Times New Roman" w:cs="Times New Roman"/>
          <w:sz w:val="24"/>
        </w:rPr>
        <w:t>Захарова И. Н., Геппе Н. А., Сугян Н. Г., Денисова А. Р., Бережная И. В. Топические этиотропные препараты в терапии инфекционно-воспалительных заболеваний глотки у детей дошкольного возраста. Результаты многоцентров</w:t>
      </w:r>
      <w:r>
        <w:rPr>
          <w:rFonts w:ascii="Times New Roman" w:eastAsia="Times New Roman" w:hAnsi="Times New Roman" w:cs="Times New Roman"/>
          <w:sz w:val="24"/>
        </w:rPr>
        <w:t xml:space="preserve">ого рандомизированного клинического исследования. Российская оториноларингология. 2021;20(1):102–117. </w:t>
      </w:r>
      <w:hyperlink r:id="rId61">
        <w:r>
          <w:rPr>
            <w:rFonts w:ascii="Times New Roman" w:eastAsia="Times New Roman" w:hAnsi="Times New Roman" w:cs="Times New Roman"/>
            <w:color w:val="0000FF"/>
            <w:sz w:val="24"/>
            <w:u w:val="single" w:color="0000FF"/>
          </w:rPr>
          <w:t>https://doi.org/10.18692/1810</w:t>
        </w:r>
      </w:hyperlink>
      <w:hyperlink r:id="rId62"/>
      <w:hyperlink r:id="rId63">
        <w:r>
          <w:rPr>
            <w:rFonts w:ascii="Times New Roman" w:eastAsia="Times New Roman" w:hAnsi="Times New Roman" w:cs="Times New Roman"/>
            <w:color w:val="0000FF"/>
            <w:sz w:val="24"/>
            <w:u w:val="single" w:color="0000FF"/>
          </w:rPr>
          <w:t>4800</w:t>
        </w:r>
      </w:hyperlink>
      <w:hyperlink r:id="rId64">
        <w:r>
          <w:rPr>
            <w:rFonts w:ascii="Times New Roman" w:eastAsia="Times New Roman" w:hAnsi="Times New Roman" w:cs="Times New Roman"/>
            <w:color w:val="0000FF"/>
            <w:sz w:val="24"/>
            <w:u w:val="single" w:color="0000FF"/>
          </w:rPr>
          <w:t>-</w:t>
        </w:r>
      </w:hyperlink>
      <w:hyperlink r:id="rId65">
        <w:r>
          <w:rPr>
            <w:rFonts w:ascii="Times New Roman" w:eastAsia="Times New Roman" w:hAnsi="Times New Roman" w:cs="Times New Roman"/>
            <w:color w:val="0000FF"/>
            <w:sz w:val="24"/>
            <w:u w:val="single" w:color="0000FF"/>
          </w:rPr>
          <w:t>2021</w:t>
        </w:r>
      </w:hyperlink>
      <w:hyperlink r:id="rId66">
        <w:r>
          <w:rPr>
            <w:rFonts w:ascii="Times New Roman" w:eastAsia="Times New Roman" w:hAnsi="Times New Roman" w:cs="Times New Roman"/>
            <w:color w:val="0000FF"/>
            <w:sz w:val="24"/>
            <w:u w:val="single" w:color="0000FF"/>
          </w:rPr>
          <w:t>-</w:t>
        </w:r>
      </w:hyperlink>
      <w:hyperlink r:id="rId67">
        <w:r>
          <w:rPr>
            <w:rFonts w:ascii="Times New Roman" w:eastAsia="Times New Roman" w:hAnsi="Times New Roman" w:cs="Times New Roman"/>
            <w:color w:val="0000FF"/>
            <w:sz w:val="24"/>
            <w:u w:val="single" w:color="0000FF"/>
          </w:rPr>
          <w:t>1</w:t>
        </w:r>
      </w:hyperlink>
      <w:hyperlink r:id="rId68">
        <w:r>
          <w:rPr>
            <w:rFonts w:ascii="Times New Roman" w:eastAsia="Times New Roman" w:hAnsi="Times New Roman" w:cs="Times New Roman"/>
            <w:color w:val="0000FF"/>
            <w:sz w:val="24"/>
            <w:u w:val="single" w:color="0000FF"/>
          </w:rPr>
          <w:t>-</w:t>
        </w:r>
      </w:hyperlink>
      <w:hyperlink r:id="rId69">
        <w:r>
          <w:rPr>
            <w:rFonts w:ascii="Times New Roman" w:eastAsia="Times New Roman" w:hAnsi="Times New Roman" w:cs="Times New Roman"/>
            <w:color w:val="0000FF"/>
            <w:sz w:val="24"/>
            <w:u w:val="single" w:color="0000FF"/>
          </w:rPr>
          <w:t>102</w:t>
        </w:r>
      </w:hyperlink>
      <w:hyperlink r:id="rId70">
        <w:r>
          <w:rPr>
            <w:rFonts w:ascii="Times New Roman" w:eastAsia="Times New Roman" w:hAnsi="Times New Roman" w:cs="Times New Roman"/>
            <w:color w:val="0000FF"/>
            <w:sz w:val="24"/>
            <w:u w:val="single" w:color="0000FF"/>
          </w:rPr>
          <w:t>-</w:t>
        </w:r>
      </w:hyperlink>
      <w:hyperlink r:id="rId71">
        <w:r>
          <w:rPr>
            <w:rFonts w:ascii="Times New Roman" w:eastAsia="Times New Roman" w:hAnsi="Times New Roman" w:cs="Times New Roman"/>
            <w:color w:val="0000FF"/>
            <w:sz w:val="24"/>
            <w:u w:val="single" w:color="0000FF"/>
          </w:rPr>
          <w:t>117</w:t>
        </w:r>
      </w:hyperlink>
      <w:hyperlink r:id="rId72">
        <w:r>
          <w:rPr>
            <w:rFonts w:ascii="Times New Roman" w:eastAsia="Times New Roman" w:hAnsi="Times New Roman" w:cs="Times New Roman"/>
            <w:sz w:val="24"/>
          </w:rPr>
          <w:t xml:space="preserve"> </w:t>
        </w:r>
      </w:hyperlink>
    </w:p>
    <w:p w:rsidR="005A3F38" w:rsidRDefault="003114B5">
      <w:pPr>
        <w:numPr>
          <w:ilvl w:val="0"/>
          <w:numId w:val="29"/>
        </w:numPr>
        <w:spacing w:after="0" w:line="364" w:lineRule="auto"/>
        <w:ind w:hanging="10"/>
      </w:pPr>
      <w:r>
        <w:rPr>
          <w:rFonts w:ascii="Times New Roman" w:eastAsia="Times New Roman" w:hAnsi="Times New Roman" w:cs="Times New Roman"/>
          <w:sz w:val="24"/>
        </w:rPr>
        <w:t>Essack S, Bell J, B</w:t>
      </w:r>
      <w:r>
        <w:rPr>
          <w:rFonts w:ascii="Times New Roman" w:eastAsia="Times New Roman" w:hAnsi="Times New Roman" w:cs="Times New Roman"/>
          <w:sz w:val="24"/>
        </w:rPr>
        <w:t>urgoyne DS, Duerden M, Shephard A. Topical (local) antibiotics for respiratory infections with sore throat: An antibiotic stewardship perspective. J Clin Pharm Ther. 2019 Dec;44(6):829-</w:t>
      </w:r>
    </w:p>
    <w:p w:rsidR="005A3F38" w:rsidRDefault="003114B5">
      <w:pPr>
        <w:spacing w:after="155" w:line="249" w:lineRule="auto"/>
        <w:ind w:left="355" w:right="11" w:hanging="10"/>
      </w:pPr>
      <w:r>
        <w:rPr>
          <w:rFonts w:ascii="Times New Roman" w:eastAsia="Times New Roman" w:hAnsi="Times New Roman" w:cs="Times New Roman"/>
          <w:sz w:val="24"/>
        </w:rPr>
        <w:t>837. doi: 10.1111/jcpt.13012. Epub 2019 Aug 13. PMID: 31407824; PMCID:</w:t>
      </w:r>
      <w:r>
        <w:rPr>
          <w:rFonts w:ascii="Times New Roman" w:eastAsia="Times New Roman" w:hAnsi="Times New Roman" w:cs="Times New Roman"/>
          <w:sz w:val="24"/>
        </w:rPr>
        <w:t xml:space="preserve"> PMC6899613 </w:t>
      </w:r>
    </w:p>
    <w:p w:rsidR="005A3F38" w:rsidRDefault="003114B5">
      <w:pPr>
        <w:numPr>
          <w:ilvl w:val="0"/>
          <w:numId w:val="30"/>
        </w:numPr>
        <w:spacing w:after="0" w:line="362" w:lineRule="auto"/>
        <w:ind w:right="11" w:hanging="708"/>
      </w:pPr>
      <w:r>
        <w:rPr>
          <w:rFonts w:ascii="Times New Roman" w:eastAsia="Times New Roman" w:hAnsi="Times New Roman" w:cs="Times New Roman"/>
          <w:sz w:val="24"/>
        </w:rPr>
        <w:t xml:space="preserve">Zanasi A, Lanata L, Fontana G, Saibene F, Dicpinigaitis P, De Blasio F. Levodropropizine for treating cough in adult and children: a meta-analysis of published studies. Multidiscip Respir Med. 2015 </w:t>
      </w:r>
    </w:p>
    <w:p w:rsidR="005A3F38" w:rsidRDefault="003114B5">
      <w:pPr>
        <w:spacing w:after="152" w:line="249" w:lineRule="auto"/>
        <w:ind w:left="355" w:right="11" w:hanging="10"/>
      </w:pPr>
      <w:r>
        <w:rPr>
          <w:rFonts w:ascii="Times New Roman" w:eastAsia="Times New Roman" w:hAnsi="Times New Roman" w:cs="Times New Roman"/>
          <w:sz w:val="24"/>
        </w:rPr>
        <w:t>May 31;10(1):19. doi: 10.1186/s40248-015-001</w:t>
      </w:r>
      <w:r>
        <w:rPr>
          <w:rFonts w:ascii="Times New Roman" w:eastAsia="Times New Roman" w:hAnsi="Times New Roman" w:cs="Times New Roman"/>
          <w:sz w:val="24"/>
        </w:rPr>
        <w:t xml:space="preserve">4-3. PMID: 26097707; PMCID: PMC4472410 </w:t>
      </w:r>
    </w:p>
    <w:p w:rsidR="005A3F38" w:rsidRDefault="003114B5">
      <w:pPr>
        <w:numPr>
          <w:ilvl w:val="0"/>
          <w:numId w:val="30"/>
        </w:numPr>
        <w:spacing w:after="128" w:line="249" w:lineRule="auto"/>
        <w:ind w:right="11" w:hanging="708"/>
      </w:pPr>
      <w:r>
        <w:rPr>
          <w:rFonts w:ascii="Times New Roman" w:eastAsia="Times New Roman" w:hAnsi="Times New Roman" w:cs="Times New Roman"/>
          <w:sz w:val="24"/>
        </w:rPr>
        <w:t xml:space="preserve">Balsamo R, Lanata L, Egan CG. Mucoactive drugs. Eur Respir Rev. 2010 Jun;19(116):127-33.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10.1183/09059180.00003510. PMID: 20956181; PMCID: PMC9682576. </w:t>
      </w:r>
    </w:p>
    <w:p w:rsidR="005A3F38" w:rsidRDefault="003114B5">
      <w:pPr>
        <w:numPr>
          <w:ilvl w:val="0"/>
          <w:numId w:val="30"/>
        </w:numPr>
        <w:spacing w:after="0" w:line="364" w:lineRule="auto"/>
        <w:ind w:right="11" w:hanging="708"/>
      </w:pPr>
      <w:r>
        <w:rPr>
          <w:rFonts w:ascii="Times New Roman" w:eastAsia="Times New Roman" w:hAnsi="Times New Roman" w:cs="Times New Roman"/>
          <w:sz w:val="24"/>
        </w:rPr>
        <w:t xml:space="preserve">Roveta A.M., Debbia E.A., Schito G.C., Marchese A. Comparison of the activity of Nacetylcysteine, Ambroxol, Bromexine and Sobrelol on Staphylococcus aureus biofilms//GIMMOC.2004. </w:t>
      </w:r>
    </w:p>
    <w:p w:rsidR="005A3F38" w:rsidRDefault="003114B5">
      <w:pPr>
        <w:spacing w:after="155" w:line="249" w:lineRule="auto"/>
        <w:ind w:left="355" w:right="11" w:hanging="10"/>
      </w:pPr>
      <w:r>
        <w:rPr>
          <w:rFonts w:ascii="Times New Roman" w:eastAsia="Times New Roman" w:hAnsi="Times New Roman" w:cs="Times New Roman"/>
          <w:sz w:val="24"/>
        </w:rPr>
        <w:t xml:space="preserve">Vol.8, p.1-12 </w:t>
      </w:r>
    </w:p>
    <w:p w:rsidR="005A3F38" w:rsidRDefault="003114B5">
      <w:pPr>
        <w:numPr>
          <w:ilvl w:val="0"/>
          <w:numId w:val="30"/>
        </w:numPr>
        <w:spacing w:after="119"/>
        <w:ind w:right="11" w:hanging="708"/>
      </w:pPr>
      <w:r>
        <w:rPr>
          <w:rFonts w:ascii="Times New Roman" w:eastAsia="Times New Roman" w:hAnsi="Times New Roman" w:cs="Times New Roman"/>
          <w:sz w:val="24"/>
        </w:rPr>
        <w:t>Wopker PM, Schwermer M, Sommer S, Längler A, Fetz K, Osterman</w:t>
      </w:r>
      <w:r>
        <w:rPr>
          <w:rFonts w:ascii="Times New Roman" w:eastAsia="Times New Roman" w:hAnsi="Times New Roman" w:cs="Times New Roman"/>
          <w:sz w:val="24"/>
        </w:rPr>
        <w:t xml:space="preserve">n T, Zuzak TJ. </w:t>
      </w:r>
    </w:p>
    <w:p w:rsidR="005A3F38" w:rsidRDefault="003114B5">
      <w:pPr>
        <w:spacing w:after="31" w:line="357" w:lineRule="auto"/>
        <w:ind w:left="355" w:right="11" w:hanging="10"/>
      </w:pPr>
      <w:r>
        <w:rPr>
          <w:rFonts w:ascii="Times New Roman" w:eastAsia="Times New Roman" w:hAnsi="Times New Roman" w:cs="Times New Roman"/>
          <w:sz w:val="24"/>
        </w:rPr>
        <w:t xml:space="preserve">Complementary and alternative medicine in the treatment of acute bronchitis in children: A systematic review. Complement Ther Med. 2020 Mar; 49:102217. doi: 10.1016/j.ctim.2019.102217. Epub 2019 Oct 19 </w:t>
      </w:r>
    </w:p>
    <w:p w:rsidR="005A3F38" w:rsidRDefault="003114B5">
      <w:pPr>
        <w:numPr>
          <w:ilvl w:val="0"/>
          <w:numId w:val="30"/>
        </w:numPr>
        <w:spacing w:after="25" w:line="360" w:lineRule="auto"/>
        <w:ind w:right="11" w:hanging="708"/>
      </w:pPr>
      <w:r>
        <w:rPr>
          <w:rFonts w:ascii="Times New Roman" w:eastAsia="Times New Roman" w:hAnsi="Times New Roman" w:cs="Times New Roman"/>
          <w:sz w:val="24"/>
        </w:rPr>
        <w:t>Al Himdani S, Javed MU, Hughes J, Fal</w:t>
      </w:r>
      <w:r>
        <w:rPr>
          <w:rFonts w:ascii="Times New Roman" w:eastAsia="Times New Roman" w:hAnsi="Times New Roman" w:cs="Times New Roman"/>
          <w:sz w:val="24"/>
        </w:rPr>
        <w:t xml:space="preserve">coner O, Bidder C, Hemington-Gorse S, Nguyen D. Home remedy or hazard?: management and costs of paediatric steam inhalation therapy burn injuries. Br J Gen Pract. 2016 Mar;66(644):e193-9. doi: 10.3399/bjgp16X684289. PMID </w:t>
      </w:r>
    </w:p>
    <w:p w:rsidR="005A3F38" w:rsidRDefault="003114B5">
      <w:pPr>
        <w:numPr>
          <w:ilvl w:val="0"/>
          <w:numId w:val="30"/>
        </w:numPr>
        <w:spacing w:after="27" w:line="360" w:lineRule="auto"/>
        <w:ind w:right="11" w:hanging="708"/>
      </w:pPr>
      <w:r>
        <w:rPr>
          <w:rFonts w:ascii="Times New Roman" w:eastAsia="Times New Roman" w:hAnsi="Times New Roman" w:cs="Times New Roman"/>
          <w:sz w:val="24"/>
        </w:rPr>
        <w:t>Mathew JL. Steam inhalation in res</w:t>
      </w:r>
      <w:r>
        <w:rPr>
          <w:rFonts w:ascii="Times New Roman" w:eastAsia="Times New Roman" w:hAnsi="Times New Roman" w:cs="Times New Roman"/>
          <w:sz w:val="24"/>
        </w:rPr>
        <w:t xml:space="preserve">piratory illnesses--full steam ahead or full stop? A systematic review of randomized controlled trial. Indian Pediatr. 2010 Dec;47(12):1047-50. doi: 10.1007/s13312-0100168-1 </w:t>
      </w:r>
    </w:p>
    <w:p w:rsidR="005A3F38" w:rsidRDefault="003114B5">
      <w:pPr>
        <w:numPr>
          <w:ilvl w:val="0"/>
          <w:numId w:val="30"/>
        </w:numPr>
        <w:spacing w:after="0" w:line="369" w:lineRule="auto"/>
        <w:ind w:right="11" w:hanging="708"/>
      </w:pPr>
      <w:r>
        <w:rPr>
          <w:rFonts w:ascii="Times New Roman" w:eastAsia="Times New Roman" w:hAnsi="Times New Roman" w:cs="Times New Roman"/>
          <w:sz w:val="24"/>
        </w:rPr>
        <w:t>World Health Organization. Cough and cold remedies for the treatment of acute res</w:t>
      </w:r>
      <w:r>
        <w:rPr>
          <w:rFonts w:ascii="Times New Roman" w:eastAsia="Times New Roman" w:hAnsi="Times New Roman" w:cs="Times New Roman"/>
          <w:sz w:val="24"/>
        </w:rPr>
        <w:t xml:space="preserve">piratory infections in young children, 2001. </w:t>
      </w:r>
      <w:hyperlink r:id="rId73">
        <w:r>
          <w:rPr>
            <w:rFonts w:ascii="Times New Roman" w:eastAsia="Times New Roman" w:hAnsi="Times New Roman" w:cs="Times New Roman"/>
            <w:color w:val="0000FF"/>
            <w:sz w:val="24"/>
            <w:u w:val="single" w:color="0000FF"/>
          </w:rPr>
          <w:t>http://whqlibdoc.who.int/hq/2001/WHO_FCH_ CAH_01.02.pdf</w:t>
        </w:r>
      </w:hyperlink>
      <w:hyperlink r:id="rId74">
        <w:r>
          <w:rPr>
            <w:rFonts w:ascii="Times New Roman" w:eastAsia="Times New Roman" w:hAnsi="Times New Roman" w:cs="Times New Roman"/>
            <w:sz w:val="24"/>
          </w:rPr>
          <w:t xml:space="preserve"> </w:t>
        </w:r>
      </w:hyperlink>
      <w:r>
        <w:rPr>
          <w:rFonts w:ascii="Times New Roman" w:eastAsia="Times New Roman" w:hAnsi="Times New Roman" w:cs="Times New Roman"/>
          <w:sz w:val="24"/>
        </w:rPr>
        <w:t>1</w:t>
      </w:r>
      <w:r>
        <w:rPr>
          <w:rFonts w:ascii="Times New Roman" w:eastAsia="Times New Roman" w:hAnsi="Times New Roman" w:cs="Times New Roman"/>
          <w:sz w:val="24"/>
        </w:rPr>
        <w:t>03.</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Fitzsimons R, van der Poel LA, Thornhill W, du Toit G, Shah N, Brough HA. Antihistamine use in children. Arch Dis Child Educ Pract Ed. 2015 Jun;100(3):122-31. doi: 10.1136/archdischild-2013-304446. </w:t>
      </w:r>
    </w:p>
    <w:p w:rsidR="005A3F38" w:rsidRDefault="003114B5">
      <w:pPr>
        <w:spacing w:after="152" w:line="249" w:lineRule="auto"/>
        <w:ind w:left="355" w:right="11" w:hanging="10"/>
      </w:pPr>
      <w:r>
        <w:rPr>
          <w:rFonts w:ascii="Times New Roman" w:eastAsia="Times New Roman" w:hAnsi="Times New Roman" w:cs="Times New Roman"/>
          <w:sz w:val="24"/>
        </w:rPr>
        <w:t xml:space="preserve">Epub 2014 Aug 21. PMID: 25147323 </w:t>
      </w:r>
    </w:p>
    <w:p w:rsidR="005A3F38" w:rsidRDefault="003114B5">
      <w:pPr>
        <w:numPr>
          <w:ilvl w:val="0"/>
          <w:numId w:val="31"/>
        </w:numPr>
        <w:spacing w:after="128" w:line="249" w:lineRule="auto"/>
        <w:ind w:right="11" w:hanging="708"/>
      </w:pPr>
      <w:r>
        <w:rPr>
          <w:rFonts w:ascii="Times New Roman" w:eastAsia="Times New Roman" w:hAnsi="Times New Roman" w:cs="Times New Roman"/>
          <w:sz w:val="24"/>
        </w:rPr>
        <w:t xml:space="preserve">Parisi GF, Licari </w:t>
      </w:r>
      <w:r>
        <w:rPr>
          <w:rFonts w:ascii="Times New Roman" w:eastAsia="Times New Roman" w:hAnsi="Times New Roman" w:cs="Times New Roman"/>
          <w:sz w:val="24"/>
        </w:rPr>
        <w:t xml:space="preserve">A, Papale M, Manti S, Salpietro C, Marseglia GL, Leonardi S. Antihistamines: </w:t>
      </w:r>
    </w:p>
    <w:p w:rsidR="005A3F38" w:rsidRDefault="003114B5">
      <w:pPr>
        <w:spacing w:after="128" w:line="249" w:lineRule="auto"/>
        <w:ind w:left="355" w:right="11" w:hanging="10"/>
      </w:pPr>
      <w:r>
        <w:rPr>
          <w:rFonts w:ascii="Times New Roman" w:eastAsia="Times New Roman" w:hAnsi="Times New Roman" w:cs="Times New Roman"/>
          <w:sz w:val="24"/>
        </w:rPr>
        <w:t xml:space="preserve">ABC for the pediatricians. Pediatr Allergy Immunol. 2020 Feb;31 Suppl 24:34-36. doi: 10.1111/pai.13152. </w:t>
      </w:r>
    </w:p>
    <w:p w:rsidR="005A3F38" w:rsidRDefault="003114B5">
      <w:pPr>
        <w:spacing w:after="152" w:line="249" w:lineRule="auto"/>
        <w:ind w:left="355" w:right="11" w:hanging="10"/>
      </w:pPr>
      <w:r>
        <w:rPr>
          <w:rFonts w:ascii="Times New Roman" w:eastAsia="Times New Roman" w:hAnsi="Times New Roman" w:cs="Times New Roman"/>
          <w:sz w:val="24"/>
        </w:rPr>
        <w:t xml:space="preserve">PMID: 32017222 </w:t>
      </w:r>
    </w:p>
    <w:p w:rsidR="005A3F38" w:rsidRDefault="003114B5">
      <w:pPr>
        <w:numPr>
          <w:ilvl w:val="0"/>
          <w:numId w:val="31"/>
        </w:numPr>
        <w:spacing w:after="128" w:line="249" w:lineRule="auto"/>
        <w:ind w:right="11" w:hanging="708"/>
      </w:pPr>
      <w:r>
        <w:rPr>
          <w:rFonts w:ascii="Times New Roman" w:eastAsia="Times New Roman" w:hAnsi="Times New Roman" w:cs="Times New Roman"/>
          <w:sz w:val="24"/>
        </w:rPr>
        <w:t xml:space="preserve">Guarino A, Ashkenazi S, Gendrel D, Lo Vecchio A, Shamir R, Szajewska H; European Society for </w:t>
      </w:r>
    </w:p>
    <w:p w:rsidR="005A3F38" w:rsidRDefault="003114B5">
      <w:pPr>
        <w:spacing w:after="128" w:line="249" w:lineRule="auto"/>
        <w:ind w:left="355" w:right="11" w:hanging="10"/>
      </w:pPr>
      <w:r>
        <w:rPr>
          <w:rFonts w:ascii="Times New Roman" w:eastAsia="Times New Roman" w:hAnsi="Times New Roman" w:cs="Times New Roman"/>
          <w:sz w:val="24"/>
        </w:rPr>
        <w:t xml:space="preserve">Pediatric Gastroenterology, Hepatology, and Nutrition; European Society for Pediatric Infectious Diseases. </w:t>
      </w:r>
    </w:p>
    <w:p w:rsidR="005A3F38" w:rsidRDefault="003114B5">
      <w:pPr>
        <w:spacing w:after="128" w:line="249" w:lineRule="auto"/>
        <w:ind w:left="355" w:right="11" w:hanging="10"/>
      </w:pPr>
      <w:r>
        <w:rPr>
          <w:rFonts w:ascii="Times New Roman" w:eastAsia="Times New Roman" w:hAnsi="Times New Roman" w:cs="Times New Roman"/>
          <w:sz w:val="24"/>
        </w:rPr>
        <w:t xml:space="preserve">European Society for Pediatric Gastroenterology, Hepatology, and Nutrition/European Society for Pediatric </w:t>
      </w:r>
    </w:p>
    <w:p w:rsidR="005A3F38" w:rsidRDefault="003114B5">
      <w:pPr>
        <w:spacing w:after="2" w:line="356" w:lineRule="auto"/>
        <w:ind w:left="355" w:right="11" w:hanging="10"/>
      </w:pPr>
      <w:r>
        <w:rPr>
          <w:rFonts w:ascii="Times New Roman" w:eastAsia="Times New Roman" w:hAnsi="Times New Roman" w:cs="Times New Roman"/>
          <w:sz w:val="24"/>
        </w:rPr>
        <w:t>Infectious Diseases evidence-based guidelines for the management of acute gastroenteritis in children in Europe: update 2014. J Pediatr Gastroenterol</w:t>
      </w:r>
      <w:r>
        <w:rPr>
          <w:rFonts w:ascii="Times New Roman" w:eastAsia="Times New Roman" w:hAnsi="Times New Roman" w:cs="Times New Roman"/>
          <w:sz w:val="24"/>
        </w:rPr>
        <w:t xml:space="preserve"> Nutr. 2014 Jul;59(1):132-52.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10.1097/MPG.0000000000000375 </w:t>
      </w:r>
    </w:p>
    <w:p w:rsidR="005A3F38" w:rsidRDefault="003114B5">
      <w:pPr>
        <w:numPr>
          <w:ilvl w:val="0"/>
          <w:numId w:val="31"/>
        </w:numPr>
        <w:spacing w:after="128" w:line="249" w:lineRule="auto"/>
        <w:ind w:right="11" w:hanging="708"/>
      </w:pPr>
      <w:r>
        <w:rPr>
          <w:rFonts w:ascii="Times New Roman" w:eastAsia="Times New Roman" w:hAnsi="Times New Roman" w:cs="Times New Roman"/>
          <w:sz w:val="24"/>
        </w:rPr>
        <w:t xml:space="preserve">Brossier D. W. et al. Intravenous maintenance fluid therapy in acutely and critically ill children: </w:t>
      </w:r>
    </w:p>
    <w:p w:rsidR="005A3F38" w:rsidRDefault="003114B5">
      <w:pPr>
        <w:spacing w:after="128" w:line="249" w:lineRule="auto"/>
        <w:ind w:left="355" w:right="11" w:hanging="10"/>
      </w:pPr>
      <w:r>
        <w:rPr>
          <w:rFonts w:ascii="Times New Roman" w:eastAsia="Times New Roman" w:hAnsi="Times New Roman" w:cs="Times New Roman"/>
          <w:sz w:val="24"/>
        </w:rPr>
        <w:t>state of the evidence //The Lancet Child &amp; Adolescent Health. – 2024. – Т. 8. – №. 3. – С</w:t>
      </w:r>
      <w:r>
        <w:rPr>
          <w:rFonts w:ascii="Times New Roman" w:eastAsia="Times New Roman" w:hAnsi="Times New Roman" w:cs="Times New Roman"/>
          <w:sz w:val="24"/>
        </w:rPr>
        <w:t xml:space="preserve">. 236-244 </w:t>
      </w:r>
    </w:p>
    <w:p w:rsidR="005A3F38" w:rsidRDefault="003114B5">
      <w:pPr>
        <w:numPr>
          <w:ilvl w:val="0"/>
          <w:numId w:val="31"/>
        </w:numPr>
        <w:spacing w:after="0" w:line="364" w:lineRule="auto"/>
        <w:ind w:right="11" w:hanging="708"/>
      </w:pPr>
      <w:r>
        <w:rPr>
          <w:rFonts w:ascii="Times New Roman" w:eastAsia="Times New Roman" w:hAnsi="Times New Roman" w:cs="Times New Roman"/>
          <w:sz w:val="24"/>
        </w:rPr>
        <w:t xml:space="preserve">Jefferson T, Jones MA, Doshi P, et al. Neuraminidase inhibitors for preventing and treating influenza in healthy adults and children. Cochrane Database Syst Rev. 2014; 4:CD008965. </w:t>
      </w:r>
    </w:p>
    <w:p w:rsidR="005A3F38" w:rsidRDefault="003114B5">
      <w:pPr>
        <w:numPr>
          <w:ilvl w:val="0"/>
          <w:numId w:val="31"/>
        </w:numPr>
        <w:spacing w:after="7" w:line="358" w:lineRule="auto"/>
        <w:ind w:right="11" w:hanging="708"/>
      </w:pPr>
      <w:r>
        <w:rPr>
          <w:rFonts w:ascii="Times New Roman" w:eastAsia="Times New Roman" w:hAnsi="Times New Roman" w:cs="Times New Roman"/>
          <w:sz w:val="24"/>
        </w:rPr>
        <w:t>Hussain S, Meijer A, Govorkova EA, Dapat C, Gubareva LV, Barr IG</w:t>
      </w:r>
      <w:r>
        <w:rPr>
          <w:rFonts w:ascii="Times New Roman" w:eastAsia="Times New Roman" w:hAnsi="Times New Roman" w:cs="Times New Roman"/>
          <w:sz w:val="24"/>
        </w:rPr>
        <w:t>, Brown SK, Daniels RS, Fujisaki S, Galiano M, Huang W, Kondor RJ, Lackenby A, Lewis N, Lo J, Nguyen HT, Patel MC, Pereyaslov D, Rattigan A, Samaan M, Wang D, Webby RJ, Yen HL, Zhang W, Takashita E. Global update on the susceptibilities of influenza viruse</w:t>
      </w:r>
      <w:r>
        <w:rPr>
          <w:rFonts w:ascii="Times New Roman" w:eastAsia="Times New Roman" w:hAnsi="Times New Roman" w:cs="Times New Roman"/>
          <w:sz w:val="24"/>
        </w:rPr>
        <w:t xml:space="preserve">s to neuraminidase inhibitors and the cap-dependent endonuclease inhibitor baloxavir, 2020-2023. Antiviral Res. 2025 Sep;241:106217. doi: 10.1016/j.antiviral.2025.106217. Epub 2025 Jun 24 </w:t>
      </w:r>
    </w:p>
    <w:p w:rsidR="005A3F38" w:rsidRDefault="003114B5">
      <w:pPr>
        <w:numPr>
          <w:ilvl w:val="0"/>
          <w:numId w:val="31"/>
        </w:numPr>
        <w:spacing w:after="0" w:line="358" w:lineRule="auto"/>
        <w:ind w:right="11" w:hanging="708"/>
      </w:pPr>
      <w:r>
        <w:rPr>
          <w:rFonts w:ascii="Times New Roman" w:eastAsia="Times New Roman" w:hAnsi="Times New Roman" w:cs="Times New Roman"/>
          <w:sz w:val="24"/>
        </w:rPr>
        <w:t>Hayden FG, Sugaya N, Hirotsu N, et al. Baloxavir Marboxil for Uncom</w:t>
      </w:r>
      <w:r>
        <w:rPr>
          <w:rFonts w:ascii="Times New Roman" w:eastAsia="Times New Roman" w:hAnsi="Times New Roman" w:cs="Times New Roman"/>
          <w:sz w:val="24"/>
        </w:rPr>
        <w:t xml:space="preserve">plicated Influenza in Adults and Adolescents [supplementary appendix appears online]. N Engl J Med 2018;379:913-923.  </w:t>
      </w:r>
    </w:p>
    <w:p w:rsidR="005A3F38" w:rsidRDefault="003114B5">
      <w:pPr>
        <w:spacing w:after="128" w:line="249" w:lineRule="auto"/>
        <w:ind w:left="355" w:right="11" w:hanging="10"/>
      </w:pPr>
      <w:r>
        <w:rPr>
          <w:rFonts w:ascii="Times New Roman" w:eastAsia="Times New Roman" w:hAnsi="Times New Roman" w:cs="Times New Roman"/>
          <w:sz w:val="24"/>
        </w:rPr>
        <w:t xml:space="preserve">ttps://www.ncbi.nlm.nih.gov/pubmed/30184455 </w:t>
      </w:r>
    </w:p>
    <w:p w:rsidR="005A3F38" w:rsidRDefault="003114B5">
      <w:pPr>
        <w:numPr>
          <w:ilvl w:val="0"/>
          <w:numId w:val="31"/>
        </w:numPr>
        <w:spacing w:after="7" w:line="358" w:lineRule="auto"/>
        <w:ind w:right="11" w:hanging="708"/>
      </w:pPr>
      <w:r>
        <w:rPr>
          <w:rFonts w:ascii="Times New Roman" w:eastAsia="Times New Roman" w:hAnsi="Times New Roman" w:cs="Times New Roman"/>
          <w:sz w:val="24"/>
        </w:rPr>
        <w:t xml:space="preserve">Ison MG, Portsmouth S, Yoshida Y, Shishido T, Mitchener M, Tsuchiya K, Uehara T, Hayden FG. </w:t>
      </w:r>
      <w:r>
        <w:rPr>
          <w:rFonts w:ascii="Times New Roman" w:eastAsia="Times New Roman" w:hAnsi="Times New Roman" w:cs="Times New Roman"/>
          <w:sz w:val="24"/>
        </w:rPr>
        <w:t>Early treatment with baloxavir marboxil in high-risk adolescent and adult outpatients with uncomplicated influenza (CAPSTONE-2): a randomised, placebo-controlled, phase 3 trial. Lancet Infect Dis. 2020 Oct;20(10):1204-1214. https://pubmed.ncbi.nlm.nih.gov/</w:t>
      </w:r>
      <w:r>
        <w:rPr>
          <w:rFonts w:ascii="Times New Roman" w:eastAsia="Times New Roman" w:hAnsi="Times New Roman" w:cs="Times New Roman"/>
          <w:sz w:val="24"/>
        </w:rPr>
        <w:t xml:space="preserve">32526195/ </w:t>
      </w:r>
    </w:p>
    <w:p w:rsidR="005A3F38" w:rsidRDefault="003114B5">
      <w:pPr>
        <w:numPr>
          <w:ilvl w:val="0"/>
          <w:numId w:val="31"/>
        </w:numPr>
        <w:spacing w:after="128" w:line="249" w:lineRule="auto"/>
        <w:ind w:right="11" w:hanging="708"/>
      </w:pPr>
      <w:r>
        <w:rPr>
          <w:rFonts w:ascii="Times New Roman" w:eastAsia="Times New Roman" w:hAnsi="Times New Roman" w:cs="Times New Roman"/>
          <w:sz w:val="24"/>
        </w:rPr>
        <w:t xml:space="preserve">Mishin VP, Patel MC, Chesnokov A, et al. Susceptibility of Influenza A, B, C, and D Viruses to </w:t>
      </w:r>
    </w:p>
    <w:p w:rsidR="005A3F38" w:rsidRDefault="003114B5">
      <w:pPr>
        <w:spacing w:after="7" w:line="358" w:lineRule="auto"/>
        <w:ind w:left="355" w:right="-1" w:hanging="10"/>
        <w:jc w:val="both"/>
      </w:pPr>
      <w:r>
        <w:rPr>
          <w:rFonts w:ascii="Times New Roman" w:eastAsia="Times New Roman" w:hAnsi="Times New Roman" w:cs="Times New Roman"/>
          <w:sz w:val="24"/>
        </w:rPr>
        <w:t>Baloxavir. Emerg Infect Dis 2019;25:1969-1972. https://www.ncbi.nlm.nih.gov/ pubmed/31287050 112.</w:t>
      </w:r>
      <w:r>
        <w:rPr>
          <w:rFonts w:ascii="Arial" w:eastAsia="Arial" w:hAnsi="Arial" w:cs="Arial"/>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Baker J.B., Block S.L., Cagas S.E. et al. Safety and Efficacy of Baloxavir Marboxil in Influenzainfected Children 5-11 Years of Age. F Post Hoc Analysis of a Phase 3 Study (miniSTONE-2). Pediatr Infect Dis J 2023; XX:00-00 DOI:10.1097/INF.0000000000004062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Учайкин В.Ф., Шамшева О.В., Молочкова О.В., Булгакова В.А. Фармако-эпидемиологическое исследование течения гриппа и других ОРВИ в сезоне 2010/11 гг. у детей в возрасте до 18 лет. Детские инфекции. 2012;11:9-15. </w:t>
      </w:r>
      <w:hyperlink r:id="rId75">
        <w:r>
          <w:rPr>
            <w:rFonts w:ascii="Times New Roman" w:eastAsia="Times New Roman" w:hAnsi="Times New Roman" w:cs="Times New Roman"/>
            <w:color w:val="0000FF"/>
            <w:sz w:val="24"/>
            <w:u w:val="single" w:color="0000FF"/>
          </w:rPr>
          <w:t>https://doi.org/10.22627/2072</w:t>
        </w:r>
      </w:hyperlink>
      <w:hyperlink r:id="rId76">
        <w:r>
          <w:rPr>
            <w:rFonts w:ascii="Times New Roman" w:eastAsia="Times New Roman" w:hAnsi="Times New Roman" w:cs="Times New Roman"/>
            <w:color w:val="0000FF"/>
            <w:sz w:val="24"/>
            <w:u w:val="single" w:color="0000FF"/>
          </w:rPr>
          <w:t>-</w:t>
        </w:r>
      </w:hyperlink>
      <w:hyperlink r:id="rId77">
        <w:r>
          <w:rPr>
            <w:rFonts w:ascii="Times New Roman" w:eastAsia="Times New Roman" w:hAnsi="Times New Roman" w:cs="Times New Roman"/>
            <w:color w:val="0000FF"/>
            <w:sz w:val="24"/>
            <w:u w:val="single" w:color="0000FF"/>
          </w:rPr>
          <w:t>8107</w:t>
        </w:r>
      </w:hyperlink>
      <w:hyperlink r:id="rId78">
        <w:r>
          <w:rPr>
            <w:rFonts w:ascii="Times New Roman" w:eastAsia="Times New Roman" w:hAnsi="Times New Roman" w:cs="Times New Roman"/>
            <w:color w:val="0000FF"/>
            <w:sz w:val="24"/>
            <w:u w:val="single" w:color="0000FF"/>
          </w:rPr>
          <w:t>-</w:t>
        </w:r>
      </w:hyperlink>
      <w:hyperlink r:id="rId79">
        <w:r>
          <w:rPr>
            <w:rFonts w:ascii="Times New Roman" w:eastAsia="Times New Roman" w:hAnsi="Times New Roman" w:cs="Times New Roman"/>
            <w:color w:val="0000FF"/>
            <w:sz w:val="24"/>
            <w:u w:val="single" w:color="0000FF"/>
          </w:rPr>
          <w:t>2012</w:t>
        </w:r>
      </w:hyperlink>
      <w:hyperlink r:id="rId80">
        <w:r>
          <w:rPr>
            <w:rFonts w:ascii="Times New Roman" w:eastAsia="Times New Roman" w:hAnsi="Times New Roman" w:cs="Times New Roman"/>
            <w:color w:val="0000FF"/>
            <w:sz w:val="24"/>
            <w:u w:val="single" w:color="0000FF"/>
          </w:rPr>
          <w:t>-</w:t>
        </w:r>
      </w:hyperlink>
      <w:hyperlink r:id="rId81">
        <w:r>
          <w:rPr>
            <w:rFonts w:ascii="Times New Roman" w:eastAsia="Times New Roman" w:hAnsi="Times New Roman" w:cs="Times New Roman"/>
            <w:color w:val="0000FF"/>
            <w:sz w:val="24"/>
            <w:u w:val="single" w:color="0000FF"/>
          </w:rPr>
          <w:t>11</w:t>
        </w:r>
      </w:hyperlink>
      <w:hyperlink r:id="rId82">
        <w:r>
          <w:rPr>
            <w:rFonts w:ascii="Times New Roman" w:eastAsia="Times New Roman" w:hAnsi="Times New Roman" w:cs="Times New Roman"/>
            <w:color w:val="0000FF"/>
            <w:sz w:val="24"/>
            <w:u w:val="single" w:color="0000FF"/>
          </w:rPr>
          <w:t>-</w:t>
        </w:r>
      </w:hyperlink>
      <w:hyperlink r:id="rId83">
        <w:r>
          <w:rPr>
            <w:rFonts w:ascii="Times New Roman" w:eastAsia="Times New Roman" w:hAnsi="Times New Roman" w:cs="Times New Roman"/>
            <w:color w:val="0000FF"/>
            <w:sz w:val="24"/>
            <w:u w:val="single" w:color="0000FF"/>
          </w:rPr>
          <w:t>0</w:t>
        </w:r>
      </w:hyperlink>
      <w:hyperlink r:id="rId84">
        <w:r>
          <w:rPr>
            <w:rFonts w:ascii="Times New Roman" w:eastAsia="Times New Roman" w:hAnsi="Times New Roman" w:cs="Times New Roman"/>
            <w:color w:val="0000FF"/>
            <w:sz w:val="24"/>
            <w:u w:val="single" w:color="0000FF"/>
          </w:rPr>
          <w:t>-</w:t>
        </w:r>
      </w:hyperlink>
      <w:hyperlink r:id="rId85">
        <w:r>
          <w:rPr>
            <w:rFonts w:ascii="Times New Roman" w:eastAsia="Times New Roman" w:hAnsi="Times New Roman" w:cs="Times New Roman"/>
            <w:color w:val="0000FF"/>
            <w:sz w:val="24"/>
            <w:u w:val="single" w:color="0000FF"/>
          </w:rPr>
          <w:t>9</w:t>
        </w:r>
      </w:hyperlink>
      <w:hyperlink r:id="rId86">
        <w:r>
          <w:rPr>
            <w:rFonts w:ascii="Times New Roman" w:eastAsia="Times New Roman" w:hAnsi="Times New Roman" w:cs="Times New Roman"/>
            <w:color w:val="0000FF"/>
            <w:sz w:val="24"/>
            <w:u w:val="single" w:color="0000FF"/>
          </w:rPr>
          <w:t>-</w:t>
        </w:r>
      </w:hyperlink>
      <w:hyperlink r:id="rId87">
        <w:r>
          <w:rPr>
            <w:rFonts w:ascii="Times New Roman" w:eastAsia="Times New Roman" w:hAnsi="Times New Roman" w:cs="Times New Roman"/>
            <w:color w:val="0000FF"/>
            <w:sz w:val="24"/>
            <w:u w:val="single" w:color="0000FF"/>
          </w:rPr>
          <w:t>15</w:t>
        </w:r>
      </w:hyperlink>
      <w:hyperlink r:id="rId88">
        <w:r>
          <w:rPr>
            <w:rFonts w:ascii="Times New Roman" w:eastAsia="Times New Roman" w:hAnsi="Times New Roman" w:cs="Times New Roman"/>
            <w:sz w:val="24"/>
          </w:rPr>
          <w:t xml:space="preserve"> </w:t>
        </w:r>
      </w:hyperlink>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Осидак Л.В., Афанасьева О.И., Головачева Е.Г., Дондурей Е.А., Гончар В.В., Афанасьева В.С., Суховецкая В.Ф., Образцова Е.А. Отечественный противовирусный препарат широкого спектра действия — умифеновир как средство этиотропной терапии гриппа. Детские инфек</w:t>
      </w:r>
      <w:r>
        <w:rPr>
          <w:rFonts w:ascii="Times New Roman" w:eastAsia="Times New Roman" w:hAnsi="Times New Roman" w:cs="Times New Roman"/>
          <w:sz w:val="24"/>
        </w:rPr>
        <w:t xml:space="preserve">ции. </w:t>
      </w:r>
    </w:p>
    <w:p w:rsidR="005A3F38" w:rsidRDefault="003114B5">
      <w:pPr>
        <w:spacing w:after="141"/>
        <w:ind w:left="355" w:hanging="10"/>
      </w:pPr>
      <w:r>
        <w:rPr>
          <w:rFonts w:ascii="Times New Roman" w:eastAsia="Times New Roman" w:hAnsi="Times New Roman" w:cs="Times New Roman"/>
          <w:sz w:val="24"/>
        </w:rPr>
        <w:t xml:space="preserve">2016;15(3):25-30. </w:t>
      </w:r>
      <w:hyperlink r:id="rId89">
        <w:r>
          <w:rPr>
            <w:rFonts w:ascii="Times New Roman" w:eastAsia="Times New Roman" w:hAnsi="Times New Roman" w:cs="Times New Roman"/>
            <w:color w:val="0000FF"/>
            <w:sz w:val="24"/>
            <w:u w:val="single" w:color="0000FF"/>
          </w:rPr>
          <w:t>https://doi.org/10.22627/2072</w:t>
        </w:r>
      </w:hyperlink>
      <w:hyperlink r:id="rId90">
        <w:r>
          <w:rPr>
            <w:rFonts w:ascii="Times New Roman" w:eastAsia="Times New Roman" w:hAnsi="Times New Roman" w:cs="Times New Roman"/>
            <w:color w:val="0000FF"/>
            <w:sz w:val="24"/>
            <w:u w:val="single" w:color="0000FF"/>
          </w:rPr>
          <w:t>-</w:t>
        </w:r>
      </w:hyperlink>
      <w:hyperlink r:id="rId91">
        <w:r>
          <w:rPr>
            <w:rFonts w:ascii="Times New Roman" w:eastAsia="Times New Roman" w:hAnsi="Times New Roman" w:cs="Times New Roman"/>
            <w:color w:val="0000FF"/>
            <w:sz w:val="24"/>
            <w:u w:val="single" w:color="0000FF"/>
          </w:rPr>
          <w:t>8107</w:t>
        </w:r>
      </w:hyperlink>
      <w:hyperlink r:id="rId92">
        <w:r>
          <w:rPr>
            <w:rFonts w:ascii="Times New Roman" w:eastAsia="Times New Roman" w:hAnsi="Times New Roman" w:cs="Times New Roman"/>
            <w:color w:val="0000FF"/>
            <w:sz w:val="24"/>
            <w:u w:val="single" w:color="0000FF"/>
          </w:rPr>
          <w:t>-</w:t>
        </w:r>
      </w:hyperlink>
      <w:hyperlink r:id="rId93">
        <w:r>
          <w:rPr>
            <w:rFonts w:ascii="Times New Roman" w:eastAsia="Times New Roman" w:hAnsi="Times New Roman" w:cs="Times New Roman"/>
            <w:color w:val="0000FF"/>
            <w:sz w:val="24"/>
            <w:u w:val="single" w:color="0000FF"/>
          </w:rPr>
          <w:t>2016</w:t>
        </w:r>
      </w:hyperlink>
      <w:hyperlink r:id="rId94">
        <w:r>
          <w:rPr>
            <w:rFonts w:ascii="Times New Roman" w:eastAsia="Times New Roman" w:hAnsi="Times New Roman" w:cs="Times New Roman"/>
            <w:color w:val="0000FF"/>
            <w:sz w:val="24"/>
            <w:u w:val="single" w:color="0000FF"/>
          </w:rPr>
          <w:t>-</w:t>
        </w:r>
      </w:hyperlink>
      <w:hyperlink r:id="rId95">
        <w:r>
          <w:rPr>
            <w:rFonts w:ascii="Times New Roman" w:eastAsia="Times New Roman" w:hAnsi="Times New Roman" w:cs="Times New Roman"/>
            <w:color w:val="0000FF"/>
            <w:sz w:val="24"/>
            <w:u w:val="single" w:color="0000FF"/>
          </w:rPr>
          <w:t>15</w:t>
        </w:r>
      </w:hyperlink>
      <w:hyperlink r:id="rId96">
        <w:r>
          <w:rPr>
            <w:rFonts w:ascii="Times New Roman" w:eastAsia="Times New Roman" w:hAnsi="Times New Roman" w:cs="Times New Roman"/>
            <w:color w:val="0000FF"/>
            <w:sz w:val="24"/>
            <w:u w:val="single" w:color="0000FF"/>
          </w:rPr>
          <w:t>-</w:t>
        </w:r>
      </w:hyperlink>
      <w:hyperlink r:id="rId97">
        <w:r>
          <w:rPr>
            <w:rFonts w:ascii="Times New Roman" w:eastAsia="Times New Roman" w:hAnsi="Times New Roman" w:cs="Times New Roman"/>
            <w:color w:val="0000FF"/>
            <w:sz w:val="24"/>
            <w:u w:val="single" w:color="0000FF"/>
          </w:rPr>
          <w:t>3</w:t>
        </w:r>
      </w:hyperlink>
      <w:hyperlink r:id="rId98">
        <w:r>
          <w:rPr>
            <w:rFonts w:ascii="Times New Roman" w:eastAsia="Times New Roman" w:hAnsi="Times New Roman" w:cs="Times New Roman"/>
            <w:color w:val="0000FF"/>
            <w:sz w:val="24"/>
            <w:u w:val="single" w:color="0000FF"/>
          </w:rPr>
          <w:t>-</w:t>
        </w:r>
      </w:hyperlink>
      <w:hyperlink r:id="rId99">
        <w:r>
          <w:rPr>
            <w:rFonts w:ascii="Times New Roman" w:eastAsia="Times New Roman" w:hAnsi="Times New Roman" w:cs="Times New Roman"/>
            <w:color w:val="0000FF"/>
            <w:sz w:val="24"/>
            <w:u w:val="single" w:color="0000FF"/>
          </w:rPr>
          <w:t>25</w:t>
        </w:r>
      </w:hyperlink>
      <w:hyperlink r:id="rId100">
        <w:r>
          <w:rPr>
            <w:rFonts w:ascii="Times New Roman" w:eastAsia="Times New Roman" w:hAnsi="Times New Roman" w:cs="Times New Roman"/>
            <w:color w:val="0000FF"/>
            <w:sz w:val="24"/>
            <w:u w:val="single" w:color="0000FF"/>
          </w:rPr>
          <w:t>-</w:t>
        </w:r>
      </w:hyperlink>
      <w:hyperlink r:id="rId101">
        <w:r>
          <w:rPr>
            <w:rFonts w:ascii="Times New Roman" w:eastAsia="Times New Roman" w:hAnsi="Times New Roman" w:cs="Times New Roman"/>
            <w:color w:val="0000FF"/>
            <w:sz w:val="24"/>
            <w:u w:val="single" w:color="0000FF"/>
          </w:rPr>
          <w:t>30</w:t>
        </w:r>
      </w:hyperlink>
      <w:hyperlink r:id="rId102">
        <w:r>
          <w:rPr>
            <w:rFonts w:ascii="Times New Roman" w:eastAsia="Times New Roman" w:hAnsi="Times New Roman" w:cs="Times New Roman"/>
            <w:sz w:val="24"/>
          </w:rPr>
          <w:t xml:space="preserve"> </w:t>
        </w:r>
      </w:hyperlink>
    </w:p>
    <w:p w:rsidR="005A3F38" w:rsidRDefault="003114B5">
      <w:pPr>
        <w:numPr>
          <w:ilvl w:val="0"/>
          <w:numId w:val="32"/>
        </w:numPr>
        <w:spacing w:after="119"/>
        <w:ind w:right="2" w:hanging="708"/>
        <w:jc w:val="both"/>
      </w:pPr>
      <w:r>
        <w:rPr>
          <w:rFonts w:ascii="Times New Roman" w:eastAsia="Times New Roman" w:hAnsi="Times New Roman" w:cs="Times New Roman"/>
          <w:sz w:val="24"/>
        </w:rPr>
        <w:t xml:space="preserve">Pécheur EI, Borisevich V, Halfmann P, Morrey JD, Smee DF, Prichard M, Mire CE, Kawaoka Y, </w:t>
      </w:r>
    </w:p>
    <w:p w:rsidR="005A3F38" w:rsidRDefault="003114B5">
      <w:pPr>
        <w:spacing w:after="11" w:line="356" w:lineRule="auto"/>
        <w:ind w:left="355" w:right="11" w:hanging="10"/>
      </w:pPr>
      <w:r>
        <w:rPr>
          <w:rFonts w:ascii="Times New Roman" w:eastAsia="Times New Roman" w:hAnsi="Times New Roman" w:cs="Times New Roman"/>
          <w:sz w:val="24"/>
        </w:rPr>
        <w:t>Geisbert TW, Polyak SJ. The Synthetic Antiviral Drug Arbidol Inhibits Globally Prevalent Pathogenic Viruses. J Virol. 2016 Jan 6;90(6</w:t>
      </w:r>
      <w:r>
        <w:rPr>
          <w:rFonts w:ascii="Times New Roman" w:eastAsia="Times New Roman" w:hAnsi="Times New Roman" w:cs="Times New Roman"/>
          <w:sz w:val="24"/>
        </w:rPr>
        <w:t xml:space="preserve">):3086-92. doi: 10.1128/JVI.02077-15 </w:t>
      </w:r>
    </w:p>
    <w:p w:rsidR="005A3F38" w:rsidRDefault="003114B5">
      <w:pPr>
        <w:numPr>
          <w:ilvl w:val="0"/>
          <w:numId w:val="32"/>
        </w:numPr>
        <w:spacing w:after="11" w:line="356" w:lineRule="auto"/>
        <w:ind w:right="2" w:hanging="708"/>
        <w:jc w:val="both"/>
      </w:pPr>
      <w:r>
        <w:rPr>
          <w:rFonts w:ascii="Times New Roman" w:eastAsia="Times New Roman" w:hAnsi="Times New Roman" w:cs="Times New Roman"/>
          <w:sz w:val="24"/>
        </w:rPr>
        <w:t xml:space="preserve">Vigant F, Santos NC, Lee B. Broad-spectrum antivirals against viral fusion. Nat Rev Microbiol. 2015;13:426-37. doi: </w:t>
      </w:r>
      <w:hyperlink r:id="rId103">
        <w:r>
          <w:rPr>
            <w:rFonts w:ascii="Times New Roman" w:eastAsia="Times New Roman" w:hAnsi="Times New Roman" w:cs="Times New Roman"/>
            <w:color w:val="0000FF"/>
            <w:sz w:val="24"/>
            <w:u w:val="single" w:color="0000FF"/>
          </w:rPr>
          <w:t>https://www.doi.org/10.1038/nrmicro3475</w:t>
        </w:r>
      </w:hyperlink>
      <w:hyperlink r:id="rId104">
        <w:r>
          <w:rPr>
            <w:rFonts w:ascii="Times New Roman" w:eastAsia="Times New Roman" w:hAnsi="Times New Roman" w:cs="Times New Roman"/>
            <w:sz w:val="24"/>
          </w:rPr>
          <w:t xml:space="preserve"> </w:t>
        </w:r>
      </w:hyperlink>
    </w:p>
    <w:p w:rsidR="005A3F38" w:rsidRDefault="003114B5">
      <w:pPr>
        <w:numPr>
          <w:ilvl w:val="0"/>
          <w:numId w:val="32"/>
        </w:numPr>
        <w:spacing w:after="7" w:line="358" w:lineRule="auto"/>
        <w:ind w:right="2" w:hanging="708"/>
        <w:jc w:val="both"/>
      </w:pPr>
      <w:r>
        <w:rPr>
          <w:rFonts w:ascii="Times New Roman" w:eastAsia="Times New Roman" w:hAnsi="Times New Roman" w:cs="Times New Roman"/>
          <w:sz w:val="24"/>
        </w:rPr>
        <w:t>Leneva I., Kartashova N., Poromov A., Gracheva A., Korchevaya E., Glubokova E. et al. Antiviral activity of umifenovir in vitro against a broad spectrum of coronaviruses, including the novel SARS-CoV</w:t>
      </w:r>
      <w:r>
        <w:rPr>
          <w:rFonts w:ascii="Times New Roman" w:eastAsia="Times New Roman" w:hAnsi="Times New Roman" w:cs="Times New Roman"/>
          <w:sz w:val="24"/>
        </w:rPr>
        <w:t xml:space="preserve">-2 virus. Viruses. 2021; 13(8): 1665-79. doi: </w:t>
      </w:r>
      <w:hyperlink r:id="rId105">
        <w:r>
          <w:rPr>
            <w:rFonts w:ascii="Times New Roman" w:eastAsia="Times New Roman" w:hAnsi="Times New Roman" w:cs="Times New Roman"/>
            <w:color w:val="0000FF"/>
            <w:sz w:val="24"/>
            <w:u w:val="single" w:color="0000FF"/>
          </w:rPr>
          <w:t>https://doi.org/10.3390/v13081665</w:t>
        </w:r>
      </w:hyperlink>
      <w:hyperlink r:id="rId106">
        <w:r>
          <w:rPr>
            <w:rFonts w:ascii="Times New Roman" w:eastAsia="Times New Roman" w:hAnsi="Times New Roman" w:cs="Times New Roman"/>
            <w:sz w:val="24"/>
          </w:rPr>
          <w:t xml:space="preserve"> </w:t>
        </w:r>
      </w:hyperlink>
    </w:p>
    <w:p w:rsidR="005A3F38" w:rsidRDefault="003114B5">
      <w:pPr>
        <w:numPr>
          <w:ilvl w:val="0"/>
          <w:numId w:val="32"/>
        </w:numPr>
        <w:spacing w:after="121"/>
        <w:ind w:right="2" w:hanging="708"/>
        <w:jc w:val="both"/>
      </w:pPr>
      <w:r>
        <w:rPr>
          <w:rFonts w:ascii="Times New Roman" w:eastAsia="Times New Roman" w:hAnsi="Times New Roman" w:cs="Times New Roman"/>
          <w:sz w:val="24"/>
        </w:rPr>
        <w:t xml:space="preserve">Ершов Ф.И., Киселев О.И. Интерфероны и их индукторы (от молекул до лекарств). Москва: </w:t>
      </w:r>
    </w:p>
    <w:p w:rsidR="005A3F38" w:rsidRDefault="003114B5">
      <w:pPr>
        <w:spacing w:after="5"/>
        <w:ind w:left="355" w:right="2" w:hanging="10"/>
        <w:jc w:val="both"/>
      </w:pPr>
      <w:r>
        <w:rPr>
          <w:rFonts w:ascii="Times New Roman" w:eastAsia="Times New Roman" w:hAnsi="Times New Roman" w:cs="Times New Roman"/>
          <w:sz w:val="24"/>
        </w:rPr>
        <w:t xml:space="preserve">ГЭОТАР-Медиа, 2005. 368 с.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Блохин Б.М., Прохорова А.Д., Суюндукова А.С. Актуальные вопросы интерферонотерапии. Терапия. 2018; 7 (25):125–132. doi: https: //dx.doi.org/1</w:t>
      </w:r>
      <w:r>
        <w:rPr>
          <w:rFonts w:ascii="Times New Roman" w:eastAsia="Times New Roman" w:hAnsi="Times New Roman" w:cs="Times New Roman"/>
          <w:sz w:val="24"/>
        </w:rPr>
        <w:t xml:space="preserve">0.18565/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Ушкалова Е., Чухарева Н. Лидеры продаж безрецептурных препаратов и проблемы их безопасности/ Врач.2014. 9:2-8.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Бабаченко И. В., Шарипова Е. В., Беликова Т. Л. Подходы к терапии ОРВИ у детей в стационаре и поликлинике //Медицинский совет. – 2017.</w:t>
      </w:r>
      <w:r>
        <w:rPr>
          <w:rFonts w:ascii="Times New Roman" w:eastAsia="Times New Roman" w:hAnsi="Times New Roman" w:cs="Times New Roman"/>
          <w:sz w:val="24"/>
        </w:rPr>
        <w:t xml:space="preserve"> – №. 1. – С. 94-99.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Шарипова Е.В., Бабаченко И.В., Левина А.С., Григорьев С.Г. Противовирусная терапия ОРВИ и гриппа у детей в стационарных условиях //Журнал инфектологии. – 2018. – Т. 10. – №. 4. – С. 82-</w:t>
      </w:r>
    </w:p>
    <w:p w:rsidR="005A3F38" w:rsidRDefault="003114B5">
      <w:pPr>
        <w:spacing w:after="128" w:line="249" w:lineRule="auto"/>
        <w:ind w:left="355" w:right="11" w:hanging="10"/>
      </w:pPr>
      <w:r>
        <w:rPr>
          <w:rFonts w:ascii="Times New Roman" w:eastAsia="Times New Roman" w:hAnsi="Times New Roman" w:cs="Times New Roman"/>
          <w:sz w:val="24"/>
        </w:rPr>
        <w:t xml:space="preserve">88.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Харламова Ф.С., Кладова О.В., Учайкин В.Ф. </w:t>
      </w:r>
      <w:r>
        <w:rPr>
          <w:rFonts w:ascii="Times New Roman" w:eastAsia="Times New Roman" w:hAnsi="Times New Roman" w:cs="Times New Roman"/>
          <w:sz w:val="24"/>
        </w:rPr>
        <w:t xml:space="preserve">и др. Клиническая эффективность индуктора интерферонов при метапневмовирусной и бокавирусной респираторных инфекциях у детей //Журнал инфектологии. – 2017. – Т. 9. – №. 1S. – С. 17-21.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Савенкова М.С., Исаева Е.И., Караштина О.В., Шабат М.Б., Красева Г.Н.,</w:t>
      </w:r>
      <w:r>
        <w:rPr>
          <w:rFonts w:ascii="Times New Roman" w:eastAsia="Times New Roman" w:hAnsi="Times New Roman" w:cs="Times New Roman"/>
          <w:sz w:val="24"/>
        </w:rPr>
        <w:t xml:space="preserve"> Абрамова Н.А., Красева Т.Е., ДужкинР.В. Анализ сравнительного лечения ОРВИ в эпидсезонах 2015-2016 г. на основе результатов мультиплексной ПЦР-диагностики в условиях амбулаторной практики </w:t>
      </w:r>
    </w:p>
    <w:p w:rsidR="005A3F38" w:rsidRDefault="003114B5">
      <w:pPr>
        <w:spacing w:after="121"/>
        <w:ind w:left="355" w:right="2" w:hanging="10"/>
        <w:jc w:val="both"/>
      </w:pPr>
      <w:r>
        <w:rPr>
          <w:rFonts w:ascii="Times New Roman" w:eastAsia="Times New Roman" w:hAnsi="Times New Roman" w:cs="Times New Roman"/>
          <w:sz w:val="24"/>
        </w:rPr>
        <w:t xml:space="preserve">//Фарматека. 2017.  - №1. - С. 38-45.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Елкина Т.Н., Пирожкова Н.И.</w:t>
      </w:r>
      <w:r>
        <w:rPr>
          <w:rFonts w:ascii="Times New Roman" w:eastAsia="Times New Roman" w:hAnsi="Times New Roman" w:cs="Times New Roman"/>
          <w:sz w:val="24"/>
        </w:rPr>
        <w:t xml:space="preserve">, Грибанова О.А., Лиханова М.Г. Комплексная терапия острых респираторных заболеваний у детей дошкольного возраста на педиатрическом участке //Лечащий врач. – 2014. – №. 2. – С. 86-86.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Харламова Ф.С., Учайкин В.Ф., Бевза С.Л., Ершов Ф.И., Нестеренко В.Г., </w:t>
      </w:r>
      <w:r>
        <w:rPr>
          <w:rFonts w:ascii="Times New Roman" w:eastAsia="Times New Roman" w:hAnsi="Times New Roman" w:cs="Times New Roman"/>
          <w:sz w:val="24"/>
        </w:rPr>
        <w:t xml:space="preserve">Сергеева Э. М., Легкова Т.П., Фельдфикс Л.И. Клиническая эффективность Кагоцела при ОРВИ со стенозирующим ларинготрахеитом у детей /Детские инфекции. – 2008. – Т. 7. – №. 4.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Вартанян Р.В., Сергеева Э. М., Чешик С.Г. Оценка терапевтической эффективности пр</w:t>
      </w:r>
      <w:r>
        <w:rPr>
          <w:rFonts w:ascii="Times New Roman" w:eastAsia="Times New Roman" w:hAnsi="Times New Roman" w:cs="Times New Roman"/>
          <w:sz w:val="24"/>
        </w:rPr>
        <w:t xml:space="preserve">епарата Кагоцел у детей младшего и дошкольного возраста с острыми респираторными вирусными инфекциями //Детские инфекции. – 2011. – Т. 10. – №. 1.- С. 36-41.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Харламова Ф.С., Кладова О.В., Сергеева Э. М., Щербакова А.А., Яблонская К.П., Легкова Т.П., Фельд</w:t>
      </w:r>
      <w:r>
        <w:rPr>
          <w:rFonts w:ascii="Times New Roman" w:eastAsia="Times New Roman" w:hAnsi="Times New Roman" w:cs="Times New Roman"/>
          <w:sz w:val="24"/>
        </w:rPr>
        <w:t xml:space="preserve">фикс Л.И., Рогова Л.А., Самсон О.С., Учайкин В.Ф. Клиническая эффективность препарата Кагоцел при гриппе и ОРВИ у детей с 2 до 6 лет //Детские инфекции. – 2010. – Т. 9. – №. 4.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Харламова Ф.С., Кладова О.В., Учайкин В.Ф., Чешик С.Г., Вартанян Р.В., Яблонск</w:t>
      </w:r>
      <w:r>
        <w:rPr>
          <w:rFonts w:ascii="Times New Roman" w:eastAsia="Times New Roman" w:hAnsi="Times New Roman" w:cs="Times New Roman"/>
          <w:sz w:val="24"/>
        </w:rPr>
        <w:t xml:space="preserve">ая К.П. Метапневмовирусная и бокавирусная респираторные инфекции в структуре ОРВИ у детей //Детские инфекции. – 2015. – Т. 14. – №. 2.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Харламова Ф.С., Учайкин В.Ф., Кладова О.В., Сергеева Э. М., Нестеренко В.Г. Клиническая и профилактическая эффективность</w:t>
      </w:r>
      <w:r>
        <w:rPr>
          <w:rFonts w:ascii="Times New Roman" w:eastAsia="Times New Roman" w:hAnsi="Times New Roman" w:cs="Times New Roman"/>
          <w:sz w:val="24"/>
        </w:rPr>
        <w:t xml:space="preserve"> индуктора интерферона при ОРВИ у детей младшего дошкольного возраста //Педиатрическая фармакология. – 2012. – Т. 9. – №. 1. </w:t>
      </w:r>
    </w:p>
    <w:p w:rsidR="005A3F38" w:rsidRDefault="003114B5">
      <w:pPr>
        <w:numPr>
          <w:ilvl w:val="0"/>
          <w:numId w:val="32"/>
        </w:numPr>
        <w:spacing w:after="117" w:line="364" w:lineRule="auto"/>
        <w:ind w:right="2" w:hanging="708"/>
        <w:jc w:val="both"/>
      </w:pPr>
      <w:r>
        <w:rPr>
          <w:rFonts w:ascii="Times New Roman" w:eastAsia="Times New Roman" w:hAnsi="Times New Roman" w:cs="Times New Roman"/>
          <w:sz w:val="24"/>
        </w:rPr>
        <w:t>Харламова Ф.С., Кладова О.В., Учайкин В.Ф., Сергеева Э. М., Нестеренко В.Г., Легкова Т.П., Фельдфикс Л.И. Возможности применения противовирусного препарата Кагоцел для профилактики и лечения гриппа и других острых респираторных инфекций у часто болеющих де</w:t>
      </w:r>
      <w:r>
        <w:rPr>
          <w:rFonts w:ascii="Times New Roman" w:eastAsia="Times New Roman" w:hAnsi="Times New Roman" w:cs="Times New Roman"/>
          <w:sz w:val="24"/>
        </w:rPr>
        <w:t xml:space="preserve">тей младшего возраста //Эффективная фармакотерапия. – 2012. – №. 53. – С. 26-35.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Савенкова М.С., Караштина О.В. Интерфероновый статус и выбор индукторов интерферонов у часто болеющих детей //Детские инфекции. 2016 г. - №2. - С. 45-51.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Шамшева О.В. Новые </w:t>
      </w:r>
      <w:r>
        <w:rPr>
          <w:rFonts w:ascii="Times New Roman" w:eastAsia="Times New Roman" w:hAnsi="Times New Roman" w:cs="Times New Roman"/>
          <w:sz w:val="24"/>
        </w:rPr>
        <w:t xml:space="preserve">свойства отечественного препарата с противовирусным и иммуномодулирующим действием. //Детские инфекции. – 2016. – Т. 15. – №. 4. - С. 33-36.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Лобзин Ю.В., Де Роза Ф., Эсауленко Е.В. Отечественные и зарубежные исследования анаферона детского: эффективность,</w:t>
      </w:r>
      <w:r>
        <w:rPr>
          <w:rFonts w:ascii="Times New Roman" w:eastAsia="Times New Roman" w:hAnsi="Times New Roman" w:cs="Times New Roman"/>
          <w:sz w:val="24"/>
        </w:rPr>
        <w:t xml:space="preserve"> безопасность и опыт применения (обзор литературы). Журнал инфектологии. 2015. Т.7, №4.С.23-31.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Осидак Л.В., Афанасьева О.И., Образцова Е.В., Эрман Е.С., Дриневский В.П. Новое в профилактике и терапии гриппа и ОРВИ у детей. Лечащий врач. 2003. №2. С.75-76</w:t>
      </w:r>
      <w:r>
        <w:rPr>
          <w:rFonts w:ascii="Times New Roman" w:eastAsia="Times New Roman" w:hAnsi="Times New Roman" w:cs="Times New Roman"/>
          <w:sz w:val="24"/>
        </w:rPr>
        <w:t xml:space="preserve">.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Блохин Б.М., Шамшева О.В., Черная Н.Л., Ситников И.Г., Лазарева С.Г., Бальцерович Н.Б., Перминова О.А., ЖиглинскаяО.В., Кощавцева М.Ю. Результаты многоцентрового двойного слепого плацебо-контролируемого исследования жидкой формы Анаферона детского в леч</w:t>
      </w:r>
      <w:r>
        <w:rPr>
          <w:rFonts w:ascii="Times New Roman" w:eastAsia="Times New Roman" w:hAnsi="Times New Roman" w:cs="Times New Roman"/>
          <w:sz w:val="24"/>
        </w:rPr>
        <w:t xml:space="preserve">ении острых респираторных инфекций верхних дыхательных путей. Российский вестник перинатологии и педиатрии. 2019; 64:(4). 105-112.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Заплатников А.Л., Блохин Б.М., Геппе Н.А., Кондюрина Е.Г., Сукало А.В., Войтович Т.Н. Результаты международного многоцентро</w:t>
      </w:r>
      <w:r>
        <w:rPr>
          <w:rFonts w:ascii="Times New Roman" w:eastAsia="Times New Roman" w:hAnsi="Times New Roman" w:cs="Times New Roman"/>
          <w:sz w:val="24"/>
        </w:rPr>
        <w:t xml:space="preserve">вого исследования релиз-активных антител к интерферону гамма в лечении гриппа и острых респираторных вирусных инфекций у детей. РМЖ. Медицинское обозрение. 2019; 8:18-24.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Кондюрина Е.Г., Елкина Т.Н., Зеленская В.В., Штейнберг М.В., Тиминская Н.Г. Профилак</w:t>
      </w:r>
      <w:r>
        <w:rPr>
          <w:rFonts w:ascii="Times New Roman" w:eastAsia="Times New Roman" w:hAnsi="Times New Roman" w:cs="Times New Roman"/>
          <w:sz w:val="24"/>
        </w:rPr>
        <w:t xml:space="preserve">тика и лечение острых респираторных инфекций у детей с бронхиальной астмой. Доктор.Ру. 2013; 9(87): </w:t>
      </w:r>
    </w:p>
    <w:p w:rsidR="005A3F38" w:rsidRDefault="003114B5">
      <w:pPr>
        <w:spacing w:after="152" w:line="249" w:lineRule="auto"/>
        <w:ind w:left="355" w:right="11" w:hanging="10"/>
      </w:pPr>
      <w:r>
        <w:rPr>
          <w:rFonts w:ascii="Times New Roman" w:eastAsia="Times New Roman" w:hAnsi="Times New Roman" w:cs="Times New Roman"/>
          <w:sz w:val="24"/>
        </w:rPr>
        <w:t xml:space="preserve">17-22. </w:t>
      </w:r>
    </w:p>
    <w:p w:rsidR="005A3F38" w:rsidRDefault="003114B5">
      <w:pPr>
        <w:numPr>
          <w:ilvl w:val="0"/>
          <w:numId w:val="32"/>
        </w:numPr>
        <w:spacing w:after="121"/>
        <w:ind w:right="2" w:hanging="708"/>
        <w:jc w:val="both"/>
      </w:pPr>
      <w:r>
        <w:rPr>
          <w:rFonts w:ascii="Times New Roman" w:eastAsia="Times New Roman" w:hAnsi="Times New Roman" w:cs="Times New Roman"/>
          <w:sz w:val="24"/>
        </w:rPr>
        <w:t>Малахов А.Б. Анаферон детский: безопасность (обзор литературы). Поликлиника. 2014; 6: 1-</w:t>
      </w:r>
    </w:p>
    <w:p w:rsidR="005A3F38" w:rsidRDefault="003114B5">
      <w:pPr>
        <w:spacing w:after="128" w:line="249" w:lineRule="auto"/>
        <w:ind w:left="355" w:right="11" w:hanging="10"/>
      </w:pPr>
      <w:r>
        <w:rPr>
          <w:rFonts w:ascii="Times New Roman" w:eastAsia="Times New Roman" w:hAnsi="Times New Roman" w:cs="Times New Roman"/>
          <w:sz w:val="24"/>
        </w:rPr>
        <w:t xml:space="preserve">5.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Усенко Д.В. Анаферон детский: эффективность и безопас</w:t>
      </w:r>
      <w:r>
        <w:rPr>
          <w:rFonts w:ascii="Times New Roman" w:eastAsia="Times New Roman" w:hAnsi="Times New Roman" w:cs="Times New Roman"/>
          <w:sz w:val="24"/>
        </w:rPr>
        <w:t>ность в профилактике и терапии вирусных и бактериальных инфекций. Обзор литературы. ConsiliumMedicum/ Педиатрия. 2016; 3: 6-</w:t>
      </w:r>
    </w:p>
    <w:p w:rsidR="005A3F38" w:rsidRDefault="003114B5">
      <w:pPr>
        <w:spacing w:after="128" w:line="249" w:lineRule="auto"/>
        <w:ind w:left="355" w:right="11" w:hanging="10"/>
      </w:pPr>
      <w:r>
        <w:rPr>
          <w:rFonts w:ascii="Times New Roman" w:eastAsia="Times New Roman" w:hAnsi="Times New Roman" w:cs="Times New Roman"/>
          <w:sz w:val="24"/>
        </w:rPr>
        <w:t xml:space="preserve">14.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Кондюрина Е.Г. Анаферон детский. Феномен современной российской фармации. Практика педиатра. 2015; февраль: 56-63. </w:t>
      </w:r>
    </w:p>
    <w:p w:rsidR="005A3F38" w:rsidRDefault="003114B5">
      <w:pPr>
        <w:numPr>
          <w:ilvl w:val="0"/>
          <w:numId w:val="32"/>
        </w:numPr>
        <w:spacing w:after="5" w:line="364" w:lineRule="auto"/>
        <w:ind w:right="2" w:hanging="708"/>
        <w:jc w:val="both"/>
      </w:pPr>
      <w:r>
        <w:rPr>
          <w:rFonts w:ascii="Times New Roman" w:eastAsia="Times New Roman" w:hAnsi="Times New Roman" w:cs="Times New Roman"/>
          <w:sz w:val="24"/>
        </w:rPr>
        <w:t xml:space="preserve">Никифоров </w:t>
      </w:r>
      <w:r>
        <w:rPr>
          <w:rFonts w:ascii="Times New Roman" w:eastAsia="Times New Roman" w:hAnsi="Times New Roman" w:cs="Times New Roman"/>
          <w:sz w:val="24"/>
        </w:rPr>
        <w:t>В.В., Руженцова Т.А. Клиническая эффективность и безопасность Эргоферона при гриппе и других острых респираторных вирусных инфекциях: критическая оценка с позиции доказательной медицины. Инфекционные болезни: новости, мнения, обучение. 2019;8(4):84-97. 143</w:t>
      </w:r>
      <w:r>
        <w:rPr>
          <w:rFonts w:ascii="Times New Roman" w:eastAsia="Times New Roman" w:hAnsi="Times New Roman" w:cs="Times New Roman"/>
          <w:sz w:val="24"/>
        </w:rPr>
        <w:t>.</w:t>
      </w:r>
      <w:r>
        <w:rPr>
          <w:rFonts w:ascii="Arial" w:eastAsia="Arial" w:hAnsi="Arial" w:cs="Arial"/>
          <w:sz w:val="24"/>
        </w:rPr>
        <w:t xml:space="preserve"> </w:t>
      </w:r>
      <w:r>
        <w:rPr>
          <w:rFonts w:ascii="Times New Roman" w:eastAsia="Times New Roman" w:hAnsi="Times New Roman" w:cs="Times New Roman"/>
          <w:sz w:val="24"/>
        </w:rPr>
        <w:t>Геппе Н.А., Кондюрина Е.Г., Мельникова И.М., Сабитов А.У., Перминова О.А., Галустян А.Н. и др. Релиз-активный противовирусный препарат Эргоферон в лечении острых респираторных инфекций у детей. Эффективность жидкой лекарственной формы Эргоферона: результ</w:t>
      </w:r>
      <w:r>
        <w:rPr>
          <w:rFonts w:ascii="Times New Roman" w:eastAsia="Times New Roman" w:hAnsi="Times New Roman" w:cs="Times New Roman"/>
          <w:sz w:val="24"/>
        </w:rPr>
        <w:t xml:space="preserve">аты рандомизированного двойного слепого плацебо-контролируемого клинического исследования. </w:t>
      </w:r>
    </w:p>
    <w:p w:rsidR="005A3F38" w:rsidRDefault="003114B5">
      <w:pPr>
        <w:spacing w:after="5"/>
        <w:ind w:left="355" w:right="2" w:hanging="10"/>
        <w:jc w:val="both"/>
      </w:pPr>
      <w:r>
        <w:rPr>
          <w:rFonts w:ascii="Times New Roman" w:eastAsia="Times New Roman" w:hAnsi="Times New Roman" w:cs="Times New Roman"/>
          <w:sz w:val="24"/>
        </w:rPr>
        <w:t xml:space="preserve">Педиатрия. Журнал им. Г.Н. Сперанского. 2019; 1: 87-94.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 xml:space="preserve">Заплатников А.Л., Кондюрина Е.Г., Елкина Т.Н., Грибанова О.А., Пирожкова Н.И., Мингалимова Г.А., Тюленева И.О. Применение различных схем противовирусной терапии ОРВИ у детей. Детские инфекции. 2015; 3: 34–42.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Кондюрина Е.Г., Бурцева Е.И., Трушакова С.В.,</w:t>
      </w:r>
      <w:r>
        <w:rPr>
          <w:rFonts w:ascii="Times New Roman" w:eastAsia="Times New Roman" w:hAnsi="Times New Roman" w:cs="Times New Roman"/>
          <w:sz w:val="24"/>
        </w:rPr>
        <w:t xml:space="preserve"> Мукашева Е.А., Виноградова А.А., Елкина Т.Н., Зеленская В.В. Оценка эффективности противовирусной терапии у детей с острым обструктивным бронхитом. Лечащий врач. 2017; 1: 65–70.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Сабитов А.У., Ершова А.В. Оптимизация лечения острой респираторной вирусной</w:t>
      </w:r>
      <w:r>
        <w:rPr>
          <w:rFonts w:ascii="Times New Roman" w:eastAsia="Times New Roman" w:hAnsi="Times New Roman" w:cs="Times New Roman"/>
          <w:sz w:val="24"/>
        </w:rPr>
        <w:t xml:space="preserve"> инфекции у детей с бронхиальной астмой. Практическая медицина. 2015; 2(87): 85–90.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Афанасьева О.И., Эсауленко Е.В. Эффективность препаратов Эргоферон, Анаферон и Анаферон детский в лечении и профилактике гриппа и других острых респираторных вирусных инф</w:t>
      </w:r>
      <w:r>
        <w:rPr>
          <w:rFonts w:ascii="Times New Roman" w:eastAsia="Times New Roman" w:hAnsi="Times New Roman" w:cs="Times New Roman"/>
          <w:sz w:val="24"/>
        </w:rPr>
        <w:t xml:space="preserve">екций // ConsiliumMedicum. – 2016. – Спецвыпуск. – С. 2-4.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Геппе Н.А., Кондюрина Е.Г., Галустян А.Н. и др. Жидкая лекарственная форма эргоферона – эффективное и безопасное средство лечения острых респираторных инфекций у детей. Промежуточные итоги многоце</w:t>
      </w:r>
      <w:r>
        <w:rPr>
          <w:rFonts w:ascii="Times New Roman" w:eastAsia="Times New Roman" w:hAnsi="Times New Roman" w:cs="Times New Roman"/>
          <w:sz w:val="24"/>
        </w:rPr>
        <w:t>нтрового двойного слепого плацебо-контролируемого рандомизированного клинического исследования // Антибиотики и химиотерапия, 2014; 59 (5–6): 6–</w:t>
      </w:r>
    </w:p>
    <w:p w:rsidR="005A3F38" w:rsidRDefault="003114B5">
      <w:pPr>
        <w:spacing w:after="128" w:line="249" w:lineRule="auto"/>
        <w:ind w:left="355" w:right="11" w:hanging="10"/>
      </w:pPr>
      <w:r>
        <w:rPr>
          <w:rFonts w:ascii="Times New Roman" w:eastAsia="Times New Roman" w:hAnsi="Times New Roman" w:cs="Times New Roman"/>
          <w:sz w:val="24"/>
        </w:rPr>
        <w:t xml:space="preserve">14.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 xml:space="preserve">Геппе Н.А., Валиева С.Т., Фараджева Н.А., Оганян М.Р., Мырзабекова Г.Т., Жанузаков М.А., Катарбаев А.К., </w:t>
      </w:r>
      <w:r>
        <w:rPr>
          <w:rFonts w:ascii="Times New Roman" w:eastAsia="Times New Roman" w:hAnsi="Times New Roman" w:cs="Times New Roman"/>
          <w:sz w:val="24"/>
        </w:rPr>
        <w:t>Скучалина Л.Н., Айткулуев Н.С., Кабаева Д.Д., Раупов Ф.О., Ибадова Г.А., Шамсиев Ф.С., Наврузова Ш.И., Хусинова Ш.А., Нурмухамедова Р.А., Абдрахманова С.Т. Лечение ОРВИ и гриппа в амбулаторно-поликлинической практике: результаты международной наблюдательно</w:t>
      </w:r>
      <w:r>
        <w:rPr>
          <w:rFonts w:ascii="Times New Roman" w:eastAsia="Times New Roman" w:hAnsi="Times New Roman" w:cs="Times New Roman"/>
          <w:sz w:val="24"/>
        </w:rPr>
        <w:t xml:space="preserve">й неинтервенционной программы «ЭРМИТАЖ». Терапия. 2017;8 (18):63-78.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Афанасьева О.И., Суховецкая В.Ф., Осидак Л.В., Милькинт К.К., Головачева Е.Г., Ариневский В.П., Амосова И.В. Клинико-лабораторная характеристика и терапия ОРВИ со стенозирующим ларинготр</w:t>
      </w:r>
      <w:r>
        <w:rPr>
          <w:rFonts w:ascii="Times New Roman" w:eastAsia="Times New Roman" w:hAnsi="Times New Roman" w:cs="Times New Roman"/>
          <w:sz w:val="24"/>
        </w:rPr>
        <w:t xml:space="preserve">ахеитом у детей //Детские инфекции. – 2005. – Т. 4. – №. 1. – С. 32-36.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Осидак Л.В., Головачева Е.Г., Дондурей Е.А., Афанасьева О.И., Образцова Е.В., Дриневский В.П., Гончарова Е.С., Суховецкая В.Ф., Милькинт К.К. Противовирусная терапия и профилактика ос</w:t>
      </w:r>
      <w:r>
        <w:rPr>
          <w:rFonts w:ascii="Times New Roman" w:eastAsia="Times New Roman" w:hAnsi="Times New Roman" w:cs="Times New Roman"/>
          <w:sz w:val="24"/>
        </w:rPr>
        <w:t xml:space="preserve">трых респираторных инфекций //Детские инфекции. – 2012. – Т. 11. – С. 16-23. </w:t>
      </w:r>
    </w:p>
    <w:p w:rsidR="005A3F38" w:rsidRDefault="003114B5">
      <w:pPr>
        <w:numPr>
          <w:ilvl w:val="0"/>
          <w:numId w:val="33"/>
        </w:numPr>
        <w:spacing w:after="0" w:line="357" w:lineRule="auto"/>
        <w:ind w:right="2" w:hanging="768"/>
        <w:jc w:val="both"/>
      </w:pPr>
      <w:r>
        <w:rPr>
          <w:rFonts w:ascii="Times New Roman" w:eastAsia="Times New Roman" w:hAnsi="Times New Roman" w:cs="Times New Roman"/>
          <w:sz w:val="24"/>
        </w:rPr>
        <w:t xml:space="preserve">Firdaus A, Yunus MH, Izhar SK, Afaq U. Medicinal Plants in the Treatment of Respiratory Diseases and their Future Aspects. Recent Pat Biotechnol. 2025;19(1):2-18.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10.2174/0118722083278561231212072408.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Pourova J, Dias P, Pour M, Bittner Fialová S, Czigle S, Nagy M, Tóth J, Balázs VL, Horváth A, Csikós E, Farkas Á, Horváth G, Mladěnka P. Proposed mechanisms of action of herbal drugs and their biologically active cons</w:t>
      </w:r>
      <w:r>
        <w:rPr>
          <w:rFonts w:ascii="Times New Roman" w:eastAsia="Times New Roman" w:hAnsi="Times New Roman" w:cs="Times New Roman"/>
          <w:sz w:val="24"/>
        </w:rPr>
        <w:t xml:space="preserve">tituents in the treatment of coughs: an overview. PeerJ. 2023 Oct 24;11:e16096.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10.7717/peerj.16096. </w:t>
      </w:r>
    </w:p>
    <w:p w:rsidR="005A3F38" w:rsidRDefault="003114B5">
      <w:pPr>
        <w:numPr>
          <w:ilvl w:val="0"/>
          <w:numId w:val="33"/>
        </w:numPr>
        <w:spacing w:after="20" w:line="366" w:lineRule="auto"/>
        <w:ind w:right="2" w:hanging="768"/>
        <w:jc w:val="both"/>
      </w:pPr>
      <w:r>
        <w:rPr>
          <w:rFonts w:ascii="Times New Roman" w:eastAsia="Times New Roman" w:hAnsi="Times New Roman" w:cs="Times New Roman"/>
          <w:sz w:val="24"/>
        </w:rPr>
        <w:t xml:space="preserve">Лазарева НБ, Карноух К.И. Фитопрепараты: современные возможности использования в терапии </w:t>
      </w:r>
      <w:r>
        <w:rPr>
          <w:rFonts w:ascii="Times New Roman" w:eastAsia="Times New Roman" w:hAnsi="Times New Roman" w:cs="Times New Roman"/>
          <w:sz w:val="24"/>
        </w:rPr>
        <w:tab/>
        <w:t xml:space="preserve">респираторных </w:t>
      </w:r>
      <w:r>
        <w:rPr>
          <w:rFonts w:ascii="Times New Roman" w:eastAsia="Times New Roman" w:hAnsi="Times New Roman" w:cs="Times New Roman"/>
          <w:sz w:val="24"/>
        </w:rPr>
        <w:tab/>
        <w:t xml:space="preserve">инфекций. </w:t>
      </w:r>
      <w:r>
        <w:rPr>
          <w:rFonts w:ascii="Times New Roman" w:eastAsia="Times New Roman" w:hAnsi="Times New Roman" w:cs="Times New Roman"/>
          <w:sz w:val="24"/>
        </w:rPr>
        <w:tab/>
        <w:t xml:space="preserve">Медицинский </w:t>
      </w:r>
      <w:r>
        <w:rPr>
          <w:rFonts w:ascii="Times New Roman" w:eastAsia="Times New Roman" w:hAnsi="Times New Roman" w:cs="Times New Roman"/>
          <w:sz w:val="24"/>
        </w:rPr>
        <w:tab/>
        <w:t xml:space="preserve">Совет. </w:t>
      </w:r>
      <w:r>
        <w:rPr>
          <w:rFonts w:ascii="Times New Roman" w:eastAsia="Times New Roman" w:hAnsi="Times New Roman" w:cs="Times New Roman"/>
          <w:sz w:val="24"/>
        </w:rPr>
        <w:tab/>
        <w:t>2020;(17):1</w:t>
      </w:r>
      <w:r>
        <w:rPr>
          <w:rFonts w:ascii="Times New Roman" w:eastAsia="Times New Roman" w:hAnsi="Times New Roman" w:cs="Times New Roman"/>
          <w:sz w:val="24"/>
        </w:rPr>
        <w:t xml:space="preserve">14-122. </w:t>
      </w:r>
      <w:hyperlink r:id="rId107">
        <w:r>
          <w:rPr>
            <w:rFonts w:ascii="Times New Roman" w:eastAsia="Times New Roman" w:hAnsi="Times New Roman" w:cs="Times New Roman"/>
            <w:color w:val="0000FF"/>
            <w:sz w:val="24"/>
            <w:u w:val="single" w:color="0000FF"/>
          </w:rPr>
          <w:t>https://doi.org/10.21518/2079</w:t>
        </w:r>
      </w:hyperlink>
      <w:hyperlink r:id="rId108">
        <w:r>
          <w:rPr>
            <w:rFonts w:ascii="Times New Roman" w:eastAsia="Times New Roman" w:hAnsi="Times New Roman" w:cs="Times New Roman"/>
            <w:color w:val="0000FF"/>
            <w:sz w:val="24"/>
            <w:u w:val="single" w:color="0000FF"/>
          </w:rPr>
          <w:t>-</w:t>
        </w:r>
      </w:hyperlink>
      <w:hyperlink r:id="rId109">
        <w:r>
          <w:rPr>
            <w:rFonts w:ascii="Times New Roman" w:eastAsia="Times New Roman" w:hAnsi="Times New Roman" w:cs="Times New Roman"/>
            <w:color w:val="0000FF"/>
            <w:sz w:val="24"/>
            <w:u w:val="single" w:color="0000FF"/>
          </w:rPr>
          <w:t>701X</w:t>
        </w:r>
      </w:hyperlink>
      <w:hyperlink r:id="rId110">
        <w:r>
          <w:rPr>
            <w:rFonts w:ascii="Times New Roman" w:eastAsia="Times New Roman" w:hAnsi="Times New Roman" w:cs="Times New Roman"/>
            <w:color w:val="0000FF"/>
            <w:sz w:val="24"/>
            <w:u w:val="single" w:color="0000FF"/>
          </w:rPr>
          <w:t>-</w:t>
        </w:r>
      </w:hyperlink>
      <w:hyperlink r:id="rId111">
        <w:r>
          <w:rPr>
            <w:rFonts w:ascii="Times New Roman" w:eastAsia="Times New Roman" w:hAnsi="Times New Roman" w:cs="Times New Roman"/>
            <w:color w:val="0000FF"/>
            <w:sz w:val="24"/>
            <w:u w:val="single" w:color="0000FF"/>
          </w:rPr>
          <w:t>2020</w:t>
        </w:r>
      </w:hyperlink>
      <w:hyperlink r:id="rId112">
        <w:r>
          <w:rPr>
            <w:rFonts w:ascii="Times New Roman" w:eastAsia="Times New Roman" w:hAnsi="Times New Roman" w:cs="Times New Roman"/>
            <w:color w:val="0000FF"/>
            <w:sz w:val="24"/>
            <w:u w:val="single" w:color="0000FF"/>
          </w:rPr>
          <w:t>-</w:t>
        </w:r>
      </w:hyperlink>
      <w:hyperlink r:id="rId113">
        <w:r>
          <w:rPr>
            <w:rFonts w:ascii="Times New Roman" w:eastAsia="Times New Roman" w:hAnsi="Times New Roman" w:cs="Times New Roman"/>
            <w:color w:val="0000FF"/>
            <w:sz w:val="24"/>
            <w:u w:val="single" w:color="0000FF"/>
          </w:rPr>
          <w:t>17</w:t>
        </w:r>
      </w:hyperlink>
      <w:hyperlink r:id="rId114">
        <w:r>
          <w:rPr>
            <w:rFonts w:ascii="Times New Roman" w:eastAsia="Times New Roman" w:hAnsi="Times New Roman" w:cs="Times New Roman"/>
            <w:color w:val="0000FF"/>
            <w:sz w:val="24"/>
            <w:u w:val="single" w:color="0000FF"/>
          </w:rPr>
          <w:t>-</w:t>
        </w:r>
      </w:hyperlink>
      <w:hyperlink r:id="rId115">
        <w:r>
          <w:rPr>
            <w:rFonts w:ascii="Times New Roman" w:eastAsia="Times New Roman" w:hAnsi="Times New Roman" w:cs="Times New Roman"/>
            <w:color w:val="0000FF"/>
            <w:sz w:val="24"/>
            <w:u w:val="single" w:color="0000FF"/>
          </w:rPr>
          <w:t>114</w:t>
        </w:r>
      </w:hyperlink>
      <w:hyperlink r:id="rId116">
        <w:r>
          <w:rPr>
            <w:rFonts w:ascii="Times New Roman" w:eastAsia="Times New Roman" w:hAnsi="Times New Roman" w:cs="Times New Roman"/>
            <w:color w:val="0000FF"/>
            <w:sz w:val="24"/>
            <w:u w:val="single" w:color="0000FF"/>
          </w:rPr>
          <w:t>-</w:t>
        </w:r>
      </w:hyperlink>
      <w:hyperlink r:id="rId117">
        <w:r>
          <w:rPr>
            <w:rFonts w:ascii="Times New Roman" w:eastAsia="Times New Roman" w:hAnsi="Times New Roman" w:cs="Times New Roman"/>
            <w:color w:val="0000FF"/>
            <w:sz w:val="24"/>
            <w:u w:val="single" w:color="0000FF"/>
          </w:rPr>
          <w:t>122</w:t>
        </w:r>
      </w:hyperlink>
      <w:hyperlink r:id="rId118">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 xml:space="preserve">Лапидус НИ. Кашель. Место фитотерапии в лечении. Медицинский Совет. 2021;(16):204-211. </w:t>
      </w:r>
      <w:hyperlink r:id="rId119">
        <w:r>
          <w:rPr>
            <w:rFonts w:ascii="Times New Roman" w:eastAsia="Times New Roman" w:hAnsi="Times New Roman" w:cs="Times New Roman"/>
            <w:color w:val="0000FF"/>
            <w:sz w:val="24"/>
            <w:u w:val="single" w:color="0000FF"/>
          </w:rPr>
          <w:t>https://doi.org/10.21518/2079</w:t>
        </w:r>
      </w:hyperlink>
      <w:hyperlink r:id="rId120">
        <w:r>
          <w:rPr>
            <w:rFonts w:ascii="Times New Roman" w:eastAsia="Times New Roman" w:hAnsi="Times New Roman" w:cs="Times New Roman"/>
            <w:color w:val="0000FF"/>
            <w:sz w:val="24"/>
            <w:u w:val="single" w:color="0000FF"/>
          </w:rPr>
          <w:t>-</w:t>
        </w:r>
      </w:hyperlink>
      <w:hyperlink r:id="rId121">
        <w:r>
          <w:rPr>
            <w:rFonts w:ascii="Times New Roman" w:eastAsia="Times New Roman" w:hAnsi="Times New Roman" w:cs="Times New Roman"/>
            <w:color w:val="0000FF"/>
            <w:sz w:val="24"/>
            <w:u w:val="single" w:color="0000FF"/>
          </w:rPr>
          <w:t>701X</w:t>
        </w:r>
      </w:hyperlink>
      <w:hyperlink r:id="rId122">
        <w:r>
          <w:rPr>
            <w:rFonts w:ascii="Times New Roman" w:eastAsia="Times New Roman" w:hAnsi="Times New Roman" w:cs="Times New Roman"/>
            <w:color w:val="0000FF"/>
            <w:sz w:val="24"/>
            <w:u w:val="single" w:color="0000FF"/>
          </w:rPr>
          <w:t>-</w:t>
        </w:r>
      </w:hyperlink>
      <w:hyperlink r:id="rId123">
        <w:r>
          <w:rPr>
            <w:rFonts w:ascii="Times New Roman" w:eastAsia="Times New Roman" w:hAnsi="Times New Roman" w:cs="Times New Roman"/>
            <w:color w:val="0000FF"/>
            <w:sz w:val="24"/>
            <w:u w:val="single" w:color="0000FF"/>
          </w:rPr>
          <w:t>2021</w:t>
        </w:r>
      </w:hyperlink>
      <w:hyperlink r:id="rId124">
        <w:r>
          <w:rPr>
            <w:rFonts w:ascii="Times New Roman" w:eastAsia="Times New Roman" w:hAnsi="Times New Roman" w:cs="Times New Roman"/>
            <w:color w:val="0000FF"/>
            <w:sz w:val="24"/>
            <w:u w:val="single" w:color="0000FF"/>
          </w:rPr>
          <w:t>-</w:t>
        </w:r>
      </w:hyperlink>
      <w:hyperlink r:id="rId125">
        <w:r>
          <w:rPr>
            <w:rFonts w:ascii="Times New Roman" w:eastAsia="Times New Roman" w:hAnsi="Times New Roman" w:cs="Times New Roman"/>
            <w:color w:val="0000FF"/>
            <w:sz w:val="24"/>
            <w:u w:val="single" w:color="0000FF"/>
          </w:rPr>
          <w:t>16</w:t>
        </w:r>
      </w:hyperlink>
      <w:hyperlink r:id="rId126">
        <w:r>
          <w:rPr>
            <w:rFonts w:ascii="Times New Roman" w:eastAsia="Times New Roman" w:hAnsi="Times New Roman" w:cs="Times New Roman"/>
            <w:color w:val="0000FF"/>
            <w:sz w:val="24"/>
            <w:u w:val="single" w:color="0000FF"/>
          </w:rPr>
          <w:t>-</w:t>
        </w:r>
      </w:hyperlink>
      <w:hyperlink r:id="rId127">
        <w:r>
          <w:rPr>
            <w:rFonts w:ascii="Times New Roman" w:eastAsia="Times New Roman" w:hAnsi="Times New Roman" w:cs="Times New Roman"/>
            <w:color w:val="0000FF"/>
            <w:sz w:val="24"/>
            <w:u w:val="single" w:color="0000FF"/>
          </w:rPr>
          <w:t>204</w:t>
        </w:r>
      </w:hyperlink>
      <w:hyperlink r:id="rId128">
        <w:r>
          <w:rPr>
            <w:rFonts w:ascii="Times New Roman" w:eastAsia="Times New Roman" w:hAnsi="Times New Roman" w:cs="Times New Roman"/>
            <w:color w:val="0000FF"/>
            <w:sz w:val="24"/>
            <w:u w:val="single" w:color="0000FF"/>
          </w:rPr>
          <w:t>-</w:t>
        </w:r>
      </w:hyperlink>
      <w:hyperlink r:id="rId129">
        <w:r>
          <w:rPr>
            <w:rFonts w:ascii="Times New Roman" w:eastAsia="Times New Roman" w:hAnsi="Times New Roman" w:cs="Times New Roman"/>
            <w:color w:val="0000FF"/>
            <w:sz w:val="24"/>
            <w:u w:val="single" w:color="0000FF"/>
          </w:rPr>
          <w:t>211</w:t>
        </w:r>
      </w:hyperlink>
      <w:hyperlink r:id="rId130">
        <w:r>
          <w:rPr>
            <w:rFonts w:ascii="Times New Roman" w:eastAsia="Times New Roman" w:hAnsi="Times New Roman" w:cs="Times New Roman"/>
            <w:sz w:val="24"/>
          </w:rPr>
          <w:t xml:space="preserve"> </w:t>
        </w:r>
      </w:hyperlink>
      <w:r>
        <w:rPr>
          <w:rFonts w:ascii="Times New Roman" w:eastAsia="Times New Roman" w:hAnsi="Times New Roman" w:cs="Times New Roman"/>
          <w:sz w:val="24"/>
        </w:rPr>
        <w:t xml:space="preserve">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Волков К.С., Нисевич Л.Л., Намазова-Баранова Л.С., Филянская Е.Г., Алексеева А.А., Баранник В.А. Кашель у детей: особенности диагностики и подходы к тера</w:t>
      </w:r>
      <w:r>
        <w:rPr>
          <w:rFonts w:ascii="Times New Roman" w:eastAsia="Times New Roman" w:hAnsi="Times New Roman" w:cs="Times New Roman"/>
          <w:sz w:val="24"/>
        </w:rPr>
        <w:t xml:space="preserve">пии. Вопросы современной педиатрии. 2013; 12 (1): 112–116)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Горелов А.В., Орлова С.Н., Усенко Д.В., Пшеничная Н.Ю., Петров В.А., Тихонова Е.П., Поромов А.А. Результаты Всероссийского многоцентрового исследования применения комбинированного препарата Кодела</w:t>
      </w:r>
      <w:r>
        <w:rPr>
          <w:rFonts w:ascii="Times New Roman" w:eastAsia="Times New Roman" w:hAnsi="Times New Roman" w:cs="Times New Roman"/>
          <w:sz w:val="24"/>
        </w:rPr>
        <w:t xml:space="preserve">к® Бронхо у пациентов с продуктивным кашлем // Инфекционные болезни: новости, мнения, обучение. 2024. Т. 13, № 4. С. 139–149. DOI: </w:t>
      </w:r>
      <w:hyperlink r:id="rId131">
        <w:r>
          <w:rPr>
            <w:rFonts w:ascii="Times New Roman" w:eastAsia="Times New Roman" w:hAnsi="Times New Roman" w:cs="Times New Roman"/>
            <w:color w:val="0000FF"/>
            <w:sz w:val="24"/>
            <w:u w:val="single" w:color="0000FF"/>
          </w:rPr>
          <w:t>https://doi.org/10.33029/2305</w:t>
        </w:r>
      </w:hyperlink>
      <w:hyperlink r:id="rId132">
        <w:r>
          <w:rPr>
            <w:rFonts w:ascii="Times New Roman" w:eastAsia="Times New Roman" w:hAnsi="Times New Roman" w:cs="Times New Roman"/>
            <w:color w:val="0000FF"/>
            <w:sz w:val="24"/>
            <w:u w:val="single" w:color="0000FF"/>
          </w:rPr>
          <w:t>-</w:t>
        </w:r>
      </w:hyperlink>
      <w:hyperlink r:id="rId133">
        <w:r>
          <w:rPr>
            <w:rFonts w:ascii="Times New Roman" w:eastAsia="Times New Roman" w:hAnsi="Times New Roman" w:cs="Times New Roman"/>
            <w:color w:val="0000FF"/>
            <w:sz w:val="24"/>
            <w:u w:val="single" w:color="0000FF"/>
          </w:rPr>
          <w:t>3496</w:t>
        </w:r>
      </w:hyperlink>
      <w:hyperlink r:id="rId134">
        <w:r>
          <w:rPr>
            <w:rFonts w:ascii="Times New Roman" w:eastAsia="Times New Roman" w:hAnsi="Times New Roman" w:cs="Times New Roman"/>
            <w:color w:val="0000FF"/>
            <w:sz w:val="24"/>
            <w:u w:val="single" w:color="0000FF"/>
          </w:rPr>
          <w:t>-</w:t>
        </w:r>
      </w:hyperlink>
      <w:hyperlink r:id="rId135">
        <w:r>
          <w:rPr>
            <w:rFonts w:ascii="Times New Roman" w:eastAsia="Times New Roman" w:hAnsi="Times New Roman" w:cs="Times New Roman"/>
            <w:color w:val="0000FF"/>
            <w:sz w:val="24"/>
            <w:u w:val="single" w:color="0000FF"/>
          </w:rPr>
          <w:t>2024</w:t>
        </w:r>
      </w:hyperlink>
      <w:hyperlink r:id="rId136">
        <w:r>
          <w:rPr>
            <w:rFonts w:ascii="Times New Roman" w:eastAsia="Times New Roman" w:hAnsi="Times New Roman" w:cs="Times New Roman"/>
            <w:color w:val="0000FF"/>
            <w:sz w:val="24"/>
            <w:u w:val="single" w:color="0000FF"/>
          </w:rPr>
          <w:t>-</w:t>
        </w:r>
      </w:hyperlink>
      <w:hyperlink r:id="rId137">
        <w:r>
          <w:rPr>
            <w:rFonts w:ascii="Times New Roman" w:eastAsia="Times New Roman" w:hAnsi="Times New Roman" w:cs="Times New Roman"/>
            <w:color w:val="0000FF"/>
            <w:sz w:val="24"/>
            <w:u w:val="single" w:color="0000FF"/>
          </w:rPr>
          <w:t>13</w:t>
        </w:r>
      </w:hyperlink>
      <w:hyperlink r:id="rId138">
        <w:r>
          <w:rPr>
            <w:rFonts w:ascii="Times New Roman" w:eastAsia="Times New Roman" w:hAnsi="Times New Roman" w:cs="Times New Roman"/>
            <w:color w:val="0000FF"/>
            <w:sz w:val="24"/>
            <w:u w:val="single" w:color="0000FF"/>
          </w:rPr>
          <w:t>-</w:t>
        </w:r>
      </w:hyperlink>
      <w:hyperlink r:id="rId139">
        <w:r>
          <w:rPr>
            <w:rFonts w:ascii="Times New Roman" w:eastAsia="Times New Roman" w:hAnsi="Times New Roman" w:cs="Times New Roman"/>
            <w:color w:val="0000FF"/>
            <w:sz w:val="24"/>
            <w:u w:val="single" w:color="0000FF"/>
          </w:rPr>
          <w:t>4</w:t>
        </w:r>
      </w:hyperlink>
      <w:hyperlink r:id="rId140">
        <w:r>
          <w:rPr>
            <w:rFonts w:ascii="Times New Roman" w:eastAsia="Times New Roman" w:hAnsi="Times New Roman" w:cs="Times New Roman"/>
            <w:color w:val="0000FF"/>
            <w:sz w:val="24"/>
            <w:u w:val="single" w:color="0000FF"/>
          </w:rPr>
          <w:t>-</w:t>
        </w:r>
      </w:hyperlink>
      <w:hyperlink r:id="rId141">
        <w:r>
          <w:rPr>
            <w:rFonts w:ascii="Times New Roman" w:eastAsia="Times New Roman" w:hAnsi="Times New Roman" w:cs="Times New Roman"/>
            <w:color w:val="0000FF"/>
            <w:sz w:val="24"/>
            <w:u w:val="single" w:color="0000FF"/>
          </w:rPr>
          <w:t>139</w:t>
        </w:r>
      </w:hyperlink>
      <w:hyperlink r:id="rId142">
        <w:r>
          <w:rPr>
            <w:rFonts w:ascii="Times New Roman" w:eastAsia="Times New Roman" w:hAnsi="Times New Roman" w:cs="Times New Roman"/>
            <w:color w:val="0000FF"/>
            <w:sz w:val="24"/>
            <w:u w:val="single" w:color="0000FF"/>
          </w:rPr>
          <w:t>-</w:t>
        </w:r>
      </w:hyperlink>
      <w:hyperlink r:id="rId143">
        <w:r>
          <w:rPr>
            <w:rFonts w:ascii="Times New Roman" w:eastAsia="Times New Roman" w:hAnsi="Times New Roman" w:cs="Times New Roman"/>
            <w:color w:val="0000FF"/>
            <w:sz w:val="24"/>
            <w:u w:val="single" w:color="0000FF"/>
          </w:rPr>
          <w:t>149</w:t>
        </w:r>
      </w:hyperlink>
      <w:hyperlink r:id="rId144">
        <w:r>
          <w:rPr>
            <w:rFonts w:ascii="Times New Roman" w:eastAsia="Times New Roman" w:hAnsi="Times New Roman" w:cs="Times New Roman"/>
            <w:sz w:val="24"/>
          </w:rPr>
          <w:t xml:space="preserve"> </w:t>
        </w:r>
      </w:hyperlink>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Зайцева С.В., Локшина Э.Э., Зайцева О.В., Муратазаева О.А.,  Кузнецов Г.Б., Равшанова Л.С., Романовская Ж.А., Хмелькова И.И., Воронина О.Б., Рубцова Т.П. Рациональный выбор препаратов для лечения кашля у детей с  острыми заболеваниями нижних дыхательных пу</w:t>
      </w:r>
      <w:r>
        <w:rPr>
          <w:rFonts w:ascii="Times New Roman" w:eastAsia="Times New Roman" w:hAnsi="Times New Roman" w:cs="Times New Roman"/>
          <w:sz w:val="24"/>
        </w:rPr>
        <w:t xml:space="preserve">тей. Педиатрия/2012/Том 91/№ 5 </w:t>
      </w:r>
    </w:p>
    <w:p w:rsidR="005A3F38" w:rsidRDefault="003114B5">
      <w:pPr>
        <w:numPr>
          <w:ilvl w:val="0"/>
          <w:numId w:val="33"/>
        </w:numPr>
        <w:spacing w:after="7" w:line="238" w:lineRule="auto"/>
        <w:ind w:right="2" w:hanging="768"/>
        <w:jc w:val="both"/>
      </w:pPr>
      <w:r>
        <w:rPr>
          <w:rFonts w:ascii="Times New Roman" w:eastAsia="Times New Roman" w:hAnsi="Times New Roman" w:cs="Times New Roman"/>
          <w:sz w:val="24"/>
        </w:rPr>
        <w:t>Sebo P, Winkler NE, Moussa MA, Haller DM, Maisonneuve H. Nonpharmacological home remedies for upper respiratory tract infections: a cross-</w:t>
      </w:r>
      <w:r>
        <w:rPr>
          <w:rFonts w:ascii="Times New Roman" w:eastAsia="Times New Roman" w:hAnsi="Times New Roman" w:cs="Times New Roman"/>
          <w:sz w:val="24"/>
        </w:rPr>
        <w:t xml:space="preserve">sectional study of primary care patients in Switzerland and France. Fam Pract. 2023 Nov 23;40(4):564-568. doi: 10.1093/fampra/cmad084. PMID: 37573550; PMCID: PMC10667067. </w:t>
      </w:r>
    </w:p>
    <w:p w:rsidR="005A3F38" w:rsidRDefault="003114B5">
      <w:pPr>
        <w:numPr>
          <w:ilvl w:val="0"/>
          <w:numId w:val="33"/>
        </w:numPr>
        <w:spacing w:after="7" w:line="238" w:lineRule="auto"/>
        <w:ind w:right="2" w:hanging="768"/>
        <w:jc w:val="both"/>
      </w:pPr>
      <w:r>
        <w:rPr>
          <w:rFonts w:ascii="Times New Roman" w:eastAsia="Times New Roman" w:hAnsi="Times New Roman" w:cs="Times New Roman"/>
          <w:sz w:val="24"/>
        </w:rPr>
        <w:t>Murgia V, Manti S, Licari A, De Filippo M, Ciprandi G, Marseglia GL. Upper Respirato</w:t>
      </w:r>
      <w:r>
        <w:rPr>
          <w:rFonts w:ascii="Times New Roman" w:eastAsia="Times New Roman" w:hAnsi="Times New Roman" w:cs="Times New Roman"/>
          <w:sz w:val="24"/>
        </w:rPr>
        <w:t xml:space="preserve">ry Tract Infection-Associated Acute Cough and the Urge to Cough: New Insights for Clinical Practice. Pediatr Allergy Immunol Pulmonol. 2020 Mar;33(1):3-11. doi: 10.1089/ped.2019.1135. PMID: 33406022; PMCID: PMC7875114. </w:t>
      </w:r>
    </w:p>
    <w:p w:rsidR="005A3F38" w:rsidRDefault="003114B5">
      <w:pPr>
        <w:numPr>
          <w:ilvl w:val="0"/>
          <w:numId w:val="33"/>
        </w:numPr>
        <w:spacing w:after="7" w:line="238" w:lineRule="auto"/>
        <w:ind w:right="2" w:hanging="768"/>
        <w:jc w:val="both"/>
      </w:pPr>
      <w:r>
        <w:rPr>
          <w:rFonts w:ascii="Times New Roman" w:eastAsia="Times New Roman" w:hAnsi="Times New Roman" w:cs="Times New Roman"/>
          <w:sz w:val="24"/>
        </w:rPr>
        <w:t>Murgia V, Ciprandi G, Votto M, De Fi</w:t>
      </w:r>
      <w:r>
        <w:rPr>
          <w:rFonts w:ascii="Times New Roman" w:eastAsia="Times New Roman" w:hAnsi="Times New Roman" w:cs="Times New Roman"/>
          <w:sz w:val="24"/>
        </w:rPr>
        <w:t xml:space="preserve">lippo M, Tosca MA, Marseglia GL. Natural remedies for acute post-viral cough in children. Allergol Immunopathol (Madr). 2021 May 1;49(3):173-184. doi: 10.15586/aei.v49i3.71. PMID: 33938204. </w:t>
      </w:r>
    </w:p>
    <w:p w:rsidR="005A3F38" w:rsidRDefault="003114B5">
      <w:pPr>
        <w:numPr>
          <w:ilvl w:val="0"/>
          <w:numId w:val="33"/>
        </w:numPr>
        <w:spacing w:after="7" w:line="358" w:lineRule="auto"/>
        <w:ind w:right="2" w:hanging="768"/>
        <w:jc w:val="both"/>
      </w:pPr>
      <w:r>
        <w:rPr>
          <w:rFonts w:ascii="Times New Roman" w:eastAsia="Times New Roman" w:hAnsi="Times New Roman" w:cs="Times New Roman"/>
          <w:sz w:val="24"/>
        </w:rPr>
        <w:t>Kuitunen I, Renko M. Honey for acute cough in children - a system</w:t>
      </w:r>
      <w:r>
        <w:rPr>
          <w:rFonts w:ascii="Times New Roman" w:eastAsia="Times New Roman" w:hAnsi="Times New Roman" w:cs="Times New Roman"/>
          <w:sz w:val="24"/>
        </w:rPr>
        <w:t xml:space="preserve">atic review. Eur J Pediatr. 2023 Sep;182(9):3949-3956. doi: 10.1007/s00431-023-05066-1. Epub 2023 Jun 25. PMID: 37355498; PMCID: PMC10570220. </w:t>
      </w:r>
    </w:p>
    <w:p w:rsidR="005A3F38" w:rsidRDefault="003114B5">
      <w:pPr>
        <w:numPr>
          <w:ilvl w:val="0"/>
          <w:numId w:val="33"/>
        </w:numPr>
        <w:spacing w:after="32" w:line="356" w:lineRule="auto"/>
        <w:ind w:right="2" w:hanging="768"/>
        <w:jc w:val="both"/>
      </w:pPr>
      <w:r>
        <w:rPr>
          <w:rFonts w:ascii="Times New Roman" w:eastAsia="Times New Roman" w:hAnsi="Times New Roman" w:cs="Times New Roman"/>
          <w:sz w:val="24"/>
        </w:rPr>
        <w:t xml:space="preserve">Altunç U, Pittler MH, Ernst E. Homeopathy for childhood and adolescent ailments: systematic review of randomized </w:t>
      </w:r>
      <w:r>
        <w:rPr>
          <w:rFonts w:ascii="Times New Roman" w:eastAsia="Times New Roman" w:hAnsi="Times New Roman" w:cs="Times New Roman"/>
          <w:sz w:val="24"/>
        </w:rPr>
        <w:t xml:space="preserve">clinical trials. Mayo Clin Proc. 2007;82(1):69-75 </w:t>
      </w:r>
    </w:p>
    <w:p w:rsidR="005A3F38" w:rsidRDefault="003114B5">
      <w:pPr>
        <w:numPr>
          <w:ilvl w:val="0"/>
          <w:numId w:val="33"/>
        </w:numPr>
        <w:spacing w:after="119"/>
        <w:ind w:right="2" w:hanging="768"/>
        <w:jc w:val="both"/>
      </w:pPr>
      <w:r>
        <w:rPr>
          <w:rFonts w:ascii="Times New Roman" w:eastAsia="Times New Roman" w:hAnsi="Times New Roman" w:cs="Times New Roman"/>
          <w:sz w:val="24"/>
        </w:rPr>
        <w:t xml:space="preserve">ЗАЯВЛЕНИЕ о лекарственных препаратах, не содержащих действующих веществ </w:t>
      </w:r>
    </w:p>
    <w:p w:rsidR="005A3F38" w:rsidRDefault="003114B5">
      <w:pPr>
        <w:spacing w:after="5" w:line="359" w:lineRule="auto"/>
        <w:ind w:left="355" w:hanging="10"/>
      </w:pPr>
      <w:hyperlink r:id="rId145">
        <w:r>
          <w:rPr>
            <w:rFonts w:ascii="Times New Roman" w:eastAsia="Times New Roman" w:hAnsi="Times New Roman" w:cs="Times New Roman"/>
            <w:color w:val="0000FF"/>
            <w:sz w:val="24"/>
            <w:u w:val="single" w:color="0000FF"/>
          </w:rPr>
          <w:t>https:</w:t>
        </w:r>
        <w:r>
          <w:rPr>
            <w:rFonts w:ascii="Times New Roman" w:eastAsia="Times New Roman" w:hAnsi="Times New Roman" w:cs="Times New Roman"/>
            <w:color w:val="0000FF"/>
            <w:sz w:val="24"/>
            <w:u w:val="single" w:color="0000FF"/>
          </w:rPr>
          <w:t>//klnran.ru/2025/05/zayavlenie</w:t>
        </w:r>
      </w:hyperlink>
      <w:hyperlink r:id="rId146">
        <w:r>
          <w:rPr>
            <w:rFonts w:ascii="Times New Roman" w:eastAsia="Times New Roman" w:hAnsi="Times New Roman" w:cs="Times New Roman"/>
            <w:color w:val="0000FF"/>
            <w:sz w:val="24"/>
            <w:u w:val="single" w:color="0000FF"/>
          </w:rPr>
          <w:t>-o-</w:t>
        </w:r>
      </w:hyperlink>
      <w:hyperlink r:id="rId147">
        <w:r>
          <w:rPr>
            <w:rFonts w:ascii="Times New Roman" w:eastAsia="Times New Roman" w:hAnsi="Times New Roman" w:cs="Times New Roman"/>
            <w:color w:val="0000FF"/>
            <w:sz w:val="24"/>
            <w:u w:val="single" w:color="0000FF"/>
          </w:rPr>
          <w:t>lekarstvennyh</w:t>
        </w:r>
      </w:hyperlink>
      <w:hyperlink r:id="rId148">
        <w:r>
          <w:rPr>
            <w:rFonts w:ascii="Times New Roman" w:eastAsia="Times New Roman" w:hAnsi="Times New Roman" w:cs="Times New Roman"/>
            <w:color w:val="0000FF"/>
            <w:sz w:val="24"/>
            <w:u w:val="single" w:color="0000FF"/>
          </w:rPr>
          <w:t>-</w:t>
        </w:r>
      </w:hyperlink>
      <w:hyperlink r:id="rId149">
        <w:r>
          <w:rPr>
            <w:rFonts w:ascii="Times New Roman" w:eastAsia="Times New Roman" w:hAnsi="Times New Roman" w:cs="Times New Roman"/>
            <w:color w:val="0000FF"/>
            <w:sz w:val="24"/>
            <w:u w:val="single" w:color="0000FF"/>
          </w:rPr>
          <w:t>preparatah</w:t>
        </w:r>
      </w:hyperlink>
      <w:hyperlink r:id="rId150">
        <w:r>
          <w:rPr>
            <w:rFonts w:ascii="Times New Roman" w:eastAsia="Times New Roman" w:hAnsi="Times New Roman" w:cs="Times New Roman"/>
            <w:color w:val="0000FF"/>
            <w:sz w:val="24"/>
            <w:u w:val="single" w:color="0000FF"/>
          </w:rPr>
          <w:t>-</w:t>
        </w:r>
      </w:hyperlink>
      <w:hyperlink r:id="rId151">
        <w:r>
          <w:rPr>
            <w:rFonts w:ascii="Times New Roman" w:eastAsia="Times New Roman" w:hAnsi="Times New Roman" w:cs="Times New Roman"/>
            <w:color w:val="0000FF"/>
            <w:sz w:val="24"/>
            <w:u w:val="single" w:color="0000FF"/>
          </w:rPr>
          <w:t>ne</w:t>
        </w:r>
      </w:hyperlink>
      <w:hyperlink r:id="rId152">
        <w:r>
          <w:rPr>
            <w:rFonts w:ascii="Times New Roman" w:eastAsia="Times New Roman" w:hAnsi="Times New Roman" w:cs="Times New Roman"/>
            <w:color w:val="0000FF"/>
            <w:sz w:val="24"/>
            <w:u w:val="single" w:color="0000FF"/>
          </w:rPr>
          <w:t>-</w:t>
        </w:r>
      </w:hyperlink>
      <w:hyperlink r:id="rId153">
        <w:r>
          <w:rPr>
            <w:rFonts w:ascii="Times New Roman" w:eastAsia="Times New Roman" w:hAnsi="Times New Roman" w:cs="Times New Roman"/>
            <w:color w:val="0000FF"/>
            <w:sz w:val="24"/>
            <w:u w:val="single" w:color="0000FF"/>
          </w:rPr>
          <w:t>soderzhashhih</w:t>
        </w:r>
      </w:hyperlink>
      <w:hyperlink r:id="rId154">
        <w:r>
          <w:rPr>
            <w:rFonts w:ascii="Times New Roman" w:eastAsia="Times New Roman" w:hAnsi="Times New Roman" w:cs="Times New Roman"/>
            <w:color w:val="0000FF"/>
            <w:sz w:val="24"/>
            <w:u w:val="single" w:color="0000FF"/>
          </w:rPr>
          <w:t>-</w:t>
        </w:r>
      </w:hyperlink>
      <w:hyperlink r:id="rId155">
        <w:r>
          <w:rPr>
            <w:rFonts w:ascii="Times New Roman" w:eastAsia="Times New Roman" w:hAnsi="Times New Roman" w:cs="Times New Roman"/>
            <w:color w:val="0000FF"/>
            <w:sz w:val="24"/>
            <w:u w:val="single" w:color="0000FF"/>
          </w:rPr>
          <w:t>dejstvujushhih</w:t>
        </w:r>
      </w:hyperlink>
      <w:hyperlink r:id="rId156"/>
      <w:hyperlink r:id="rId157">
        <w:r>
          <w:rPr>
            <w:rFonts w:ascii="Times New Roman" w:eastAsia="Times New Roman" w:hAnsi="Times New Roman" w:cs="Times New Roman"/>
            <w:color w:val="0000FF"/>
            <w:sz w:val="24"/>
            <w:u w:val="single" w:color="0000FF"/>
          </w:rPr>
          <w:t>veshhestv/</w:t>
        </w:r>
      </w:hyperlink>
      <w:hyperlink r:id="rId158">
        <w:r>
          <w:rPr>
            <w:rFonts w:ascii="Times New Roman" w:eastAsia="Times New Roman" w:hAnsi="Times New Roman" w:cs="Times New Roman"/>
            <w:sz w:val="24"/>
          </w:rPr>
          <w:t xml:space="preserve"> </w:t>
        </w:r>
      </w:hyperlink>
      <w:r>
        <w:rPr>
          <w:rFonts w:ascii="Times New Roman" w:eastAsia="Times New Roman" w:hAnsi="Times New Roman" w:cs="Times New Roman"/>
          <w:sz w:val="24"/>
        </w:rPr>
        <w:t xml:space="preserve"> </w:t>
      </w:r>
    </w:p>
    <w:p w:rsidR="005A3F38" w:rsidRDefault="003114B5">
      <w:pPr>
        <w:numPr>
          <w:ilvl w:val="0"/>
          <w:numId w:val="33"/>
        </w:numPr>
        <w:spacing w:after="2" w:line="356" w:lineRule="auto"/>
        <w:ind w:right="2" w:hanging="768"/>
        <w:jc w:val="both"/>
      </w:pPr>
      <w:r>
        <w:rPr>
          <w:rFonts w:ascii="Times New Roman" w:eastAsia="Times New Roman" w:hAnsi="Times New Roman" w:cs="Times New Roman"/>
          <w:sz w:val="24"/>
        </w:rPr>
        <w:t>King D, Hawke K, McGuire TM, van Driel M. Homeopathi</w:t>
      </w:r>
      <w:r>
        <w:rPr>
          <w:rFonts w:ascii="Times New Roman" w:eastAsia="Times New Roman" w:hAnsi="Times New Roman" w:cs="Times New Roman"/>
          <w:sz w:val="24"/>
        </w:rPr>
        <w:t xml:space="preserve">c Preparations for Preventing and Treating Acute Upper Respiratory Tract Infections in Children: A Systematic Review and Meta-Analysis. Acad </w:t>
      </w:r>
    </w:p>
    <w:p w:rsidR="005A3F38" w:rsidRDefault="003114B5">
      <w:pPr>
        <w:spacing w:after="128" w:line="249" w:lineRule="auto"/>
        <w:ind w:left="355" w:right="11" w:hanging="10"/>
      </w:pPr>
      <w:r>
        <w:rPr>
          <w:rFonts w:ascii="Times New Roman" w:eastAsia="Times New Roman" w:hAnsi="Times New Roman" w:cs="Times New Roman"/>
          <w:sz w:val="24"/>
        </w:rPr>
        <w:t xml:space="preserve">Pediatr. 2021 Mar;21(2):211-220. doi: 10.1016/j.acap.2020.07.016. Epub 2020 Jul 19. PMID: 32698039 </w:t>
      </w:r>
    </w:p>
    <w:p w:rsidR="005A3F38" w:rsidRDefault="003114B5">
      <w:pPr>
        <w:numPr>
          <w:ilvl w:val="0"/>
          <w:numId w:val="33"/>
        </w:numPr>
        <w:spacing w:after="5" w:line="364" w:lineRule="auto"/>
        <w:ind w:right="2" w:hanging="768"/>
        <w:jc w:val="both"/>
      </w:pPr>
      <w:r>
        <w:rPr>
          <w:rFonts w:ascii="Times New Roman" w:eastAsia="Times New Roman" w:hAnsi="Times New Roman" w:cs="Times New Roman"/>
          <w:sz w:val="24"/>
        </w:rPr>
        <w:t>Хан М.А., Разу</w:t>
      </w:r>
      <w:r>
        <w:rPr>
          <w:rFonts w:ascii="Times New Roman" w:eastAsia="Times New Roman" w:hAnsi="Times New Roman" w:cs="Times New Roman"/>
          <w:sz w:val="24"/>
        </w:rPr>
        <w:t xml:space="preserve">мов А.Н., Корчажкина Н.Б. Физическая и реабилитационная медицина в педиатрии. Москва. “ГЭОТАР-Медиа”. 2018: 408 с. </w:t>
      </w:r>
    </w:p>
    <w:p w:rsidR="005A3F38" w:rsidRDefault="003114B5">
      <w:pPr>
        <w:numPr>
          <w:ilvl w:val="0"/>
          <w:numId w:val="33"/>
        </w:numPr>
        <w:spacing w:after="128" w:line="249" w:lineRule="auto"/>
        <w:ind w:right="2" w:hanging="768"/>
        <w:jc w:val="both"/>
      </w:pPr>
      <w:r>
        <w:rPr>
          <w:rFonts w:ascii="Times New Roman" w:eastAsia="Times New Roman" w:hAnsi="Times New Roman" w:cs="Times New Roman"/>
          <w:sz w:val="24"/>
        </w:rPr>
        <w:t xml:space="preserve">Eccles R. Common cold. Front Allergy. 2023 Jun 22;4:1224988. doi: 10.3389/falgy.2023.1224988. </w:t>
      </w:r>
    </w:p>
    <w:p w:rsidR="005A3F38" w:rsidRDefault="003114B5">
      <w:pPr>
        <w:spacing w:after="128" w:line="249" w:lineRule="auto"/>
        <w:ind w:left="355" w:right="11" w:hanging="10"/>
      </w:pPr>
      <w:r>
        <w:rPr>
          <w:rFonts w:ascii="Times New Roman" w:eastAsia="Times New Roman" w:hAnsi="Times New Roman" w:cs="Times New Roman"/>
          <w:sz w:val="24"/>
        </w:rPr>
        <w:t xml:space="preserve">PMID: 37426629; PMCID: PMC10324571 </w:t>
      </w:r>
    </w:p>
    <w:p w:rsidR="005A3F38" w:rsidRDefault="003114B5">
      <w:pPr>
        <w:numPr>
          <w:ilvl w:val="0"/>
          <w:numId w:val="33"/>
        </w:numPr>
        <w:spacing w:after="0" w:line="364" w:lineRule="auto"/>
        <w:ind w:right="2" w:hanging="768"/>
        <w:jc w:val="both"/>
      </w:pPr>
      <w:r>
        <w:rPr>
          <w:rFonts w:ascii="Times New Roman" w:eastAsia="Times New Roman" w:hAnsi="Times New Roman" w:cs="Times New Roman"/>
          <w:sz w:val="24"/>
        </w:rPr>
        <w:t xml:space="preserve">Cohen S, Hamrick N, Rodriguez MS, Feldman PJ, Rabin BS, Manuck SB. Reactivity and vulnerability to stress-associated risk for upper respiratory illness. Psychosom Med. (2002) 64(2):302–10. </w:t>
      </w:r>
    </w:p>
    <w:p w:rsidR="005A3F38" w:rsidRDefault="003114B5">
      <w:pPr>
        <w:spacing w:after="128" w:line="249" w:lineRule="auto"/>
        <w:ind w:left="355" w:right="11" w:hanging="10"/>
      </w:pPr>
      <w:r>
        <w:rPr>
          <w:rFonts w:ascii="Times New Roman" w:eastAsia="Times New Roman" w:hAnsi="Times New Roman" w:cs="Times New Roman"/>
          <w:sz w:val="24"/>
        </w:rPr>
        <w:t xml:space="preserve">doi: 10.1097/00006842-200203000-00014]. </w:t>
      </w:r>
    </w:p>
    <w:p w:rsidR="005A3F38" w:rsidRDefault="003114B5">
      <w:pPr>
        <w:numPr>
          <w:ilvl w:val="0"/>
          <w:numId w:val="33"/>
        </w:numPr>
        <w:spacing w:after="32" w:line="356" w:lineRule="auto"/>
        <w:ind w:right="2" w:hanging="768"/>
        <w:jc w:val="both"/>
      </w:pPr>
      <w:r>
        <w:rPr>
          <w:rFonts w:ascii="Times New Roman" w:eastAsia="Times New Roman" w:hAnsi="Times New Roman" w:cs="Times New Roman"/>
          <w:sz w:val="24"/>
        </w:rPr>
        <w:t>Sneed RS, Cohen S, Turner</w:t>
      </w:r>
      <w:r>
        <w:rPr>
          <w:rFonts w:ascii="Times New Roman" w:eastAsia="Times New Roman" w:hAnsi="Times New Roman" w:cs="Times New Roman"/>
          <w:sz w:val="24"/>
        </w:rPr>
        <w:t xml:space="preserve"> RB, Doyle WJ. Parenthood and host resistance to the common cold. Psychosom Med. (2012) 74(6):567–73. doi: 10.1097/PSY. 0b013e31825941ff </w:t>
      </w:r>
    </w:p>
    <w:p w:rsidR="005A3F38" w:rsidRDefault="003114B5">
      <w:pPr>
        <w:numPr>
          <w:ilvl w:val="0"/>
          <w:numId w:val="33"/>
        </w:numPr>
        <w:spacing w:after="4" w:line="362" w:lineRule="auto"/>
        <w:ind w:right="2" w:hanging="768"/>
        <w:jc w:val="both"/>
      </w:pPr>
      <w:r>
        <w:rPr>
          <w:rFonts w:ascii="Times New Roman" w:eastAsia="Times New Roman" w:hAnsi="Times New Roman" w:cs="Times New Roman"/>
          <w:sz w:val="24"/>
        </w:rPr>
        <w:t>Cohen S, Doyle WJ, Alper CM, Janicki-Deverts D, Turner RB. Sleep habits and susceptibility to the common cold. Arch In</w:t>
      </w:r>
      <w:r>
        <w:rPr>
          <w:rFonts w:ascii="Times New Roman" w:eastAsia="Times New Roman" w:hAnsi="Times New Roman" w:cs="Times New Roman"/>
          <w:sz w:val="24"/>
        </w:rPr>
        <w:t xml:space="preserve">tern Med. (2009) 169(1):62–7. doi: 10.1001/ archinternmed.2008.505 </w:t>
      </w:r>
    </w:p>
    <w:p w:rsidR="005A3F38" w:rsidRDefault="003114B5">
      <w:pPr>
        <w:numPr>
          <w:ilvl w:val="0"/>
          <w:numId w:val="33"/>
        </w:numPr>
        <w:spacing w:after="11" w:line="356" w:lineRule="auto"/>
        <w:ind w:right="2" w:hanging="768"/>
        <w:jc w:val="both"/>
      </w:pPr>
      <w:r>
        <w:rPr>
          <w:rFonts w:ascii="Times New Roman" w:eastAsia="Times New Roman" w:hAnsi="Times New Roman" w:cs="Times New Roman"/>
          <w:sz w:val="24"/>
        </w:rPr>
        <w:t xml:space="preserve">Prather AA, Janicki-Deverts D, Hall MH, Cohen S. Behaviorally assessed sleep and susceptibility to the common cold. Sleep. (2015) 38(9):1353–9. doi: 10.5665/ sleep.4968 </w:t>
      </w:r>
    </w:p>
    <w:p w:rsidR="005A3F38" w:rsidRDefault="003114B5">
      <w:pPr>
        <w:numPr>
          <w:ilvl w:val="0"/>
          <w:numId w:val="33"/>
        </w:numPr>
        <w:spacing w:after="11" w:line="356" w:lineRule="auto"/>
        <w:ind w:right="2" w:hanging="768"/>
        <w:jc w:val="both"/>
      </w:pPr>
      <w:r>
        <w:rPr>
          <w:rFonts w:ascii="Times New Roman" w:eastAsia="Times New Roman" w:hAnsi="Times New Roman" w:cs="Times New Roman"/>
          <w:sz w:val="24"/>
        </w:rPr>
        <w:t>Wilder-</w:t>
      </w:r>
      <w:r>
        <w:rPr>
          <w:rFonts w:ascii="Times New Roman" w:eastAsia="Times New Roman" w:hAnsi="Times New Roman" w:cs="Times New Roman"/>
          <w:sz w:val="24"/>
        </w:rPr>
        <w:t xml:space="preserve">Smith A, Mustafa FB, Earnest A, Gen L, Macary PA. Impact of partial sleep deprivation on immune markers. Sleep Med. (2013) 14(10):1031–4. doi: 10. 1016/j.sleep.2013.07.001 </w:t>
      </w:r>
    </w:p>
    <w:p w:rsidR="005A3F38" w:rsidRDefault="003114B5">
      <w:pPr>
        <w:numPr>
          <w:ilvl w:val="0"/>
          <w:numId w:val="33"/>
        </w:numPr>
        <w:spacing w:after="32" w:line="356" w:lineRule="auto"/>
        <w:ind w:right="2" w:hanging="768"/>
        <w:jc w:val="both"/>
      </w:pPr>
      <w:r>
        <w:rPr>
          <w:rFonts w:ascii="Times New Roman" w:eastAsia="Times New Roman" w:hAnsi="Times New Roman" w:cs="Times New Roman"/>
          <w:sz w:val="24"/>
        </w:rPr>
        <w:t>Andrewes CH. Adventures among viruses. III. The puzzle of the common cold N Engl Me</w:t>
      </w:r>
      <w:r>
        <w:rPr>
          <w:rFonts w:ascii="Times New Roman" w:eastAsia="Times New Roman" w:hAnsi="Times New Roman" w:cs="Times New Roman"/>
          <w:sz w:val="24"/>
        </w:rPr>
        <w:t xml:space="preserve">d J. (1950) 242:235–40. doi: 10.1056/NEJM195002162420701 </w:t>
      </w:r>
    </w:p>
    <w:p w:rsidR="005A3F38" w:rsidRDefault="003114B5">
      <w:pPr>
        <w:numPr>
          <w:ilvl w:val="0"/>
          <w:numId w:val="33"/>
        </w:numPr>
        <w:spacing w:after="25" w:line="360" w:lineRule="auto"/>
        <w:ind w:right="2" w:hanging="768"/>
        <w:jc w:val="both"/>
      </w:pPr>
      <w:r>
        <w:rPr>
          <w:rFonts w:ascii="Times New Roman" w:eastAsia="Times New Roman" w:hAnsi="Times New Roman" w:cs="Times New Roman"/>
          <w:sz w:val="24"/>
        </w:rPr>
        <w:t>Dowling HF, Jackson GG, Spiesman IG, Inouye T. Transmission of the common cold to volunters under controlled conditions. II. The effect of chilling of the subject upon susceptibility. Am J Hyg. (195</w:t>
      </w:r>
      <w:r>
        <w:rPr>
          <w:rFonts w:ascii="Times New Roman" w:eastAsia="Times New Roman" w:hAnsi="Times New Roman" w:cs="Times New Roman"/>
          <w:sz w:val="24"/>
        </w:rPr>
        <w:t xml:space="preserve">8) 66:59–65 </w:t>
      </w:r>
    </w:p>
    <w:p w:rsidR="005A3F38" w:rsidRDefault="003114B5">
      <w:pPr>
        <w:numPr>
          <w:ilvl w:val="0"/>
          <w:numId w:val="33"/>
        </w:numPr>
        <w:spacing w:after="128" w:line="249" w:lineRule="auto"/>
        <w:ind w:right="2" w:hanging="768"/>
        <w:jc w:val="both"/>
      </w:pPr>
      <w:r>
        <w:rPr>
          <w:rFonts w:ascii="Times New Roman" w:eastAsia="Times New Roman" w:hAnsi="Times New Roman" w:cs="Times New Roman"/>
          <w:sz w:val="24"/>
        </w:rPr>
        <w:t xml:space="preserve">Douglas RGJ, Lindgren KM, Couch RB. Exposure to cold environment and rhinovirus common cold. </w:t>
      </w:r>
    </w:p>
    <w:p w:rsidR="005A3F38" w:rsidRDefault="003114B5">
      <w:pPr>
        <w:spacing w:after="152" w:line="249" w:lineRule="auto"/>
        <w:ind w:left="355" w:right="11" w:hanging="10"/>
      </w:pPr>
      <w:r>
        <w:rPr>
          <w:rFonts w:ascii="Times New Roman" w:eastAsia="Times New Roman" w:hAnsi="Times New Roman" w:cs="Times New Roman"/>
          <w:sz w:val="24"/>
        </w:rPr>
        <w:t xml:space="preserve">Failure to demonstrate effect. N Engl J Med. (1968) 279:742–7. doi: 10.1056/NEJM196810032791404 </w:t>
      </w:r>
    </w:p>
    <w:p w:rsidR="005A3F38" w:rsidRDefault="003114B5">
      <w:pPr>
        <w:numPr>
          <w:ilvl w:val="0"/>
          <w:numId w:val="33"/>
        </w:numPr>
        <w:spacing w:after="128" w:line="249" w:lineRule="auto"/>
        <w:ind w:right="2" w:hanging="768"/>
        <w:jc w:val="both"/>
      </w:pPr>
      <w:r>
        <w:rPr>
          <w:rFonts w:ascii="Times New Roman" w:eastAsia="Times New Roman" w:hAnsi="Times New Roman" w:cs="Times New Roman"/>
          <w:sz w:val="24"/>
        </w:rPr>
        <w:t>Nieman DC. Current perspective on exercise immunology. Curr Sports Med Rep. (2003) 2(5):239–</w:t>
      </w:r>
    </w:p>
    <w:p w:rsidR="005A3F38" w:rsidRDefault="003114B5">
      <w:pPr>
        <w:spacing w:after="128" w:line="249" w:lineRule="auto"/>
        <w:ind w:left="355" w:right="11" w:hanging="10"/>
      </w:pPr>
      <w:r>
        <w:rPr>
          <w:rFonts w:ascii="Times New Roman" w:eastAsia="Times New Roman" w:hAnsi="Times New Roman" w:cs="Times New Roman"/>
          <w:sz w:val="24"/>
        </w:rPr>
        <w:t xml:space="preserve">42. doi: 10.1249/00149619-200310000-00001 </w:t>
      </w:r>
    </w:p>
    <w:p w:rsidR="005A3F38" w:rsidRDefault="003114B5">
      <w:pPr>
        <w:numPr>
          <w:ilvl w:val="0"/>
          <w:numId w:val="34"/>
        </w:numPr>
        <w:spacing w:after="7" w:line="358" w:lineRule="auto"/>
        <w:ind w:right="2" w:hanging="10"/>
        <w:jc w:val="both"/>
      </w:pPr>
      <w:r>
        <w:rPr>
          <w:rFonts w:ascii="Times New Roman" w:eastAsia="Times New Roman" w:hAnsi="Times New Roman" w:cs="Times New Roman"/>
          <w:sz w:val="24"/>
        </w:rPr>
        <w:t>Grande AJ, Keogh J, Hoffmann TC, Beller EM, Del Mar CB. Exercise versus no exercise for the occurrence, severity and dur</w:t>
      </w:r>
      <w:r>
        <w:rPr>
          <w:rFonts w:ascii="Times New Roman" w:eastAsia="Times New Roman" w:hAnsi="Times New Roman" w:cs="Times New Roman"/>
          <w:sz w:val="24"/>
        </w:rPr>
        <w:t xml:space="preserve">ation of acute respiratory infections. Cochrane Database Syst Rev. (2015) 6:CD010596. doi: 10.1002/14651858.CD010596.pub2 </w:t>
      </w:r>
    </w:p>
    <w:p w:rsidR="005A3F38" w:rsidRDefault="003114B5">
      <w:pPr>
        <w:numPr>
          <w:ilvl w:val="0"/>
          <w:numId w:val="34"/>
        </w:numPr>
        <w:spacing w:after="5" w:line="364" w:lineRule="auto"/>
        <w:ind w:right="2" w:hanging="10"/>
        <w:jc w:val="both"/>
      </w:pPr>
      <w:r>
        <w:rPr>
          <w:rFonts w:ascii="Times New Roman" w:eastAsia="Times New Roman" w:hAnsi="Times New Roman" w:cs="Times New Roman"/>
          <w:sz w:val="24"/>
        </w:rPr>
        <w:t>Кешишян Е.С., Мешкова Е.Н., Касохов Т.Б. Клинико-иммунологическая эффективность препаратов различных генно-инженерных интерферонов дл</w:t>
      </w:r>
      <w:r>
        <w:rPr>
          <w:rFonts w:ascii="Times New Roman" w:eastAsia="Times New Roman" w:hAnsi="Times New Roman" w:cs="Times New Roman"/>
          <w:sz w:val="24"/>
        </w:rPr>
        <w:t xml:space="preserve">я лечения тяжелых форм инфекционновоспалительных заболеваний у новорожденных. Педиатрия. 1995. № 3. С. 70–73. </w:t>
      </w:r>
    </w:p>
    <w:p w:rsidR="005A3F38" w:rsidRDefault="003114B5">
      <w:pPr>
        <w:numPr>
          <w:ilvl w:val="0"/>
          <w:numId w:val="34"/>
        </w:numPr>
        <w:spacing w:after="5" w:line="364" w:lineRule="auto"/>
        <w:ind w:right="2" w:hanging="10"/>
        <w:jc w:val="both"/>
      </w:pPr>
      <w:r>
        <w:rPr>
          <w:rFonts w:ascii="Times New Roman" w:eastAsia="Times New Roman" w:hAnsi="Times New Roman" w:cs="Times New Roman"/>
          <w:sz w:val="24"/>
        </w:rPr>
        <w:t>Осидак Л.В., Образцова Е.В. и соавт. Виферон в терапии гриппа и других ОРВИ вирусной и вирусно-бактериальной этиологии у детей. Детские инфекции.</w:t>
      </w:r>
      <w:r>
        <w:rPr>
          <w:rFonts w:ascii="Times New Roman" w:eastAsia="Times New Roman" w:hAnsi="Times New Roman" w:cs="Times New Roman"/>
          <w:sz w:val="24"/>
        </w:rPr>
        <w:t xml:space="preserve"> 2012. Т.11, № 1. С. 44–50.   </w:t>
      </w:r>
    </w:p>
    <w:p w:rsidR="005A3F38" w:rsidRDefault="003114B5">
      <w:pPr>
        <w:numPr>
          <w:ilvl w:val="0"/>
          <w:numId w:val="34"/>
        </w:numPr>
        <w:spacing w:after="5" w:line="364" w:lineRule="auto"/>
        <w:ind w:right="2" w:hanging="10"/>
        <w:jc w:val="both"/>
      </w:pPr>
      <w:r>
        <w:rPr>
          <w:rFonts w:ascii="Times New Roman" w:eastAsia="Times New Roman" w:hAnsi="Times New Roman" w:cs="Times New Roman"/>
          <w:sz w:val="24"/>
        </w:rPr>
        <w:t xml:space="preserve">Захарова И.Н., Курбанова Х.И., Малиновская В.В., Коровина Н.А. Влияние местной терапии мазью Виферон на течение ОРВИ различной этиологии у детей раннего возраста. Фарматека. 2013. № 4. С. 35–44.   </w:t>
      </w:r>
    </w:p>
    <w:p w:rsidR="005A3F38" w:rsidRDefault="003114B5">
      <w:pPr>
        <w:numPr>
          <w:ilvl w:val="0"/>
          <w:numId w:val="34"/>
        </w:numPr>
        <w:spacing w:after="5" w:line="364" w:lineRule="auto"/>
        <w:ind w:right="2" w:hanging="10"/>
        <w:jc w:val="both"/>
      </w:pPr>
      <w:r>
        <w:rPr>
          <w:rFonts w:ascii="Times New Roman" w:eastAsia="Times New Roman" w:hAnsi="Times New Roman" w:cs="Times New Roman"/>
          <w:sz w:val="24"/>
        </w:rPr>
        <w:t>Малиновская В.В., Мазанкова</w:t>
      </w:r>
      <w:r>
        <w:rPr>
          <w:rFonts w:ascii="Times New Roman" w:eastAsia="Times New Roman" w:hAnsi="Times New Roman" w:cs="Times New Roman"/>
          <w:sz w:val="24"/>
        </w:rPr>
        <w:t xml:space="preserve"> Л.Н., Тимина В.П. и др. Иммунопатогенез острых респираторных инфекций, тактика рационального выбора этиотропной и иммуномодулирующей терапии у детей. Детские инфекции. 2013. № 4. С. 14–19.  </w:t>
      </w:r>
    </w:p>
    <w:p w:rsidR="005A3F38" w:rsidRDefault="003114B5">
      <w:pPr>
        <w:numPr>
          <w:ilvl w:val="0"/>
          <w:numId w:val="34"/>
        </w:numPr>
        <w:spacing w:after="5" w:line="364" w:lineRule="auto"/>
        <w:ind w:right="2" w:hanging="10"/>
        <w:jc w:val="both"/>
      </w:pPr>
      <w:r>
        <w:rPr>
          <w:rFonts w:ascii="Times New Roman" w:eastAsia="Times New Roman" w:hAnsi="Times New Roman" w:cs="Times New Roman"/>
          <w:sz w:val="24"/>
        </w:rPr>
        <w:t>Захарова И.Н., Торшхоева Л.Б., Заплатников А.Л. и др. Особенност</w:t>
      </w:r>
      <w:r>
        <w:rPr>
          <w:rFonts w:ascii="Times New Roman" w:eastAsia="Times New Roman" w:hAnsi="Times New Roman" w:cs="Times New Roman"/>
          <w:sz w:val="24"/>
        </w:rPr>
        <w:t xml:space="preserve">и системы интерферона при острых респираторных инфекциях и клинико-иммунологическая эффективность модифицированной интерферонотерапии у детей раннего возраста. Эффективная педиатрия. 2011. № </w:t>
      </w:r>
    </w:p>
    <w:p w:rsidR="005A3F38" w:rsidRDefault="003114B5">
      <w:pPr>
        <w:spacing w:after="123"/>
        <w:ind w:left="355" w:right="2" w:hanging="10"/>
        <w:jc w:val="both"/>
      </w:pPr>
      <w:r>
        <w:rPr>
          <w:rFonts w:ascii="Times New Roman" w:eastAsia="Times New Roman" w:hAnsi="Times New Roman" w:cs="Times New Roman"/>
          <w:sz w:val="24"/>
        </w:rPr>
        <w:t xml:space="preserve">1. С. 3–5.   </w:t>
      </w:r>
    </w:p>
    <w:p w:rsidR="005A3F38" w:rsidRDefault="003114B5">
      <w:pPr>
        <w:numPr>
          <w:ilvl w:val="0"/>
          <w:numId w:val="35"/>
        </w:numPr>
        <w:spacing w:after="5" w:line="364" w:lineRule="auto"/>
        <w:ind w:right="2" w:hanging="10"/>
        <w:jc w:val="both"/>
      </w:pPr>
      <w:r>
        <w:rPr>
          <w:rFonts w:ascii="Times New Roman" w:eastAsia="Times New Roman" w:hAnsi="Times New Roman" w:cs="Times New Roman"/>
          <w:sz w:val="24"/>
        </w:rPr>
        <w:t>Локшина Э.Э., Зайцева О.В., Мазанкова Л.Н., Чебота</w:t>
      </w:r>
      <w:r>
        <w:rPr>
          <w:rFonts w:ascii="Times New Roman" w:eastAsia="Times New Roman" w:hAnsi="Times New Roman" w:cs="Times New Roman"/>
          <w:sz w:val="24"/>
        </w:rPr>
        <w:t xml:space="preserve">рева Т.А., Коровина Н.А. и др. Современные возможности использования интерферонов в комплексной терапии острых респираторных инфекций у детей. Лечащий врач. 2011. № 8. С. 2–5.   </w:t>
      </w:r>
    </w:p>
    <w:p w:rsidR="005A3F38" w:rsidRDefault="003114B5">
      <w:pPr>
        <w:numPr>
          <w:ilvl w:val="0"/>
          <w:numId w:val="35"/>
        </w:numPr>
        <w:spacing w:after="5" w:line="364" w:lineRule="auto"/>
        <w:ind w:right="2" w:hanging="10"/>
        <w:jc w:val="both"/>
      </w:pPr>
      <w:r>
        <w:rPr>
          <w:rFonts w:ascii="Times New Roman" w:eastAsia="Times New Roman" w:hAnsi="Times New Roman" w:cs="Times New Roman"/>
          <w:sz w:val="24"/>
        </w:rPr>
        <w:t>Захарова И.Н., Малиновская В.В., Коровина Н.А.,Курбанова Х.И., Глухарева Н.С.</w:t>
      </w:r>
      <w:r>
        <w:rPr>
          <w:rFonts w:ascii="Times New Roman" w:eastAsia="Times New Roman" w:hAnsi="Times New Roman" w:cs="Times New Roman"/>
          <w:sz w:val="24"/>
        </w:rPr>
        <w:t>, Короид Н.В.Клинико-иммунологическое обоснование местной интерферонотерапии при респираторных вирусных инфекциях у детей. Вопросы практической педиатрии. 2011. Т. 6, № 5. С. 21–26.   185.</w:t>
      </w:r>
      <w:r>
        <w:rPr>
          <w:rFonts w:ascii="Arial" w:eastAsia="Arial" w:hAnsi="Arial" w:cs="Arial"/>
          <w:sz w:val="24"/>
        </w:rPr>
        <w:t xml:space="preserve"> </w:t>
      </w:r>
      <w:r>
        <w:rPr>
          <w:rFonts w:ascii="Times New Roman" w:eastAsia="Times New Roman" w:hAnsi="Times New Roman" w:cs="Times New Roman"/>
          <w:sz w:val="24"/>
        </w:rPr>
        <w:t>Чеботарева Т.А., Выжлова Е.Н., Захарова И.Н. и др. Современная инте</w:t>
      </w:r>
      <w:r>
        <w:rPr>
          <w:rFonts w:ascii="Times New Roman" w:eastAsia="Times New Roman" w:hAnsi="Times New Roman" w:cs="Times New Roman"/>
          <w:sz w:val="24"/>
        </w:rPr>
        <w:t xml:space="preserve">рферонотерапия гриппа и острых респираторных инфекций у детей. Лечащий врач. 2013. № 4. С. 92–94.  </w:t>
      </w:r>
    </w:p>
    <w:p w:rsidR="005A3F38" w:rsidRDefault="003114B5">
      <w:pPr>
        <w:numPr>
          <w:ilvl w:val="0"/>
          <w:numId w:val="36"/>
        </w:numPr>
        <w:spacing w:after="5" w:line="364" w:lineRule="auto"/>
        <w:ind w:right="2" w:hanging="10"/>
        <w:jc w:val="both"/>
      </w:pPr>
      <w:r>
        <w:rPr>
          <w:rFonts w:ascii="Times New Roman" w:eastAsia="Times New Roman" w:hAnsi="Times New Roman" w:cs="Times New Roman"/>
          <w:sz w:val="24"/>
        </w:rPr>
        <w:t xml:space="preserve">Малиновская В.В., Тимина В.П., Мазанкова Л.Н., Чеботарева Т.А. Иммунопатогенез острых респираторных инфекций, тактика рационального выбора этиотропной и иммуномодулирующей терапии у детей. Детские инфекции. 2013; 12(4): 14–19.   </w:t>
      </w:r>
    </w:p>
    <w:p w:rsidR="005A3F38" w:rsidRDefault="003114B5">
      <w:pPr>
        <w:numPr>
          <w:ilvl w:val="0"/>
          <w:numId w:val="36"/>
        </w:numPr>
        <w:spacing w:after="5" w:line="364" w:lineRule="auto"/>
        <w:ind w:right="2" w:hanging="10"/>
        <w:jc w:val="both"/>
      </w:pPr>
      <w:r>
        <w:rPr>
          <w:rFonts w:ascii="Times New Roman" w:eastAsia="Times New Roman" w:hAnsi="Times New Roman" w:cs="Times New Roman"/>
          <w:sz w:val="24"/>
        </w:rPr>
        <w:t>Бабаченко И.В. Виферон в к</w:t>
      </w:r>
      <w:r>
        <w:rPr>
          <w:rFonts w:ascii="Times New Roman" w:eastAsia="Times New Roman" w:hAnsi="Times New Roman" w:cs="Times New Roman"/>
          <w:sz w:val="24"/>
        </w:rPr>
        <w:t xml:space="preserve">омплексной терапии острых респираторных инфекций различной этиологии. Эффективная фармакотерапия. 2014. № 2. С. 25–43.    </w:t>
      </w:r>
    </w:p>
    <w:p w:rsidR="005A3F38" w:rsidRDefault="003114B5">
      <w:pPr>
        <w:numPr>
          <w:ilvl w:val="0"/>
          <w:numId w:val="36"/>
        </w:numPr>
        <w:spacing w:after="5" w:line="364" w:lineRule="auto"/>
        <w:ind w:right="2" w:hanging="10"/>
        <w:jc w:val="both"/>
      </w:pPr>
      <w:r>
        <w:rPr>
          <w:rFonts w:ascii="Times New Roman" w:eastAsia="Times New Roman" w:hAnsi="Times New Roman" w:cs="Times New Roman"/>
          <w:sz w:val="24"/>
        </w:rPr>
        <w:t>Гладких В.П., Молочный В.П., Малиновская В.В., Полеско И.В., Обухова Г.Г.Динамика содержания цитокинов и неоптерина у детей раннего в</w:t>
      </w:r>
      <w:r>
        <w:rPr>
          <w:rFonts w:ascii="Times New Roman" w:eastAsia="Times New Roman" w:hAnsi="Times New Roman" w:cs="Times New Roman"/>
          <w:sz w:val="24"/>
        </w:rPr>
        <w:t xml:space="preserve">озраста с  острыми респираторными вирусными инфекциями на фоне использования рекомбинантного интерферона альфа-2b с антиоксидантами (токоферола ацетат и аскорбиновая кислота). Педиатрия им. Сперанского. 2017. Т. 69, №4. С. 16–21.    </w:t>
      </w:r>
    </w:p>
    <w:p w:rsidR="005A3F38" w:rsidRDefault="003114B5">
      <w:pPr>
        <w:numPr>
          <w:ilvl w:val="0"/>
          <w:numId w:val="36"/>
        </w:numPr>
        <w:spacing w:after="5" w:line="364" w:lineRule="auto"/>
        <w:ind w:right="2" w:hanging="10"/>
        <w:jc w:val="both"/>
      </w:pPr>
      <w:r>
        <w:rPr>
          <w:rFonts w:ascii="Times New Roman" w:eastAsia="Times New Roman" w:hAnsi="Times New Roman" w:cs="Times New Roman"/>
          <w:sz w:val="24"/>
        </w:rPr>
        <w:t>Вавилова В.П., Вавилов</w:t>
      </w:r>
      <w:r>
        <w:rPr>
          <w:rFonts w:ascii="Times New Roman" w:eastAsia="Times New Roman" w:hAnsi="Times New Roman" w:cs="Times New Roman"/>
          <w:sz w:val="24"/>
        </w:rPr>
        <w:t xml:space="preserve"> А.М., Черкаева А.Х. Опыт применения препарата Виферон в периоде адаптации детей к дошкольным образовательным учреждениям. Педиатрия. 2018. Т. 97. С. 53-58. 190.</w:t>
      </w:r>
      <w:r>
        <w:rPr>
          <w:rFonts w:ascii="Arial" w:eastAsia="Arial" w:hAnsi="Arial" w:cs="Arial"/>
          <w:sz w:val="24"/>
        </w:rPr>
        <w:t xml:space="preserve"> </w:t>
      </w:r>
      <w:r>
        <w:rPr>
          <w:rFonts w:ascii="Times New Roman" w:eastAsia="Times New Roman" w:hAnsi="Times New Roman" w:cs="Times New Roman"/>
          <w:sz w:val="24"/>
        </w:rPr>
        <w:t>Дракина С.А., Перевощикова Н.К.Профилактика респираторных заболеваний у детей раннего возраста</w:t>
      </w:r>
      <w:r>
        <w:rPr>
          <w:rFonts w:ascii="Times New Roman" w:eastAsia="Times New Roman" w:hAnsi="Times New Roman" w:cs="Times New Roman"/>
          <w:sz w:val="24"/>
        </w:rPr>
        <w:t xml:space="preserve"> в период адаптации детей к дошкольным образовательным учреждениям. Педиатрия. 2019. Т. 98 (1). С.116-124. </w:t>
      </w:r>
    </w:p>
    <w:p w:rsidR="005A3F38" w:rsidRDefault="003114B5">
      <w:pPr>
        <w:numPr>
          <w:ilvl w:val="0"/>
          <w:numId w:val="37"/>
        </w:numPr>
        <w:spacing w:after="5" w:line="364" w:lineRule="auto"/>
        <w:ind w:right="2" w:hanging="708"/>
        <w:jc w:val="both"/>
      </w:pPr>
      <w:r>
        <w:rPr>
          <w:rFonts w:ascii="Times New Roman" w:eastAsia="Times New Roman" w:hAnsi="Times New Roman" w:cs="Times New Roman"/>
          <w:sz w:val="24"/>
        </w:rPr>
        <w:t xml:space="preserve">Т.А. Чеботарева Эффективность Виферона в терапии и профилактике гриппа и других ОРВИ у детей «Новости медицины и фармации» 2(307) 2010. </w:t>
      </w:r>
    </w:p>
    <w:p w:rsidR="005A3F38" w:rsidRDefault="003114B5">
      <w:pPr>
        <w:numPr>
          <w:ilvl w:val="0"/>
          <w:numId w:val="37"/>
        </w:numPr>
        <w:spacing w:after="0" w:line="360" w:lineRule="auto"/>
        <w:ind w:right="2" w:hanging="708"/>
        <w:jc w:val="both"/>
      </w:pPr>
      <w:r>
        <w:rPr>
          <w:rFonts w:ascii="Times New Roman" w:eastAsia="Times New Roman" w:hAnsi="Times New Roman" w:cs="Times New Roman"/>
          <w:sz w:val="24"/>
        </w:rPr>
        <w:t>Hawke K, Ki</w:t>
      </w:r>
      <w:r>
        <w:rPr>
          <w:rFonts w:ascii="Times New Roman" w:eastAsia="Times New Roman" w:hAnsi="Times New Roman" w:cs="Times New Roman"/>
          <w:sz w:val="24"/>
        </w:rPr>
        <w:t xml:space="preserve">ng D, van Driel ML, McGuire TM. Homeopathic medicinal products for preventing and treating acute respiratory tract infections in children. Cochrane Database Syst Rev. 2022 Dec 13;12(12):CD005974. doi: 10.1002/14651858.CD005974.pub6. PMID: 36511520; PMCID: </w:t>
      </w:r>
    </w:p>
    <w:p w:rsidR="005A3F38" w:rsidRDefault="003114B5">
      <w:pPr>
        <w:spacing w:after="128" w:line="249" w:lineRule="auto"/>
        <w:ind w:left="730" w:right="11" w:hanging="10"/>
      </w:pPr>
      <w:r>
        <w:rPr>
          <w:rFonts w:ascii="Times New Roman" w:eastAsia="Times New Roman" w:hAnsi="Times New Roman" w:cs="Times New Roman"/>
          <w:sz w:val="24"/>
        </w:rPr>
        <w:t xml:space="preserve">PMC9746041.. </w:t>
      </w:r>
    </w:p>
    <w:p w:rsidR="005A3F38" w:rsidRDefault="003114B5">
      <w:pPr>
        <w:numPr>
          <w:ilvl w:val="0"/>
          <w:numId w:val="37"/>
        </w:numPr>
        <w:spacing w:after="11" w:line="356" w:lineRule="auto"/>
        <w:ind w:right="2" w:hanging="708"/>
        <w:jc w:val="both"/>
      </w:pPr>
      <w:r>
        <w:rPr>
          <w:rFonts w:ascii="Times New Roman" w:eastAsia="Times New Roman" w:hAnsi="Times New Roman" w:cs="Times New Roman"/>
          <w:sz w:val="24"/>
        </w:rPr>
        <w:t xml:space="preserve">Kenealy T, Arroll B. Antibiotics for the common cold and acute purulent rhinitis. Cochrane Database Syst Rev 2013; 6:CD000247 </w:t>
      </w:r>
    </w:p>
    <w:p w:rsidR="005A3F38" w:rsidRDefault="003114B5">
      <w:pPr>
        <w:numPr>
          <w:ilvl w:val="0"/>
          <w:numId w:val="37"/>
        </w:numPr>
        <w:spacing w:after="5" w:line="364" w:lineRule="auto"/>
        <w:ind w:right="2" w:hanging="708"/>
        <w:jc w:val="both"/>
      </w:pPr>
      <w:r>
        <w:rPr>
          <w:rFonts w:ascii="Times New Roman" w:eastAsia="Times New Roman" w:hAnsi="Times New Roman" w:cs="Times New Roman"/>
          <w:sz w:val="24"/>
        </w:rPr>
        <w:t>Баранов А.А., Страчунский Л.С. (ред.) Применение антибиотиков у детей в амбулаторной практике. Практические рекоме</w:t>
      </w:r>
      <w:r>
        <w:rPr>
          <w:rFonts w:ascii="Times New Roman" w:eastAsia="Times New Roman" w:hAnsi="Times New Roman" w:cs="Times New Roman"/>
          <w:sz w:val="24"/>
        </w:rPr>
        <w:t xml:space="preserve">ндации, 2007 г. КМАХ 2007; 9(3):200-210. </w:t>
      </w:r>
    </w:p>
    <w:p w:rsidR="005A3F38" w:rsidRDefault="003114B5">
      <w:pPr>
        <w:numPr>
          <w:ilvl w:val="0"/>
          <w:numId w:val="37"/>
        </w:numPr>
        <w:spacing w:after="0" w:line="362" w:lineRule="auto"/>
        <w:ind w:right="2" w:hanging="708"/>
        <w:jc w:val="both"/>
      </w:pPr>
      <w:r>
        <w:rPr>
          <w:rFonts w:ascii="Times New Roman" w:eastAsia="Times New Roman" w:hAnsi="Times New Roman" w:cs="Times New Roman"/>
          <w:sz w:val="24"/>
        </w:rPr>
        <w:t xml:space="preserve">Guppy MPB, Mickan SM, Del Mar CB, Thorning S, Rack A. Advising patients to increase fluid intake for treating acute respiratory infections. Cochrane Database of Systematic Reviews 2011, Issue </w:t>
      </w:r>
    </w:p>
    <w:p w:rsidR="005A3F38" w:rsidRDefault="003114B5">
      <w:pPr>
        <w:spacing w:after="128" w:line="249" w:lineRule="auto"/>
        <w:ind w:left="730" w:right="11" w:hanging="10"/>
      </w:pPr>
      <w:r>
        <w:rPr>
          <w:rFonts w:ascii="Times New Roman" w:eastAsia="Times New Roman" w:hAnsi="Times New Roman" w:cs="Times New Roman"/>
          <w:sz w:val="24"/>
        </w:rPr>
        <w:t>2. Art. No.: CD004419</w:t>
      </w:r>
      <w:r>
        <w:rPr>
          <w:rFonts w:ascii="Times New Roman" w:eastAsia="Times New Roman" w:hAnsi="Times New Roman" w:cs="Times New Roman"/>
          <w:sz w:val="24"/>
        </w:rPr>
        <w:t xml:space="preserve">. DOI: 10.1002/14651858.CD004419.pub3 </w:t>
      </w:r>
    </w:p>
    <w:p w:rsidR="005A3F38" w:rsidRDefault="003114B5">
      <w:pPr>
        <w:numPr>
          <w:ilvl w:val="0"/>
          <w:numId w:val="37"/>
        </w:numPr>
        <w:spacing w:after="0" w:line="364" w:lineRule="auto"/>
        <w:ind w:right="2" w:hanging="708"/>
        <w:jc w:val="both"/>
      </w:pPr>
      <w:r>
        <w:rPr>
          <w:rFonts w:ascii="Times New Roman" w:eastAsia="Times New Roman" w:hAnsi="Times New Roman" w:cs="Times New Roman"/>
          <w:sz w:val="24"/>
        </w:rPr>
        <w:t xml:space="preserve">King D., Mitchell B, Williams CP, Spurling GK. Saline nasal irrigation for acute upper respiratory tract infections. Cochrane Database Syst Rev. 2015 Apr 20;4:CD006821. doi: </w:t>
      </w:r>
    </w:p>
    <w:p w:rsidR="005A3F38" w:rsidRDefault="003114B5">
      <w:pPr>
        <w:spacing w:after="128" w:line="249" w:lineRule="auto"/>
        <w:ind w:left="730" w:right="11" w:hanging="10"/>
      </w:pPr>
      <w:r>
        <w:rPr>
          <w:rFonts w:ascii="Times New Roman" w:eastAsia="Times New Roman" w:hAnsi="Times New Roman" w:cs="Times New Roman"/>
          <w:sz w:val="24"/>
        </w:rPr>
        <w:t xml:space="preserve">10.1002/14651858.CD006821.pub3. </w:t>
      </w:r>
    </w:p>
    <w:p w:rsidR="005A3F38" w:rsidRDefault="003114B5">
      <w:pPr>
        <w:numPr>
          <w:ilvl w:val="0"/>
          <w:numId w:val="37"/>
        </w:numPr>
        <w:spacing w:after="2" w:line="356" w:lineRule="auto"/>
        <w:ind w:right="2" w:hanging="708"/>
        <w:jc w:val="both"/>
      </w:pPr>
      <w:r>
        <w:rPr>
          <w:rFonts w:ascii="Times New Roman" w:eastAsia="Times New Roman" w:hAnsi="Times New Roman" w:cs="Times New Roman"/>
          <w:sz w:val="24"/>
        </w:rPr>
        <w:t xml:space="preserve">Deckx </w:t>
      </w:r>
      <w:r>
        <w:rPr>
          <w:rFonts w:ascii="Times New Roman" w:eastAsia="Times New Roman" w:hAnsi="Times New Roman" w:cs="Times New Roman"/>
          <w:sz w:val="24"/>
        </w:rPr>
        <w:t xml:space="preserve">L, De Sutter AIM, Guo L, Mir NA, van Driel ML. Nasal decongestants in monotherapy for the common cold. Cochrane Database of Systematic Reviews 2016, Issue 10. Art. No.: CD009612. DOI: </w:t>
      </w:r>
    </w:p>
    <w:p w:rsidR="005A3F38" w:rsidRDefault="003114B5">
      <w:pPr>
        <w:spacing w:after="152" w:line="249" w:lineRule="auto"/>
        <w:ind w:left="730" w:right="11" w:hanging="10"/>
      </w:pPr>
      <w:r>
        <w:rPr>
          <w:rFonts w:ascii="Times New Roman" w:eastAsia="Times New Roman" w:hAnsi="Times New Roman" w:cs="Times New Roman"/>
          <w:sz w:val="24"/>
        </w:rPr>
        <w:t xml:space="preserve">10.1002/14651858.CD009612.pub2. </w:t>
      </w:r>
    </w:p>
    <w:p w:rsidR="005A3F38" w:rsidRDefault="003114B5">
      <w:pPr>
        <w:numPr>
          <w:ilvl w:val="0"/>
          <w:numId w:val="37"/>
        </w:numPr>
        <w:spacing w:after="0" w:line="364" w:lineRule="auto"/>
        <w:ind w:right="2" w:hanging="708"/>
        <w:jc w:val="both"/>
      </w:pPr>
      <w:r>
        <w:rPr>
          <w:rFonts w:ascii="Times New Roman" w:eastAsia="Times New Roman" w:hAnsi="Times New Roman" w:cs="Times New Roman"/>
          <w:sz w:val="24"/>
        </w:rPr>
        <w:t>Pappas DE, Hendley JO, Hayden FG, Wint</w:t>
      </w:r>
      <w:r>
        <w:rPr>
          <w:rFonts w:ascii="Times New Roman" w:eastAsia="Times New Roman" w:hAnsi="Times New Roman" w:cs="Times New Roman"/>
          <w:sz w:val="24"/>
        </w:rPr>
        <w:t xml:space="preserve">her B. Symptom profile of common colds in school-aged children. Pediatr Infect Dis J 2008; 27:8. </w:t>
      </w:r>
    </w:p>
    <w:p w:rsidR="005A3F38" w:rsidRDefault="003114B5">
      <w:pPr>
        <w:numPr>
          <w:ilvl w:val="0"/>
          <w:numId w:val="37"/>
        </w:numPr>
        <w:spacing w:after="7" w:line="358" w:lineRule="auto"/>
        <w:ind w:right="2" w:hanging="708"/>
        <w:jc w:val="both"/>
      </w:pPr>
      <w:r>
        <w:rPr>
          <w:rFonts w:ascii="Times New Roman" w:eastAsia="Times New Roman" w:hAnsi="Times New Roman" w:cs="Times New Roman"/>
          <w:sz w:val="24"/>
        </w:rPr>
        <w:t>De Sutter AIM, van Driel ML, Kumar AA, Lesslar O, Skrt A. Oral antihistamine-decongestant-analgesic combinations for the common cold. Cochrane Database of Sys</w:t>
      </w:r>
      <w:r>
        <w:rPr>
          <w:rFonts w:ascii="Times New Roman" w:eastAsia="Times New Roman" w:hAnsi="Times New Roman" w:cs="Times New Roman"/>
          <w:sz w:val="24"/>
        </w:rPr>
        <w:t xml:space="preserve">tematic Reviews 2012, Issue 2. Art. No.: CD004976. DOI: 10.1002/14651858.CD004976.pub3. </w:t>
      </w:r>
    </w:p>
    <w:p w:rsidR="005A3F38" w:rsidRDefault="003114B5">
      <w:pPr>
        <w:numPr>
          <w:ilvl w:val="0"/>
          <w:numId w:val="37"/>
        </w:numPr>
        <w:spacing w:after="7" w:line="358" w:lineRule="auto"/>
        <w:ind w:right="2" w:hanging="708"/>
        <w:jc w:val="both"/>
      </w:pPr>
      <w:r>
        <w:rPr>
          <w:rFonts w:ascii="Times New Roman" w:eastAsia="Times New Roman" w:hAnsi="Times New Roman" w:cs="Times New Roman"/>
          <w:sz w:val="24"/>
        </w:rPr>
        <w:t>Meremikwu MM, Oyo-Ita A. Physical methods versus drug placebo or no treatment for managing fever in children. Cochrane Database of Systematic Reviews 2003, Issue 2. Ar</w:t>
      </w:r>
      <w:r>
        <w:rPr>
          <w:rFonts w:ascii="Times New Roman" w:eastAsia="Times New Roman" w:hAnsi="Times New Roman" w:cs="Times New Roman"/>
          <w:sz w:val="24"/>
        </w:rPr>
        <w:t xml:space="preserve">t. No.: CD004264. DOI: 10.1002/14651858.CD004264. </w:t>
      </w:r>
    </w:p>
    <w:p w:rsidR="005A3F38" w:rsidRDefault="003114B5">
      <w:pPr>
        <w:numPr>
          <w:ilvl w:val="0"/>
          <w:numId w:val="37"/>
        </w:numPr>
        <w:spacing w:after="128" w:line="249" w:lineRule="auto"/>
        <w:ind w:right="2" w:hanging="708"/>
        <w:jc w:val="both"/>
      </w:pPr>
      <w:r>
        <w:rPr>
          <w:rFonts w:ascii="Times New Roman" w:eastAsia="Times New Roman" w:hAnsi="Times New Roman" w:cs="Times New Roman"/>
          <w:sz w:val="24"/>
        </w:rPr>
        <w:t xml:space="preserve">Tolba M., Abdelrahim M., Fahmy S. et al. The Effect of Nimesulide Compared to Other NSAIDs on </w:t>
      </w:r>
    </w:p>
    <w:p w:rsidR="005A3F38" w:rsidRDefault="003114B5">
      <w:pPr>
        <w:spacing w:after="152" w:line="249" w:lineRule="auto"/>
        <w:ind w:left="730" w:right="11" w:hanging="10"/>
      </w:pPr>
      <w:r>
        <w:rPr>
          <w:rFonts w:ascii="Times New Roman" w:eastAsia="Times New Roman" w:hAnsi="Times New Roman" w:cs="Times New Roman"/>
          <w:sz w:val="24"/>
        </w:rPr>
        <w:t xml:space="preserve">Liver Functions in Children. Beni-Suef University Journal of Applied Sciences 2012; 1(2): 26-31 </w:t>
      </w:r>
    </w:p>
    <w:p w:rsidR="005A3F38" w:rsidRDefault="003114B5">
      <w:pPr>
        <w:numPr>
          <w:ilvl w:val="0"/>
          <w:numId w:val="37"/>
        </w:numPr>
        <w:spacing w:after="5" w:line="364" w:lineRule="auto"/>
        <w:ind w:right="2" w:hanging="708"/>
        <w:jc w:val="both"/>
      </w:pPr>
      <w:r>
        <w:rPr>
          <w:rFonts w:ascii="Times New Roman" w:eastAsia="Times New Roman" w:hAnsi="Times New Roman" w:cs="Times New Roman"/>
          <w:sz w:val="24"/>
        </w:rPr>
        <w:t>Руководство п</w:t>
      </w:r>
      <w:r>
        <w:rPr>
          <w:rFonts w:ascii="Times New Roman" w:eastAsia="Times New Roman" w:hAnsi="Times New Roman" w:cs="Times New Roman"/>
          <w:sz w:val="24"/>
        </w:rPr>
        <w:t xml:space="preserve">о амбулаторно-поликлинической педиатрии / Баранов А.А. ; Альбицкий В.Ю., Алексеева Е.И., Акоев Ю.С., Антонова Е.В.. - Москва : ГЭОТАР-Медиа, 2009. - 592 с. </w:t>
      </w:r>
    </w:p>
    <w:p w:rsidR="005A3F38" w:rsidRDefault="003114B5">
      <w:pPr>
        <w:numPr>
          <w:ilvl w:val="0"/>
          <w:numId w:val="37"/>
        </w:numPr>
        <w:spacing w:after="7" w:line="358" w:lineRule="auto"/>
        <w:ind w:right="2" w:hanging="708"/>
        <w:jc w:val="both"/>
      </w:pPr>
      <w:r>
        <w:rPr>
          <w:rFonts w:ascii="Times New Roman" w:eastAsia="Times New Roman" w:hAnsi="Times New Roman" w:cs="Times New Roman"/>
          <w:sz w:val="24"/>
        </w:rPr>
        <w:t xml:space="preserve">De la Cruz-Mena JE, Veroniki AA, Acosta-Reyes J, Estupiñán-Bohorquez A, Ibarra JA, Pana MC, Sierra </w:t>
      </w:r>
      <w:r>
        <w:rPr>
          <w:rFonts w:ascii="Times New Roman" w:eastAsia="Times New Roman" w:hAnsi="Times New Roman" w:cs="Times New Roman"/>
          <w:sz w:val="24"/>
        </w:rPr>
        <w:t xml:space="preserve">JM, Florez ID. Short-term Dual Therapy or Mono Therapy With Acetaminophen and Ibuprofen for Fever: A Network Meta-Analysis. Pediatrics. 2024 Oct 1;154(4):e2023065390. doi: 10.1542/peds.2023065390. PMID: 39318339. </w:t>
      </w:r>
    </w:p>
    <w:p w:rsidR="005A3F38" w:rsidRDefault="003114B5">
      <w:pPr>
        <w:numPr>
          <w:ilvl w:val="0"/>
          <w:numId w:val="37"/>
        </w:numPr>
        <w:spacing w:after="5" w:line="364" w:lineRule="auto"/>
        <w:ind w:right="2" w:hanging="708"/>
        <w:jc w:val="both"/>
      </w:pPr>
      <w:r>
        <w:rPr>
          <w:rFonts w:ascii="Times New Roman" w:eastAsia="Times New Roman" w:hAnsi="Times New Roman" w:cs="Times New Roman"/>
          <w:sz w:val="24"/>
        </w:rPr>
        <w:t>Баранов А.А., Таточенко В.К., Бакрадзе М.Д</w:t>
      </w:r>
      <w:r>
        <w:rPr>
          <w:rFonts w:ascii="Times New Roman" w:eastAsia="Times New Roman" w:hAnsi="Times New Roman" w:cs="Times New Roman"/>
          <w:sz w:val="24"/>
        </w:rPr>
        <w:t xml:space="preserve">. Лихорадочные синдромы у детей. Рекомендации по диагностике и лечению. М., 2011, 211 стр. </w:t>
      </w:r>
    </w:p>
    <w:p w:rsidR="005A3F38" w:rsidRDefault="003114B5">
      <w:pPr>
        <w:numPr>
          <w:ilvl w:val="0"/>
          <w:numId w:val="37"/>
        </w:numPr>
        <w:spacing w:after="5" w:line="364" w:lineRule="auto"/>
        <w:ind w:right="2" w:hanging="708"/>
        <w:jc w:val="both"/>
      </w:pPr>
      <w:r>
        <w:rPr>
          <w:rFonts w:ascii="Times New Roman" w:eastAsia="Times New Roman" w:hAnsi="Times New Roman" w:cs="Times New Roman"/>
          <w:sz w:val="24"/>
        </w:rPr>
        <w:t>Александрович Ю. С., Гордеев В. И., Пшениснов К. В. А46 Неотложная педиатрия : учебное пособие / Ю. С. Алек сандрович, В. И. Гордеев, К. В. Пшениснов. — СПб. : Спец</w:t>
      </w:r>
      <w:r>
        <w:rPr>
          <w:rFonts w:ascii="Times New Roman" w:eastAsia="Times New Roman" w:hAnsi="Times New Roman" w:cs="Times New Roman"/>
          <w:sz w:val="24"/>
        </w:rPr>
        <w:t>Лит, 2010. — 568 с. 206.</w:t>
      </w:r>
      <w:r>
        <w:rPr>
          <w:rFonts w:ascii="Arial" w:eastAsia="Arial" w:hAnsi="Arial" w:cs="Arial"/>
          <w:sz w:val="24"/>
        </w:rPr>
        <w:t xml:space="preserve"> </w:t>
      </w:r>
      <w:r>
        <w:rPr>
          <w:rFonts w:ascii="Times New Roman" w:eastAsia="Times New Roman" w:hAnsi="Times New Roman" w:cs="Times New Roman"/>
          <w:sz w:val="24"/>
        </w:rPr>
        <w:t>Малявин А.Г., Бабак С.Л., Заплатников А.Л., Булгакова В.А., Гарусова М.Ю., Илюхина М.Д. Систематический обзор исследований безопасности и эффективности терапии лихорадки у детей и взрослых метамизолом натрия. Терапевтический архив.</w:t>
      </w:r>
      <w:r>
        <w:rPr>
          <w:rFonts w:ascii="Times New Roman" w:eastAsia="Times New Roman" w:hAnsi="Times New Roman" w:cs="Times New Roman"/>
          <w:sz w:val="24"/>
        </w:rPr>
        <w:t xml:space="preserve"> 2025. Т. 97. № 1. С. 71-79.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10.26442/00403660.2025.01.203101 </w:t>
      </w:r>
    </w:p>
    <w:p w:rsidR="005A3F38" w:rsidRDefault="003114B5">
      <w:pPr>
        <w:numPr>
          <w:ilvl w:val="0"/>
          <w:numId w:val="38"/>
        </w:numPr>
        <w:spacing w:after="5" w:line="364" w:lineRule="auto"/>
        <w:ind w:right="7" w:hanging="10"/>
      </w:pPr>
      <w:r>
        <w:rPr>
          <w:rFonts w:ascii="Times New Roman" w:eastAsia="Times New Roman" w:hAnsi="Times New Roman" w:cs="Times New Roman"/>
          <w:sz w:val="24"/>
        </w:rPr>
        <w:t xml:space="preserve">Ушкалова Е.А., Зырянов С.К., Бутранова О.И., Самсонова К.И. Метамизол натрия: регуляторный статус в разных странах мира, проблемы безопасности и ошибки применения. </w:t>
      </w:r>
    </w:p>
    <w:p w:rsidR="005A3F38" w:rsidRDefault="003114B5">
      <w:pPr>
        <w:spacing w:after="11" w:line="356" w:lineRule="auto"/>
        <w:ind w:left="355" w:right="11" w:hanging="10"/>
      </w:pPr>
      <w:r>
        <w:rPr>
          <w:rFonts w:ascii="Times New Roman" w:eastAsia="Times New Roman" w:hAnsi="Times New Roman" w:cs="Times New Roman"/>
          <w:sz w:val="24"/>
        </w:rPr>
        <w:t xml:space="preserve">Безопасность и риск фармакотерапии. 2022;10(4):396–410. https://doi.org/10.30895/2312-7821-202210-4-396-410 </w:t>
      </w:r>
    </w:p>
    <w:p w:rsidR="005A3F38" w:rsidRDefault="003114B5">
      <w:pPr>
        <w:numPr>
          <w:ilvl w:val="0"/>
          <w:numId w:val="38"/>
        </w:numPr>
        <w:spacing w:after="32" w:line="356" w:lineRule="auto"/>
        <w:ind w:right="7" w:hanging="10"/>
      </w:pPr>
      <w:r>
        <w:rPr>
          <w:rFonts w:ascii="Times New Roman" w:eastAsia="Times New Roman" w:hAnsi="Times New Roman" w:cs="Times New Roman"/>
          <w:sz w:val="24"/>
        </w:rPr>
        <w:t>Smith SM, Schroeder K, Fahey T. Over-the-counter (OTC) medications for acute cough in children and adults in ambulatory settings. Cochrane Database</w:t>
      </w:r>
      <w:r>
        <w:rPr>
          <w:rFonts w:ascii="Times New Roman" w:eastAsia="Times New Roman" w:hAnsi="Times New Roman" w:cs="Times New Roman"/>
          <w:sz w:val="24"/>
        </w:rPr>
        <w:t xml:space="preserve"> Syst Rev 2014 Nov 24;(11):CD001831. </w:t>
      </w:r>
    </w:p>
    <w:p w:rsidR="005A3F38" w:rsidRDefault="003114B5">
      <w:pPr>
        <w:numPr>
          <w:ilvl w:val="0"/>
          <w:numId w:val="38"/>
        </w:numPr>
        <w:spacing w:after="7" w:line="358" w:lineRule="auto"/>
        <w:ind w:right="7" w:hanging="10"/>
      </w:pPr>
      <w:r>
        <w:rPr>
          <w:rFonts w:ascii="Times New Roman" w:eastAsia="Times New Roman" w:hAnsi="Times New Roman" w:cs="Times New Roman"/>
          <w:sz w:val="24"/>
        </w:rPr>
        <w:t xml:space="preserve">Chalumeau M., Duijvestijn Y.C. Acetylcysteine and carbocysteine for acute upper and lower respiratory tract infections in paediatric patients without chronic broncho-pulmonary disease. Cochrane Database Syst Rev. 2013 </w:t>
      </w:r>
      <w:r>
        <w:rPr>
          <w:rFonts w:ascii="Times New Roman" w:eastAsia="Times New Roman" w:hAnsi="Times New Roman" w:cs="Times New Roman"/>
          <w:sz w:val="24"/>
        </w:rPr>
        <w:t xml:space="preserve">May 31;5:CD003124. doi: 10.1002/14651858.CD003124.pub4. </w:t>
      </w:r>
    </w:p>
    <w:p w:rsidR="005A3F38" w:rsidRDefault="003114B5">
      <w:pPr>
        <w:numPr>
          <w:ilvl w:val="0"/>
          <w:numId w:val="38"/>
        </w:numPr>
        <w:spacing w:after="0" w:line="364" w:lineRule="auto"/>
        <w:ind w:right="7" w:hanging="10"/>
      </w:pPr>
      <w:r>
        <w:rPr>
          <w:rFonts w:ascii="Times New Roman" w:eastAsia="Times New Roman" w:hAnsi="Times New Roman" w:cs="Times New Roman"/>
          <w:sz w:val="24"/>
        </w:rPr>
        <w:t xml:space="preserve">Singh M, Singh M. Heated, humidified air for the common cold. Cochrane Database Syst Rev 2013; 6:CD001728. </w:t>
      </w:r>
    </w:p>
    <w:p w:rsidR="005A3F38" w:rsidRDefault="003114B5">
      <w:pPr>
        <w:numPr>
          <w:ilvl w:val="0"/>
          <w:numId w:val="38"/>
        </w:numPr>
        <w:spacing w:after="6" w:line="358" w:lineRule="auto"/>
        <w:ind w:right="7" w:hanging="10"/>
      </w:pPr>
      <w:r>
        <w:rPr>
          <w:rFonts w:ascii="Times New Roman" w:eastAsia="Times New Roman" w:hAnsi="Times New Roman" w:cs="Times New Roman"/>
          <w:sz w:val="24"/>
        </w:rPr>
        <w:t>Little P, Moore M, Kelly J, et al. Ibuprofen, paracetamol, and steam for patients with resp</w:t>
      </w:r>
      <w:r>
        <w:rPr>
          <w:rFonts w:ascii="Times New Roman" w:eastAsia="Times New Roman" w:hAnsi="Times New Roman" w:cs="Times New Roman"/>
          <w:sz w:val="24"/>
        </w:rPr>
        <w:t xml:space="preserve">iratory tract infections in primary care: pragmatic randomised factorial trial. BMJ 2013; 347:f6041. </w:t>
      </w:r>
    </w:p>
    <w:p w:rsidR="005A3F38" w:rsidRDefault="003114B5">
      <w:pPr>
        <w:numPr>
          <w:ilvl w:val="0"/>
          <w:numId w:val="38"/>
        </w:numPr>
        <w:spacing w:after="6" w:line="358" w:lineRule="auto"/>
        <w:ind w:right="7" w:hanging="10"/>
      </w:pPr>
      <w:r>
        <w:rPr>
          <w:rFonts w:ascii="Times New Roman" w:eastAsia="Times New Roman" w:hAnsi="Times New Roman" w:cs="Times New Roman"/>
          <w:sz w:val="24"/>
        </w:rPr>
        <w:t>De Sutter A.I., Saraswat A., van Driel M.L. Antihistamines for the common cold. Cochrane Database Syst Rev. 2015 Nov 29;11:CD009345. doi: 10.1002/14651858</w:t>
      </w:r>
      <w:r>
        <w:rPr>
          <w:rFonts w:ascii="Times New Roman" w:eastAsia="Times New Roman" w:hAnsi="Times New Roman" w:cs="Times New Roman"/>
          <w:sz w:val="24"/>
        </w:rPr>
        <w:t xml:space="preserve">.CD009345.pub2.  </w:t>
      </w:r>
    </w:p>
    <w:p w:rsidR="005A3F38" w:rsidRDefault="003114B5">
      <w:pPr>
        <w:numPr>
          <w:ilvl w:val="0"/>
          <w:numId w:val="38"/>
        </w:numPr>
        <w:spacing w:after="5" w:line="364" w:lineRule="auto"/>
        <w:ind w:right="7" w:hanging="10"/>
      </w:pPr>
      <w:r>
        <w:rPr>
          <w:rFonts w:ascii="Times New Roman" w:eastAsia="Times New Roman" w:hAnsi="Times New Roman" w:cs="Times New Roman"/>
          <w:sz w:val="24"/>
        </w:rPr>
        <w:t xml:space="preserve">Hemilä H, Chalker E. Vitamin C for the common cold and pneumonia. Pol Arch Intern Med. 2025 Jan 30;135(1):16926. doi: 10.20452/pamw.16926. Epub 2025 Jan 13. PMID: 39803741.- </w:t>
      </w:r>
    </w:p>
    <w:p w:rsidR="005A3F38" w:rsidRDefault="003114B5">
      <w:pPr>
        <w:numPr>
          <w:ilvl w:val="0"/>
          <w:numId w:val="38"/>
        </w:numPr>
        <w:spacing w:after="7" w:line="358" w:lineRule="auto"/>
        <w:ind w:right="7" w:hanging="10"/>
      </w:pPr>
      <w:r>
        <w:rPr>
          <w:rFonts w:ascii="Times New Roman" w:eastAsia="Times New Roman" w:hAnsi="Times New Roman" w:cs="Times New Roman"/>
          <w:sz w:val="24"/>
        </w:rPr>
        <w:t>Jefferson T, Dooley L, Ferroni E, Al-Ansary LA, van Driel ML, B</w:t>
      </w:r>
      <w:r>
        <w:rPr>
          <w:rFonts w:ascii="Times New Roman" w:eastAsia="Times New Roman" w:hAnsi="Times New Roman" w:cs="Times New Roman"/>
          <w:sz w:val="24"/>
        </w:rPr>
        <w:t>awazeer GA, Jones MA, Hoffmann TC, Clark J, Beller EM, Glasziou PP, Conly JM. Physical interventions to interrupt or reduce the spread of respiratory viruses. Cochrane Database Syst Rev. 2023 Jan 30;1(1):CD006207. doi: 10.1002/14651858.CD006207.pub6. PMID:</w:t>
      </w:r>
      <w:r>
        <w:rPr>
          <w:rFonts w:ascii="Times New Roman" w:eastAsia="Times New Roman" w:hAnsi="Times New Roman" w:cs="Times New Roman"/>
          <w:sz w:val="24"/>
        </w:rPr>
        <w:t xml:space="preserve"> 36715243; PMCID: PMC9885521 </w:t>
      </w:r>
    </w:p>
    <w:p w:rsidR="005A3F38" w:rsidRDefault="003114B5">
      <w:pPr>
        <w:numPr>
          <w:ilvl w:val="0"/>
          <w:numId w:val="38"/>
        </w:numPr>
        <w:spacing w:after="7" w:line="358" w:lineRule="auto"/>
        <w:ind w:right="7" w:hanging="10"/>
      </w:pPr>
      <w:r>
        <w:rPr>
          <w:rFonts w:ascii="Times New Roman" w:eastAsia="Times New Roman" w:hAnsi="Times New Roman" w:cs="Times New Roman"/>
          <w:sz w:val="24"/>
        </w:rPr>
        <w:t>Prutsky G.J., Domecq J.P., Elraiyah T., Wang Z., Grohskopf L.A., Prokop L.J., Montori V.M., Murad M.H. Influenza vaccines licensed in the United States in healthy children: a systematic review and network meta-analysis (Protoc</w:t>
      </w:r>
      <w:r>
        <w:rPr>
          <w:rFonts w:ascii="Times New Roman" w:eastAsia="Times New Roman" w:hAnsi="Times New Roman" w:cs="Times New Roman"/>
          <w:sz w:val="24"/>
        </w:rPr>
        <w:t xml:space="preserve">ol). Syst Rev. 2012 Dec 29;1:65. doi: 10.1186/2046-4053-1-65. </w:t>
      </w:r>
    </w:p>
    <w:p w:rsidR="005A3F38" w:rsidRDefault="003114B5">
      <w:pPr>
        <w:numPr>
          <w:ilvl w:val="0"/>
          <w:numId w:val="38"/>
        </w:numPr>
        <w:spacing w:after="11" w:line="356" w:lineRule="auto"/>
        <w:ind w:right="7" w:hanging="10"/>
      </w:pPr>
      <w:r>
        <w:rPr>
          <w:rFonts w:ascii="Times New Roman" w:eastAsia="Times New Roman" w:hAnsi="Times New Roman" w:cs="Times New Roman"/>
          <w:sz w:val="24"/>
        </w:rPr>
        <w:t xml:space="preserve">Osterholm MT, Kelley NS, Sommer A, Belongia EA. Efficacy and effectiveness of influenza vaccines: a systematic review and meta-analysis. Lancet Infect Dis. 2012 Jan;12(1):36-44. </w:t>
      </w:r>
    </w:p>
    <w:p w:rsidR="005A3F38" w:rsidRDefault="003114B5">
      <w:pPr>
        <w:numPr>
          <w:ilvl w:val="0"/>
          <w:numId w:val="38"/>
        </w:numPr>
        <w:spacing w:after="11" w:line="356" w:lineRule="auto"/>
        <w:ind w:right="7" w:hanging="10"/>
      </w:pPr>
      <w:r>
        <w:rPr>
          <w:rFonts w:ascii="Times New Roman" w:eastAsia="Times New Roman" w:hAnsi="Times New Roman" w:cs="Times New Roman"/>
          <w:sz w:val="24"/>
        </w:rPr>
        <w:t xml:space="preserve">Fortanier A.C. et al. Pneumococcal conjugate vaccines for preventing otitis media. Cochrane Database Syst Rev. 2014 Apr 2;4:CD001480. </w:t>
      </w:r>
    </w:p>
    <w:p w:rsidR="005A3F38" w:rsidRDefault="003114B5">
      <w:pPr>
        <w:numPr>
          <w:ilvl w:val="0"/>
          <w:numId w:val="38"/>
        </w:numPr>
        <w:spacing w:after="11" w:line="356" w:lineRule="auto"/>
        <w:ind w:right="7" w:hanging="10"/>
      </w:pPr>
      <w:r>
        <w:rPr>
          <w:rFonts w:ascii="Times New Roman" w:eastAsia="Times New Roman" w:hAnsi="Times New Roman" w:cs="Times New Roman"/>
          <w:sz w:val="24"/>
        </w:rPr>
        <w:t>Norhayati M.N. et al. Influenza vaccines for preventing acute otitis media in infants and children. Cochrane Database Sys</w:t>
      </w:r>
      <w:r>
        <w:rPr>
          <w:rFonts w:ascii="Times New Roman" w:eastAsia="Times New Roman" w:hAnsi="Times New Roman" w:cs="Times New Roman"/>
          <w:sz w:val="24"/>
        </w:rPr>
        <w:t xml:space="preserve">t Rev. 2015 Mar 24;3:CD010089. </w:t>
      </w:r>
    </w:p>
    <w:p w:rsidR="005A3F38" w:rsidRDefault="003114B5">
      <w:pPr>
        <w:numPr>
          <w:ilvl w:val="0"/>
          <w:numId w:val="38"/>
        </w:numPr>
        <w:spacing w:after="7" w:line="358" w:lineRule="auto"/>
        <w:ind w:right="7" w:hanging="10"/>
      </w:pPr>
      <w:r>
        <w:rPr>
          <w:rFonts w:ascii="Times New Roman" w:eastAsia="Times New Roman" w:hAnsi="Times New Roman" w:cs="Times New Roman"/>
          <w:sz w:val="24"/>
        </w:rPr>
        <w:t xml:space="preserve">Gonzales T. et al. Effectiveness and safety of palivizumab for the prevention of serious lower respiratory tract infection caused by respiratory syncytial virus: a systematic review // Am. J. Perinatol. – 2023 </w:t>
      </w:r>
    </w:p>
    <w:p w:rsidR="005A3F38" w:rsidRDefault="003114B5">
      <w:pPr>
        <w:numPr>
          <w:ilvl w:val="0"/>
          <w:numId w:val="38"/>
        </w:numPr>
        <w:spacing w:after="7" w:line="358" w:lineRule="auto"/>
        <w:ind w:right="7" w:hanging="10"/>
      </w:pPr>
      <w:r>
        <w:rPr>
          <w:rFonts w:ascii="Times New Roman" w:eastAsia="Times New Roman" w:hAnsi="Times New Roman" w:cs="Times New Roman"/>
          <w:sz w:val="24"/>
        </w:rPr>
        <w:t>El-Atawi K. e</w:t>
      </w:r>
      <w:r>
        <w:rPr>
          <w:rFonts w:ascii="Times New Roman" w:eastAsia="Times New Roman" w:hAnsi="Times New Roman" w:cs="Times New Roman"/>
          <w:sz w:val="24"/>
        </w:rPr>
        <w:t>t al. Efficacy and Safety of Palivizumab as a Prophylaxis for Respiratory Syncytial Virus (RSV) Disease: An Updated Systemic Review and Meta-Analysis // Cureus. – 2023. – Т. 15. – №. 12 221.</w:t>
      </w:r>
      <w:r>
        <w:rPr>
          <w:rFonts w:ascii="Arial" w:eastAsia="Arial" w:hAnsi="Arial" w:cs="Arial"/>
          <w:sz w:val="24"/>
        </w:rPr>
        <w:t xml:space="preserve"> </w:t>
      </w:r>
      <w:r>
        <w:rPr>
          <w:rFonts w:ascii="Times New Roman" w:eastAsia="Times New Roman" w:hAnsi="Times New Roman" w:cs="Times New Roman"/>
          <w:sz w:val="24"/>
        </w:rPr>
        <w:t>Wegzyn C. et al. Safety and effectiveness of palivizumab in child</w:t>
      </w:r>
      <w:r>
        <w:rPr>
          <w:rFonts w:ascii="Times New Roman" w:eastAsia="Times New Roman" w:hAnsi="Times New Roman" w:cs="Times New Roman"/>
          <w:sz w:val="24"/>
        </w:rPr>
        <w:t xml:space="preserve">ren at high risk of serious disease due to respiratory syncytial virus infection: a systematic review // Infect. Dis. Ther. – 2014. – Т. 3. – С. 133158 </w:t>
      </w:r>
    </w:p>
    <w:p w:rsidR="005A3F38" w:rsidRDefault="003114B5">
      <w:pPr>
        <w:numPr>
          <w:ilvl w:val="0"/>
          <w:numId w:val="39"/>
        </w:numPr>
        <w:spacing w:after="128" w:line="249" w:lineRule="auto"/>
        <w:ind w:right="7" w:hanging="708"/>
      </w:pPr>
      <w:r>
        <w:rPr>
          <w:rFonts w:ascii="Times New Roman" w:eastAsia="Times New Roman" w:hAnsi="Times New Roman" w:cs="Times New Roman"/>
          <w:sz w:val="24"/>
        </w:rPr>
        <w:t xml:space="preserve">Alharbi A. S. et al. Palivizumab for the Prophylaxis of Respiratory Syncytial Virus Disease: Expert </w:t>
      </w:r>
    </w:p>
    <w:p w:rsidR="005A3F38" w:rsidRDefault="003114B5">
      <w:pPr>
        <w:spacing w:after="128" w:line="249" w:lineRule="auto"/>
        <w:ind w:left="355" w:right="11" w:hanging="10"/>
      </w:pPr>
      <w:r>
        <w:rPr>
          <w:rFonts w:ascii="Times New Roman" w:eastAsia="Times New Roman" w:hAnsi="Times New Roman" w:cs="Times New Roman"/>
          <w:sz w:val="24"/>
        </w:rPr>
        <w:t>Op</w:t>
      </w:r>
      <w:r>
        <w:rPr>
          <w:rFonts w:ascii="Times New Roman" w:eastAsia="Times New Roman" w:hAnsi="Times New Roman" w:cs="Times New Roman"/>
          <w:sz w:val="24"/>
        </w:rPr>
        <w:t xml:space="preserve">inion and Recommendations for the Gulf Cooperation Council Region. 2024 </w:t>
      </w:r>
    </w:p>
    <w:p w:rsidR="005A3F38" w:rsidRDefault="003114B5">
      <w:pPr>
        <w:numPr>
          <w:ilvl w:val="0"/>
          <w:numId w:val="39"/>
        </w:numPr>
        <w:spacing w:after="5" w:line="364" w:lineRule="auto"/>
        <w:ind w:right="7" w:hanging="708"/>
      </w:pPr>
      <w:r>
        <w:rPr>
          <w:rFonts w:ascii="Times New Roman" w:eastAsia="Times New Roman" w:hAnsi="Times New Roman" w:cs="Times New Roman"/>
          <w:sz w:val="24"/>
        </w:rPr>
        <w:t>Миронова А. К., Османов И. М., Шарыкин А. С. Опыт пассивной иммунопрофилактики против респираторно-синцитиальной вирусной инфекции у детей, рожденных с очень низкой и экстремально низ</w:t>
      </w:r>
      <w:r>
        <w:rPr>
          <w:rFonts w:ascii="Times New Roman" w:eastAsia="Times New Roman" w:hAnsi="Times New Roman" w:cs="Times New Roman"/>
          <w:sz w:val="24"/>
        </w:rPr>
        <w:t xml:space="preserve">кой массой тела // Российский вестник перинатологии и педиатрии. – 2020. – Т. 65. – №. 4. – С. 134-141 </w:t>
      </w:r>
    </w:p>
    <w:p w:rsidR="005A3F38" w:rsidRDefault="003114B5">
      <w:pPr>
        <w:numPr>
          <w:ilvl w:val="0"/>
          <w:numId w:val="39"/>
        </w:numPr>
        <w:spacing w:after="0" w:line="364" w:lineRule="auto"/>
        <w:ind w:right="7" w:hanging="708"/>
      </w:pPr>
      <w:r>
        <w:rPr>
          <w:rFonts w:ascii="Times New Roman" w:eastAsia="Times New Roman" w:hAnsi="Times New Roman" w:cs="Times New Roman"/>
          <w:sz w:val="24"/>
        </w:rPr>
        <w:t>Resch B, Egger B, Kurath-Koller S, Urlesberger B. Respiratory syncytial virus hospitalizations in infants of 28 weeks gestational age and less in the pa</w:t>
      </w:r>
      <w:r>
        <w:rPr>
          <w:rFonts w:ascii="Times New Roman" w:eastAsia="Times New Roman" w:hAnsi="Times New Roman" w:cs="Times New Roman"/>
          <w:sz w:val="24"/>
        </w:rPr>
        <w:t xml:space="preserve">livizumab era. Int J Infect Dis. 2017 Apr;57:50-53 </w:t>
      </w:r>
    </w:p>
    <w:p w:rsidR="005A3F38" w:rsidRDefault="003114B5">
      <w:pPr>
        <w:numPr>
          <w:ilvl w:val="0"/>
          <w:numId w:val="39"/>
        </w:numPr>
        <w:spacing w:after="5" w:line="364" w:lineRule="auto"/>
        <w:ind w:right="7" w:hanging="708"/>
      </w:pPr>
      <w:r>
        <w:rPr>
          <w:rFonts w:ascii="Times New Roman" w:eastAsia="Times New Roman" w:hAnsi="Times New Roman" w:cs="Times New Roman"/>
          <w:sz w:val="24"/>
        </w:rPr>
        <w:t>Овсянников Д. Ю., Кршеминская И. В. Иммунопрофилактика респираторно-синцитиальной вирусной инфекции: почему это важно с эпидемиологической и клинической точки зрения // Неонатология Новости. Мнения. Обуче</w:t>
      </w:r>
      <w:r>
        <w:rPr>
          <w:rFonts w:ascii="Times New Roman" w:eastAsia="Times New Roman" w:hAnsi="Times New Roman" w:cs="Times New Roman"/>
          <w:sz w:val="24"/>
        </w:rPr>
        <w:t xml:space="preserve">ние. – 2017. – №. 2 (16). – С. 34-49 </w:t>
      </w:r>
    </w:p>
    <w:p w:rsidR="005A3F38" w:rsidRDefault="003114B5">
      <w:pPr>
        <w:numPr>
          <w:ilvl w:val="0"/>
          <w:numId w:val="39"/>
        </w:numPr>
        <w:spacing w:after="2" w:line="356" w:lineRule="auto"/>
        <w:ind w:right="7" w:hanging="708"/>
      </w:pPr>
      <w:r>
        <w:rPr>
          <w:rFonts w:ascii="Times New Roman" w:eastAsia="Times New Roman" w:hAnsi="Times New Roman" w:cs="Times New Roman"/>
          <w:sz w:val="24"/>
        </w:rPr>
        <w:t xml:space="preserve">Resch, B., E. Eber, and D. Ehringer-Schetitska. Respiratory Syncytial Virus Prophylaxe mit Palivizumab 2019. Update der Empfehlungen der Österreichischen Gesellschaft für kinder-und </w:t>
      </w:r>
    </w:p>
    <w:p w:rsidR="005A3F38" w:rsidRDefault="003114B5">
      <w:pPr>
        <w:spacing w:after="128" w:line="249" w:lineRule="auto"/>
        <w:ind w:left="355" w:right="11" w:hanging="10"/>
      </w:pPr>
      <w:r>
        <w:rPr>
          <w:rFonts w:ascii="Times New Roman" w:eastAsia="Times New Roman" w:hAnsi="Times New Roman" w:cs="Times New Roman"/>
          <w:sz w:val="24"/>
        </w:rPr>
        <w:t>Jugendheilkunde. Paediatr. Paedolog</w:t>
      </w:r>
      <w:r>
        <w:rPr>
          <w:rFonts w:ascii="Times New Roman" w:eastAsia="Times New Roman" w:hAnsi="Times New Roman" w:cs="Times New Roman"/>
          <w:sz w:val="24"/>
        </w:rPr>
        <w:t xml:space="preserve">. 2019;54: 270-276, </w:t>
      </w:r>
    </w:p>
    <w:p w:rsidR="005A3F38" w:rsidRDefault="003114B5">
      <w:pPr>
        <w:numPr>
          <w:ilvl w:val="0"/>
          <w:numId w:val="39"/>
        </w:numPr>
        <w:spacing w:after="7" w:line="358" w:lineRule="auto"/>
        <w:ind w:right="7" w:hanging="708"/>
      </w:pPr>
      <w:r>
        <w:rPr>
          <w:rFonts w:ascii="Times New Roman" w:eastAsia="Times New Roman" w:hAnsi="Times New Roman" w:cs="Times New Roman"/>
          <w:sz w:val="24"/>
        </w:rPr>
        <w:t>Committee on infectious diseases and bronchiolitis guidelines committee: Updated Guidance for Palivizumab Prophylaxis Among Infants and Young Children at Increased Risk of Hospitalization for Respiratory Syncytial Virus Infection. Pedi</w:t>
      </w:r>
      <w:r>
        <w:rPr>
          <w:rFonts w:ascii="Times New Roman" w:eastAsia="Times New Roman" w:hAnsi="Times New Roman" w:cs="Times New Roman"/>
          <w:sz w:val="24"/>
        </w:rPr>
        <w:t>atrics 2014 Vol. 134 No. 2 August 1, 2014 pp. e620-e638. 228.</w:t>
      </w:r>
      <w:r>
        <w:rPr>
          <w:rFonts w:ascii="Arial" w:eastAsia="Arial" w:hAnsi="Arial" w:cs="Arial"/>
          <w:sz w:val="24"/>
        </w:rPr>
        <w:t xml:space="preserve"> </w:t>
      </w:r>
      <w:r>
        <w:rPr>
          <w:rFonts w:ascii="Times New Roman" w:eastAsia="Times New Roman" w:hAnsi="Times New Roman" w:cs="Times New Roman"/>
          <w:sz w:val="24"/>
        </w:rPr>
        <w:t xml:space="preserve">Luna M. S. et al. Expert consensus on palivizumab use for respiratory syncytial virus in developed countries // Paediatr. Respir. Rev. – 2020. – Т. 33. – С. 35-44 </w:t>
      </w:r>
    </w:p>
    <w:p w:rsidR="005A3F38" w:rsidRDefault="003114B5">
      <w:pPr>
        <w:numPr>
          <w:ilvl w:val="0"/>
          <w:numId w:val="40"/>
        </w:numPr>
        <w:spacing w:after="11" w:line="356" w:lineRule="auto"/>
        <w:ind w:right="5" w:hanging="10"/>
      </w:pPr>
      <w:r>
        <w:rPr>
          <w:rFonts w:ascii="Times New Roman" w:eastAsia="Times New Roman" w:hAnsi="Times New Roman" w:cs="Times New Roman"/>
          <w:sz w:val="24"/>
        </w:rPr>
        <w:t xml:space="preserve">Resch B. Respiratory syncytial virus infection in high-risk infants–an update on palivizumab prophylaxis // open Microbiol. journal. – 2014. – Т. 8. – С. 71. </w:t>
      </w:r>
    </w:p>
    <w:p w:rsidR="005A3F38" w:rsidRDefault="003114B5">
      <w:pPr>
        <w:numPr>
          <w:ilvl w:val="0"/>
          <w:numId w:val="40"/>
        </w:numPr>
        <w:spacing w:after="7" w:line="358" w:lineRule="auto"/>
        <w:ind w:right="5" w:hanging="10"/>
      </w:pPr>
      <w:r>
        <w:rPr>
          <w:rFonts w:ascii="Times New Roman" w:eastAsia="Times New Roman" w:hAnsi="Times New Roman" w:cs="Times New Roman"/>
          <w:sz w:val="24"/>
        </w:rPr>
        <w:t>Mori M. et al. Safety, efficacy and pharmacokinetics of palivizumab in off-label neonates, infant</w:t>
      </w:r>
      <w:r>
        <w:rPr>
          <w:rFonts w:ascii="Times New Roman" w:eastAsia="Times New Roman" w:hAnsi="Times New Roman" w:cs="Times New Roman"/>
          <w:sz w:val="24"/>
        </w:rPr>
        <w:t xml:space="preserve">s, and young children at risk for serious respiratory syncytial virus infection: a multicenter phase II clinical trial // Lancet Reg. Heal. Pacific. – 2023. – Т. 39 </w:t>
      </w:r>
    </w:p>
    <w:p w:rsidR="005A3F38" w:rsidRDefault="003114B5">
      <w:pPr>
        <w:numPr>
          <w:ilvl w:val="0"/>
          <w:numId w:val="40"/>
        </w:numPr>
        <w:spacing w:after="7" w:line="358" w:lineRule="auto"/>
        <w:ind w:right="5" w:hanging="10"/>
      </w:pPr>
      <w:r>
        <w:rPr>
          <w:rFonts w:ascii="Times New Roman" w:eastAsia="Times New Roman" w:hAnsi="Times New Roman" w:cs="Times New Roman"/>
          <w:sz w:val="24"/>
        </w:rPr>
        <w:t>Wang D. Y. et al. Respiratory syncytial virus prophylaxis in neurologic and muscular disor</w:t>
      </w:r>
      <w:r>
        <w:rPr>
          <w:rFonts w:ascii="Times New Roman" w:eastAsia="Times New Roman" w:hAnsi="Times New Roman" w:cs="Times New Roman"/>
          <w:sz w:val="24"/>
        </w:rPr>
        <w:t xml:space="preserve">ders in the Canadian respiratory syncytial virus evaluation study of palivizumab // Pediatr. Infect. Dis. Journal. – 2019. – Т. 38. – №. 8. – С. 775-780 </w:t>
      </w:r>
    </w:p>
    <w:p w:rsidR="005A3F38" w:rsidRDefault="003114B5">
      <w:pPr>
        <w:numPr>
          <w:ilvl w:val="0"/>
          <w:numId w:val="40"/>
        </w:numPr>
        <w:spacing w:after="2" w:line="356" w:lineRule="auto"/>
        <w:ind w:right="5" w:hanging="10"/>
      </w:pPr>
      <w:r>
        <w:rPr>
          <w:rFonts w:ascii="Times New Roman" w:eastAsia="Times New Roman" w:hAnsi="Times New Roman" w:cs="Times New Roman"/>
          <w:sz w:val="24"/>
        </w:rPr>
        <w:t>Stiboy E. et al. Variation in clinical practice guidelines for use of palivizumab in preventing severe</w:t>
      </w:r>
      <w:r>
        <w:rPr>
          <w:rFonts w:ascii="Times New Roman" w:eastAsia="Times New Roman" w:hAnsi="Times New Roman" w:cs="Times New Roman"/>
          <w:sz w:val="24"/>
        </w:rPr>
        <w:t xml:space="preserve"> respiratory syncytial viral (RSV) disease in high‐risk infants // Pediatr. Pulmonology. – 2023. – Т. 58. – №. </w:t>
      </w:r>
    </w:p>
    <w:p w:rsidR="005A3F38" w:rsidRDefault="003114B5">
      <w:pPr>
        <w:spacing w:after="152" w:line="249" w:lineRule="auto"/>
        <w:ind w:left="355" w:right="11" w:hanging="10"/>
      </w:pPr>
      <w:r>
        <w:rPr>
          <w:rFonts w:ascii="Times New Roman" w:eastAsia="Times New Roman" w:hAnsi="Times New Roman" w:cs="Times New Roman"/>
          <w:sz w:val="24"/>
        </w:rPr>
        <w:t xml:space="preserve">4. – С. 1210-1220 </w:t>
      </w:r>
    </w:p>
    <w:p w:rsidR="005A3F38" w:rsidRDefault="003114B5">
      <w:pPr>
        <w:tabs>
          <w:tab w:val="center" w:pos="570"/>
          <w:tab w:val="right" w:pos="10719"/>
        </w:tabs>
        <w:spacing w:after="128" w:line="249" w:lineRule="auto"/>
      </w:pPr>
      <w:r>
        <w:tab/>
      </w:r>
      <w:r>
        <w:rPr>
          <w:rFonts w:ascii="Times New Roman" w:eastAsia="Times New Roman" w:hAnsi="Times New Roman" w:cs="Times New Roman"/>
          <w:sz w:val="24"/>
        </w:rPr>
        <w:t>233.</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Manzoni P. et al. Use of palivizumab in neonates who do not meet the American Academy of </w:t>
      </w:r>
    </w:p>
    <w:p w:rsidR="005A3F38" w:rsidRDefault="003114B5">
      <w:pPr>
        <w:spacing w:after="128" w:line="249" w:lineRule="auto"/>
        <w:ind w:left="355" w:right="11" w:hanging="10"/>
      </w:pPr>
      <w:r>
        <w:rPr>
          <w:rFonts w:ascii="Times New Roman" w:eastAsia="Times New Roman" w:hAnsi="Times New Roman" w:cs="Times New Roman"/>
          <w:sz w:val="24"/>
        </w:rPr>
        <w:t>Pediatrics Guidelines for re</w:t>
      </w:r>
      <w:r>
        <w:rPr>
          <w:rFonts w:ascii="Times New Roman" w:eastAsia="Times New Roman" w:hAnsi="Times New Roman" w:cs="Times New Roman"/>
          <w:sz w:val="24"/>
        </w:rPr>
        <w:t xml:space="preserve">spiratory syncytial virus prophylaxis // Early Hum. Dev. – 2009. – Т. 85. – №. </w:t>
      </w:r>
    </w:p>
    <w:p w:rsidR="005A3F38" w:rsidRDefault="003114B5">
      <w:pPr>
        <w:spacing w:after="123"/>
        <w:ind w:left="355" w:right="2" w:hanging="10"/>
        <w:jc w:val="both"/>
      </w:pPr>
      <w:r>
        <w:rPr>
          <w:rFonts w:ascii="Times New Roman" w:eastAsia="Times New Roman" w:hAnsi="Times New Roman" w:cs="Times New Roman"/>
          <w:sz w:val="24"/>
        </w:rPr>
        <w:t xml:space="preserve">10. – С. S93 </w:t>
      </w:r>
    </w:p>
    <w:p w:rsidR="005A3F38" w:rsidRDefault="003114B5">
      <w:pPr>
        <w:numPr>
          <w:ilvl w:val="0"/>
          <w:numId w:val="41"/>
        </w:numPr>
        <w:spacing w:after="7" w:line="358" w:lineRule="auto"/>
        <w:ind w:left="1413" w:right="11" w:hanging="1068"/>
      </w:pPr>
      <w:r>
        <w:rPr>
          <w:rFonts w:ascii="Times New Roman" w:eastAsia="Times New Roman" w:hAnsi="Times New Roman" w:cs="Times New Roman"/>
          <w:sz w:val="24"/>
        </w:rPr>
        <w:t>Kua K. P., Lee S. W. H. Systematic review of the safety and efficacy of palivizumab among infants and young children with cystic fibrosis // Pharmacother. J. Hum.</w:t>
      </w:r>
      <w:r>
        <w:rPr>
          <w:rFonts w:ascii="Times New Roman" w:eastAsia="Times New Roman" w:hAnsi="Times New Roman" w:cs="Times New Roman"/>
          <w:sz w:val="24"/>
        </w:rPr>
        <w:t xml:space="preserve"> Pharmacol. Drug Ther. – 2017. – Т. 37. – №. 6. – С. 755-769 </w:t>
      </w:r>
    </w:p>
    <w:p w:rsidR="005A3F38" w:rsidRDefault="003114B5">
      <w:pPr>
        <w:numPr>
          <w:ilvl w:val="0"/>
          <w:numId w:val="41"/>
        </w:numPr>
        <w:spacing w:after="7" w:line="358" w:lineRule="auto"/>
        <w:ind w:left="1413" w:right="11" w:hanging="1068"/>
      </w:pPr>
      <w:r>
        <w:rPr>
          <w:rFonts w:ascii="Times New Roman" w:eastAsia="Times New Roman" w:hAnsi="Times New Roman" w:cs="Times New Roman"/>
          <w:sz w:val="24"/>
        </w:rPr>
        <w:t>Kashiwagi T., Okada Y., Nomoto K. Palivizumab prophylaxis against respiratory syncytial virus infection in children with immunocompromised conditions or down syndrome: a multicenter, post-market</w:t>
      </w:r>
      <w:r>
        <w:rPr>
          <w:rFonts w:ascii="Times New Roman" w:eastAsia="Times New Roman" w:hAnsi="Times New Roman" w:cs="Times New Roman"/>
          <w:sz w:val="24"/>
        </w:rPr>
        <w:t xml:space="preserve">ing surveillance in Japan // Pediatr. Drugs. – 2018. – Т. 20. – С. 97-104 </w:t>
      </w:r>
    </w:p>
    <w:p w:rsidR="005A3F38" w:rsidRDefault="003114B5">
      <w:pPr>
        <w:numPr>
          <w:ilvl w:val="0"/>
          <w:numId w:val="41"/>
        </w:numPr>
        <w:spacing w:after="128" w:line="249" w:lineRule="auto"/>
        <w:ind w:left="1413" w:right="11" w:hanging="1068"/>
      </w:pPr>
      <w:r>
        <w:rPr>
          <w:rFonts w:ascii="Times New Roman" w:eastAsia="Times New Roman" w:hAnsi="Times New Roman" w:cs="Times New Roman"/>
          <w:sz w:val="24"/>
        </w:rPr>
        <w:t xml:space="preserve">Simon A. et al. Palivizumab use in infants with Down syndrome—report from the German </w:t>
      </w:r>
    </w:p>
    <w:p w:rsidR="005A3F38" w:rsidRDefault="003114B5">
      <w:pPr>
        <w:spacing w:after="128" w:line="249" w:lineRule="auto"/>
        <w:ind w:left="355" w:right="11" w:hanging="10"/>
      </w:pPr>
      <w:r>
        <w:rPr>
          <w:rFonts w:ascii="Times New Roman" w:eastAsia="Times New Roman" w:hAnsi="Times New Roman" w:cs="Times New Roman"/>
          <w:sz w:val="24"/>
        </w:rPr>
        <w:t xml:space="preserve">SynagisTM Registry 2009–2016 // Eur. J. Pediatr. – 2018. – Т. 177. – С. 903-911 </w:t>
      </w:r>
    </w:p>
    <w:p w:rsidR="005A3F38" w:rsidRDefault="003114B5">
      <w:pPr>
        <w:numPr>
          <w:ilvl w:val="0"/>
          <w:numId w:val="41"/>
        </w:numPr>
        <w:spacing w:after="128" w:line="358" w:lineRule="auto"/>
        <w:ind w:left="1413" w:right="11" w:hanging="1068"/>
      </w:pPr>
      <w:r>
        <w:rPr>
          <w:rFonts w:ascii="Times New Roman" w:eastAsia="Times New Roman" w:hAnsi="Times New Roman" w:cs="Times New Roman"/>
          <w:sz w:val="24"/>
        </w:rPr>
        <w:t xml:space="preserve">Chatzis et al. Burden of severe RSV disease among immunocompromised children and adults: a 10 year retrospective study. BMC Infectious Diseases 2018; 18:111. doi.org/10.1186/s12879-018-3002-3 </w:t>
      </w:r>
    </w:p>
    <w:p w:rsidR="005A3F38" w:rsidRDefault="003114B5">
      <w:pPr>
        <w:numPr>
          <w:ilvl w:val="0"/>
          <w:numId w:val="41"/>
        </w:numPr>
        <w:spacing w:after="7" w:line="358" w:lineRule="auto"/>
        <w:ind w:left="1413" w:right="11" w:hanging="1068"/>
      </w:pPr>
      <w:r>
        <w:rPr>
          <w:rFonts w:ascii="Times New Roman" w:eastAsia="Times New Roman" w:hAnsi="Times New Roman" w:cs="Times New Roman"/>
          <w:sz w:val="24"/>
        </w:rPr>
        <w:t>Soomann M, Prader S, Pachlopnik Schmid J, Güngör T, Trück J. Fa</w:t>
      </w:r>
      <w:r>
        <w:rPr>
          <w:rFonts w:ascii="Times New Roman" w:eastAsia="Times New Roman" w:hAnsi="Times New Roman" w:cs="Times New Roman"/>
          <w:sz w:val="24"/>
        </w:rPr>
        <w:t xml:space="preserve">tal RSV in SCID: the Importance of Infection Prevention Despite Newborn Screening. J Clin Immunol. 2023 Apr;43(3):554-556. doi: 10.1007/s10875-022-01427-x,8 </w:t>
      </w:r>
    </w:p>
    <w:p w:rsidR="005A3F38" w:rsidRDefault="003114B5">
      <w:pPr>
        <w:numPr>
          <w:ilvl w:val="0"/>
          <w:numId w:val="41"/>
        </w:numPr>
        <w:spacing w:after="17" w:line="369" w:lineRule="auto"/>
        <w:ind w:left="1413" w:right="11" w:hanging="1068"/>
      </w:pPr>
      <w:r>
        <w:rPr>
          <w:rFonts w:ascii="Times New Roman" w:eastAsia="Times New Roman" w:hAnsi="Times New Roman" w:cs="Times New Roman"/>
          <w:sz w:val="24"/>
        </w:rPr>
        <w:t>Ania Zylbersztejn, Ofran Almossawi, Nikesh Gudka, Daniel Tompsett, Bianca De Stavola, Joseph F Sta</w:t>
      </w:r>
      <w:r>
        <w:rPr>
          <w:rFonts w:ascii="Times New Roman" w:eastAsia="Times New Roman" w:hAnsi="Times New Roman" w:cs="Times New Roman"/>
          <w:sz w:val="24"/>
        </w:rPr>
        <w:t xml:space="preserve">nding, Rosalind Smyth, Pia Hardelid. Access to palivizumab among children at high risk of respiratory syncytial </w:t>
      </w:r>
      <w:r>
        <w:rPr>
          <w:rFonts w:ascii="Times New Roman" w:eastAsia="Times New Roman" w:hAnsi="Times New Roman" w:cs="Times New Roman"/>
          <w:sz w:val="24"/>
        </w:rPr>
        <w:tab/>
        <w:t xml:space="preserve">virus </w:t>
      </w:r>
      <w:r>
        <w:rPr>
          <w:rFonts w:ascii="Times New Roman" w:eastAsia="Times New Roman" w:hAnsi="Times New Roman" w:cs="Times New Roman"/>
          <w:sz w:val="24"/>
        </w:rPr>
        <w:tab/>
        <w:t xml:space="preserve">complications </w:t>
      </w:r>
      <w:r>
        <w:rPr>
          <w:rFonts w:ascii="Times New Roman" w:eastAsia="Times New Roman" w:hAnsi="Times New Roman" w:cs="Times New Roman"/>
          <w:sz w:val="24"/>
        </w:rPr>
        <w:tab/>
        <w:t xml:space="preserve">in </w:t>
      </w:r>
      <w:r>
        <w:rPr>
          <w:rFonts w:ascii="Times New Roman" w:eastAsia="Times New Roman" w:hAnsi="Times New Roman" w:cs="Times New Roman"/>
          <w:sz w:val="24"/>
        </w:rPr>
        <w:tab/>
        <w:t xml:space="preserve">English </w:t>
      </w:r>
      <w:r>
        <w:rPr>
          <w:rFonts w:ascii="Times New Roman" w:eastAsia="Times New Roman" w:hAnsi="Times New Roman" w:cs="Times New Roman"/>
          <w:sz w:val="24"/>
        </w:rPr>
        <w:tab/>
        <w:t xml:space="preserve">hospitals. </w:t>
      </w:r>
      <w:r>
        <w:rPr>
          <w:rFonts w:ascii="Times New Roman" w:eastAsia="Times New Roman" w:hAnsi="Times New Roman" w:cs="Times New Roman"/>
          <w:sz w:val="24"/>
        </w:rPr>
        <w:tab/>
        <w:t xml:space="preserve">medRxiv </w:t>
      </w:r>
      <w:r>
        <w:rPr>
          <w:rFonts w:ascii="Times New Roman" w:eastAsia="Times New Roman" w:hAnsi="Times New Roman" w:cs="Times New Roman"/>
          <w:sz w:val="24"/>
        </w:rPr>
        <w:tab/>
        <w:t xml:space="preserve">2021.04.15.21255460; doi:10.1101/2021.04.15.21255460 </w:t>
      </w:r>
    </w:p>
    <w:p w:rsidR="005A3F38" w:rsidRDefault="003114B5">
      <w:pPr>
        <w:numPr>
          <w:ilvl w:val="0"/>
          <w:numId w:val="41"/>
        </w:numPr>
        <w:spacing w:after="29" w:line="359" w:lineRule="auto"/>
        <w:ind w:left="1413" w:right="11" w:hanging="1068"/>
      </w:pPr>
      <w:r>
        <w:rPr>
          <w:rFonts w:ascii="Times New Roman" w:eastAsia="Times New Roman" w:hAnsi="Times New Roman" w:cs="Times New Roman"/>
          <w:sz w:val="24"/>
        </w:rPr>
        <w:t>Manuel, Oriol, Michele Estabrook,</w:t>
      </w:r>
      <w:r>
        <w:rPr>
          <w:rFonts w:ascii="Times New Roman" w:eastAsia="Times New Roman" w:hAnsi="Times New Roman" w:cs="Times New Roman"/>
          <w:sz w:val="24"/>
        </w:rPr>
        <w:t xml:space="preserve"> and American Society of Transplantation Infectious Diseases Community of Practice. RNA respiratory viral infections in solid organ transplant recipients: Guidelines from the American Society of Transplantation Infectious Diseases Community of Practice. Cl</w:t>
      </w:r>
      <w:r>
        <w:rPr>
          <w:rFonts w:ascii="Times New Roman" w:eastAsia="Times New Roman" w:hAnsi="Times New Roman" w:cs="Times New Roman"/>
          <w:sz w:val="24"/>
        </w:rPr>
        <w:t xml:space="preserve">inical transplantation. 2019; 33.9: e13511 </w:t>
      </w:r>
    </w:p>
    <w:p w:rsidR="005A3F38" w:rsidRDefault="003114B5">
      <w:pPr>
        <w:numPr>
          <w:ilvl w:val="0"/>
          <w:numId w:val="41"/>
        </w:numPr>
        <w:spacing w:after="20" w:line="366" w:lineRule="auto"/>
        <w:ind w:left="1413" w:right="11" w:hanging="1068"/>
      </w:pPr>
      <w:r>
        <w:rPr>
          <w:rFonts w:ascii="Times New Roman" w:eastAsia="Times New Roman" w:hAnsi="Times New Roman" w:cs="Times New Roman"/>
          <w:sz w:val="24"/>
        </w:rPr>
        <w:t xml:space="preserve">Шамшева О.В., Молочкова О.В. Спектр применения отечественного противовирусного препарата в педиатрии. Детские инфекции. 2015. Т. 14, № 4. С. 26-30. </w:t>
      </w:r>
      <w:hyperlink r:id="rId159">
        <w:r>
          <w:rPr>
            <w:rFonts w:ascii="Times New Roman" w:eastAsia="Times New Roman" w:hAnsi="Times New Roman" w:cs="Times New Roman"/>
            <w:color w:val="0000FF"/>
            <w:sz w:val="24"/>
            <w:u w:val="single" w:color="0000FF"/>
          </w:rPr>
          <w:t>https://doi.org/10.22627/2072</w:t>
        </w:r>
      </w:hyperlink>
      <w:hyperlink r:id="rId160"/>
      <w:hyperlink r:id="rId161">
        <w:r>
          <w:rPr>
            <w:rFonts w:ascii="Times New Roman" w:eastAsia="Times New Roman" w:hAnsi="Times New Roman" w:cs="Times New Roman"/>
            <w:color w:val="0000FF"/>
            <w:sz w:val="24"/>
            <w:u w:val="single" w:color="0000FF"/>
          </w:rPr>
          <w:t>8107</w:t>
        </w:r>
      </w:hyperlink>
      <w:hyperlink r:id="rId162">
        <w:r>
          <w:rPr>
            <w:rFonts w:ascii="Times New Roman" w:eastAsia="Times New Roman" w:hAnsi="Times New Roman" w:cs="Times New Roman"/>
            <w:color w:val="0000FF"/>
            <w:sz w:val="24"/>
            <w:u w:val="single" w:color="0000FF"/>
          </w:rPr>
          <w:t>-</w:t>
        </w:r>
      </w:hyperlink>
      <w:hyperlink r:id="rId163">
        <w:r>
          <w:rPr>
            <w:rFonts w:ascii="Times New Roman" w:eastAsia="Times New Roman" w:hAnsi="Times New Roman" w:cs="Times New Roman"/>
            <w:color w:val="0000FF"/>
            <w:sz w:val="24"/>
            <w:u w:val="single" w:color="0000FF"/>
          </w:rPr>
          <w:t>2015</w:t>
        </w:r>
      </w:hyperlink>
      <w:hyperlink r:id="rId164">
        <w:r>
          <w:rPr>
            <w:rFonts w:ascii="Times New Roman" w:eastAsia="Times New Roman" w:hAnsi="Times New Roman" w:cs="Times New Roman"/>
            <w:color w:val="0000FF"/>
            <w:sz w:val="24"/>
            <w:u w:val="single" w:color="0000FF"/>
          </w:rPr>
          <w:t>-</w:t>
        </w:r>
      </w:hyperlink>
      <w:hyperlink r:id="rId165">
        <w:r>
          <w:rPr>
            <w:rFonts w:ascii="Times New Roman" w:eastAsia="Times New Roman" w:hAnsi="Times New Roman" w:cs="Times New Roman"/>
            <w:color w:val="0000FF"/>
            <w:sz w:val="24"/>
            <w:u w:val="single" w:color="0000FF"/>
          </w:rPr>
          <w:t>14</w:t>
        </w:r>
      </w:hyperlink>
      <w:hyperlink r:id="rId166">
        <w:r>
          <w:rPr>
            <w:rFonts w:ascii="Times New Roman" w:eastAsia="Times New Roman" w:hAnsi="Times New Roman" w:cs="Times New Roman"/>
            <w:color w:val="0000FF"/>
            <w:sz w:val="24"/>
            <w:u w:val="single" w:color="0000FF"/>
          </w:rPr>
          <w:t>-</w:t>
        </w:r>
      </w:hyperlink>
      <w:hyperlink r:id="rId167">
        <w:r>
          <w:rPr>
            <w:rFonts w:ascii="Times New Roman" w:eastAsia="Times New Roman" w:hAnsi="Times New Roman" w:cs="Times New Roman"/>
            <w:color w:val="0000FF"/>
            <w:sz w:val="24"/>
            <w:u w:val="single" w:color="0000FF"/>
          </w:rPr>
          <w:t>4</w:t>
        </w:r>
      </w:hyperlink>
      <w:hyperlink r:id="rId168">
        <w:r>
          <w:rPr>
            <w:rFonts w:ascii="Times New Roman" w:eastAsia="Times New Roman" w:hAnsi="Times New Roman" w:cs="Times New Roman"/>
            <w:color w:val="0000FF"/>
            <w:sz w:val="24"/>
            <w:u w:val="single" w:color="0000FF"/>
          </w:rPr>
          <w:t>-</w:t>
        </w:r>
      </w:hyperlink>
      <w:hyperlink r:id="rId169">
        <w:r>
          <w:rPr>
            <w:rFonts w:ascii="Times New Roman" w:eastAsia="Times New Roman" w:hAnsi="Times New Roman" w:cs="Times New Roman"/>
            <w:color w:val="0000FF"/>
            <w:sz w:val="24"/>
            <w:u w:val="single" w:color="0000FF"/>
          </w:rPr>
          <w:t>26</w:t>
        </w:r>
      </w:hyperlink>
      <w:hyperlink r:id="rId170">
        <w:r>
          <w:rPr>
            <w:rFonts w:ascii="Times New Roman" w:eastAsia="Times New Roman" w:hAnsi="Times New Roman" w:cs="Times New Roman"/>
            <w:color w:val="0000FF"/>
            <w:sz w:val="24"/>
            <w:u w:val="single" w:color="0000FF"/>
          </w:rPr>
          <w:t>-</w:t>
        </w:r>
      </w:hyperlink>
      <w:hyperlink r:id="rId171">
        <w:r>
          <w:rPr>
            <w:rFonts w:ascii="Times New Roman" w:eastAsia="Times New Roman" w:hAnsi="Times New Roman" w:cs="Times New Roman"/>
            <w:color w:val="0000FF"/>
            <w:sz w:val="24"/>
            <w:u w:val="single" w:color="0000FF"/>
          </w:rPr>
          <w:t>30</w:t>
        </w:r>
      </w:hyperlink>
      <w:hyperlink r:id="rId172">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w:t>
      </w:r>
    </w:p>
    <w:p w:rsidR="005A3F38" w:rsidRDefault="003114B5">
      <w:pPr>
        <w:numPr>
          <w:ilvl w:val="0"/>
          <w:numId w:val="41"/>
        </w:numPr>
        <w:spacing w:after="128" w:line="249" w:lineRule="auto"/>
        <w:ind w:left="1413" w:right="11" w:hanging="1068"/>
      </w:pPr>
      <w:r>
        <w:rPr>
          <w:rFonts w:ascii="Times New Roman" w:eastAsia="Times New Roman" w:hAnsi="Times New Roman" w:cs="Times New Roman"/>
          <w:sz w:val="24"/>
        </w:rPr>
        <w:t>Bush A. Recurrent respiratory infections. Pediatr Cl</w:t>
      </w:r>
      <w:r>
        <w:rPr>
          <w:rFonts w:ascii="Times New Roman" w:eastAsia="Times New Roman" w:hAnsi="Times New Roman" w:cs="Times New Roman"/>
          <w:sz w:val="24"/>
        </w:rPr>
        <w:t xml:space="preserve">in North Am. 2009 Feb;56(1):67-100, x.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10.1016/j.pcl.2008.10.004. PMID: 19135582 </w:t>
      </w:r>
    </w:p>
    <w:p w:rsidR="005A3F38" w:rsidRDefault="003114B5">
      <w:pPr>
        <w:numPr>
          <w:ilvl w:val="0"/>
          <w:numId w:val="41"/>
        </w:numPr>
        <w:spacing w:after="128" w:line="249" w:lineRule="auto"/>
        <w:ind w:left="1413" w:right="11" w:hanging="1068"/>
      </w:pPr>
      <w:r>
        <w:rPr>
          <w:rFonts w:ascii="Times New Roman" w:eastAsia="Times New Roman" w:hAnsi="Times New Roman" w:cs="Times New Roman"/>
          <w:sz w:val="24"/>
        </w:rPr>
        <w:t xml:space="preserve">Chiappini E, Santamaria F, Marseglia GL, et al. Prevention of recurrent respiratory infections: </w:t>
      </w:r>
    </w:p>
    <w:p w:rsidR="005A3F38" w:rsidRDefault="003114B5">
      <w:pPr>
        <w:spacing w:after="32" w:line="356" w:lineRule="auto"/>
        <w:ind w:left="355" w:right="11" w:hanging="10"/>
      </w:pPr>
      <w:r>
        <w:rPr>
          <w:rFonts w:ascii="Times New Roman" w:eastAsia="Times New Roman" w:hAnsi="Times New Roman" w:cs="Times New Roman"/>
          <w:sz w:val="24"/>
        </w:rPr>
        <w:t>Inter-</w:t>
      </w:r>
      <w:r>
        <w:rPr>
          <w:rFonts w:ascii="Times New Roman" w:eastAsia="Times New Roman" w:hAnsi="Times New Roman" w:cs="Times New Roman"/>
          <w:sz w:val="24"/>
        </w:rPr>
        <w:t xml:space="preserve">society Consensus. Ital J Pediatr. 2021;47(1):211. Published 2021 Oct 25. doi:10.1186/s13052-02101150-01 </w:t>
      </w:r>
    </w:p>
    <w:p w:rsidR="005A3F38" w:rsidRDefault="003114B5">
      <w:pPr>
        <w:numPr>
          <w:ilvl w:val="0"/>
          <w:numId w:val="41"/>
        </w:numPr>
        <w:spacing w:after="0" w:line="362" w:lineRule="auto"/>
        <w:ind w:left="1413" w:right="11" w:hanging="1068"/>
      </w:pPr>
      <w:r>
        <w:rPr>
          <w:rFonts w:ascii="Times New Roman" w:eastAsia="Times New Roman" w:hAnsi="Times New Roman" w:cs="Times New Roman"/>
          <w:sz w:val="24"/>
        </w:rPr>
        <w:t>Mendell MJ. Indoor residential chemical emissions as risk factors for respiratory and allergic effects in children: a review. Indoor Air. 2007 Aug;17(</w:t>
      </w:r>
      <w:r>
        <w:rPr>
          <w:rFonts w:ascii="Times New Roman" w:eastAsia="Times New Roman" w:hAnsi="Times New Roman" w:cs="Times New Roman"/>
          <w:sz w:val="24"/>
        </w:rPr>
        <w:t xml:space="preserve">4):259-77. doi: 10.1111/j.1600-0668.2007.00478.x. PMID: </w:t>
      </w:r>
    </w:p>
    <w:p w:rsidR="005A3F38" w:rsidRDefault="003114B5">
      <w:pPr>
        <w:spacing w:after="152" w:line="249" w:lineRule="auto"/>
        <w:ind w:left="355" w:right="11" w:hanging="10"/>
      </w:pPr>
      <w:r>
        <w:rPr>
          <w:rFonts w:ascii="Times New Roman" w:eastAsia="Times New Roman" w:hAnsi="Times New Roman" w:cs="Times New Roman"/>
          <w:sz w:val="24"/>
        </w:rPr>
        <w:t xml:space="preserve">17661923.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 xml:space="preserve">Ярцев М. Н., Плахтиенко М. В. Сб. тематич. статей в рамках проекта «ОЛИМП» по основам клин. иммунол. для педиатров. Росс. аллергол. журн. (Приложение). Фармарус принт медиа. 2010. </w:t>
      </w:r>
    </w:p>
    <w:p w:rsidR="005A3F38" w:rsidRDefault="003114B5">
      <w:pPr>
        <w:spacing w:after="144"/>
        <w:ind w:left="355" w:right="2" w:hanging="10"/>
        <w:jc w:val="both"/>
      </w:pPr>
      <w:r>
        <w:rPr>
          <w:rFonts w:ascii="Times New Roman" w:eastAsia="Times New Roman" w:hAnsi="Times New Roman" w:cs="Times New Roman"/>
          <w:sz w:val="24"/>
        </w:rPr>
        <w:t>С. 29–4</w:t>
      </w:r>
      <w:r>
        <w:rPr>
          <w:rFonts w:ascii="Times New Roman" w:eastAsia="Times New Roman" w:hAnsi="Times New Roman" w:cs="Times New Roman"/>
          <w:sz w:val="24"/>
        </w:rPr>
        <w:t xml:space="preserve">5 </w:t>
      </w:r>
    </w:p>
    <w:p w:rsidR="005A3F38" w:rsidRDefault="003114B5">
      <w:pPr>
        <w:numPr>
          <w:ilvl w:val="0"/>
          <w:numId w:val="41"/>
        </w:numPr>
        <w:spacing w:after="0" w:line="362" w:lineRule="auto"/>
        <w:ind w:left="1413" w:right="11" w:hanging="1068"/>
      </w:pPr>
      <w:r>
        <w:rPr>
          <w:rFonts w:ascii="Times New Roman" w:eastAsia="Times New Roman" w:hAnsi="Times New Roman" w:cs="Times New Roman"/>
          <w:sz w:val="24"/>
        </w:rPr>
        <w:t xml:space="preserve">Berber A, Del-Río-Navarro BE, Reyes-Noriega N, Sienra-Monge JJL. Immunostimulants for preventing respiratory tract infection in children: A systematic review and meta-analysis. World Allergy </w:t>
      </w:r>
    </w:p>
    <w:p w:rsidR="005A3F38" w:rsidRDefault="003114B5">
      <w:pPr>
        <w:spacing w:after="153" w:line="249" w:lineRule="auto"/>
        <w:ind w:left="355" w:right="11" w:hanging="10"/>
      </w:pPr>
      <w:r>
        <w:rPr>
          <w:rFonts w:ascii="Times New Roman" w:eastAsia="Times New Roman" w:hAnsi="Times New Roman" w:cs="Times New Roman"/>
          <w:sz w:val="24"/>
        </w:rPr>
        <w:t>Organ J. 2022 Sep 14;15(9):100684. doi: 10.1016/j.waojou.2022</w:t>
      </w:r>
      <w:r>
        <w:rPr>
          <w:rFonts w:ascii="Times New Roman" w:eastAsia="Times New Roman" w:hAnsi="Times New Roman" w:cs="Times New Roman"/>
          <w:sz w:val="24"/>
        </w:rPr>
        <w:t xml:space="preserve">.100684 </w:t>
      </w:r>
    </w:p>
    <w:p w:rsidR="005A3F38" w:rsidRDefault="003114B5">
      <w:pPr>
        <w:numPr>
          <w:ilvl w:val="0"/>
          <w:numId w:val="41"/>
        </w:numPr>
        <w:spacing w:after="0" w:line="362" w:lineRule="auto"/>
        <w:ind w:left="1413" w:right="11" w:hanging="1068"/>
      </w:pPr>
      <w:r>
        <w:rPr>
          <w:rFonts w:ascii="Times New Roman" w:eastAsia="Times New Roman" w:hAnsi="Times New Roman" w:cs="Times New Roman"/>
          <w:sz w:val="24"/>
        </w:rPr>
        <w:t xml:space="preserve">Di Gioacchino M, Santilli F, Pession A. Is There a Role for Immunostimulant Bacterial Lysates in the Management of Respiratory Tract Infection? Biomolecules. 2024 Oct 2;14(10):1249.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10.3390/biom14101249. PMID: 39456182; PMCID: PMC11505618 </w:t>
      </w:r>
    </w:p>
    <w:p w:rsidR="005A3F38" w:rsidRDefault="003114B5">
      <w:pPr>
        <w:numPr>
          <w:ilvl w:val="0"/>
          <w:numId w:val="41"/>
        </w:numPr>
        <w:spacing w:after="128" w:line="249" w:lineRule="auto"/>
        <w:ind w:left="1413" w:right="11" w:hanging="1068"/>
      </w:pPr>
      <w:r>
        <w:rPr>
          <w:rFonts w:ascii="Times New Roman" w:eastAsia="Times New Roman" w:hAnsi="Times New Roman" w:cs="Times New Roman"/>
          <w:sz w:val="24"/>
        </w:rPr>
        <w:t>E</w:t>
      </w:r>
      <w:r>
        <w:rPr>
          <w:rFonts w:ascii="Times New Roman" w:eastAsia="Times New Roman" w:hAnsi="Times New Roman" w:cs="Times New Roman"/>
          <w:sz w:val="24"/>
        </w:rPr>
        <w:t xml:space="preserve">sposito S, Jones MH, Feleszko W, Martell JAO, Falup-Pecurariu O, Geppe N, Martinón-Torres F, </w:t>
      </w:r>
    </w:p>
    <w:p w:rsidR="005A3F38" w:rsidRDefault="003114B5">
      <w:pPr>
        <w:spacing w:after="128" w:line="249" w:lineRule="auto"/>
        <w:ind w:left="355" w:right="11" w:hanging="10"/>
      </w:pPr>
      <w:r>
        <w:rPr>
          <w:rFonts w:ascii="Times New Roman" w:eastAsia="Times New Roman" w:hAnsi="Times New Roman" w:cs="Times New Roman"/>
          <w:sz w:val="24"/>
        </w:rPr>
        <w:t xml:space="preserve">Shen KL, Roth M, Principi N. Prevention of New Respiratory Episodes in Children with Recurrent </w:t>
      </w:r>
    </w:p>
    <w:p w:rsidR="005A3F38" w:rsidRDefault="003114B5">
      <w:pPr>
        <w:spacing w:after="128" w:line="249" w:lineRule="auto"/>
        <w:ind w:left="355" w:right="11" w:hanging="10"/>
      </w:pPr>
      <w:r>
        <w:rPr>
          <w:rFonts w:ascii="Times New Roman" w:eastAsia="Times New Roman" w:hAnsi="Times New Roman" w:cs="Times New Roman"/>
          <w:sz w:val="24"/>
        </w:rPr>
        <w:t xml:space="preserve">Respiratory Infections: An Expert Consensus Statement. Microorganisms. 2020 Nov 17;8(11):1810.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10.3390/microorganisms8111810. PMID: 33213053; PMCID: PMC7698530 </w:t>
      </w:r>
    </w:p>
    <w:p w:rsidR="005A3F38" w:rsidRDefault="003114B5">
      <w:pPr>
        <w:numPr>
          <w:ilvl w:val="0"/>
          <w:numId w:val="41"/>
        </w:numPr>
        <w:spacing w:after="20" w:line="366" w:lineRule="auto"/>
        <w:ind w:left="1413" w:right="11" w:hanging="1068"/>
      </w:pPr>
      <w:r>
        <w:rPr>
          <w:rFonts w:ascii="Times New Roman" w:eastAsia="Times New Roman" w:hAnsi="Times New Roman" w:cs="Times New Roman"/>
          <w:sz w:val="24"/>
        </w:rPr>
        <w:t>А.П. Продеус, Г.Н. Гильдеева, Д.Р. Мамиляева, И.Г. Козлов. Глюкозаминилмурамилдипептид: о</w:t>
      </w:r>
      <w:r>
        <w:rPr>
          <w:rFonts w:ascii="Times New Roman" w:eastAsia="Times New Roman" w:hAnsi="Times New Roman" w:cs="Times New Roman"/>
          <w:sz w:val="24"/>
        </w:rPr>
        <w:t xml:space="preserve">бзор по использованию и оценке эффективности в педиатрической практике. Педиатрия им. Г.Н. Сперанского. 2021; 100 (2): 157–166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 xml:space="preserve">Свистушкин В. М., Никифорова Г. Н., Золотова А. В., Степанова В. А. Применение топических бактериальных лизатов в современной клинической практике. Медицинский совет. </w:t>
      </w:r>
    </w:p>
    <w:p w:rsidR="005A3F38" w:rsidRDefault="003114B5">
      <w:pPr>
        <w:spacing w:after="152" w:line="249" w:lineRule="auto"/>
        <w:ind w:left="355" w:right="11" w:hanging="10"/>
      </w:pPr>
      <w:r>
        <w:rPr>
          <w:rFonts w:ascii="Times New Roman" w:eastAsia="Times New Roman" w:hAnsi="Times New Roman" w:cs="Times New Roman"/>
          <w:sz w:val="24"/>
        </w:rPr>
        <w:t xml:space="preserve">2021; (6): 49-56 </w:t>
      </w:r>
    </w:p>
    <w:p w:rsidR="005A3F38" w:rsidRDefault="003114B5">
      <w:pPr>
        <w:numPr>
          <w:ilvl w:val="0"/>
          <w:numId w:val="41"/>
        </w:numPr>
        <w:spacing w:after="0" w:line="364" w:lineRule="auto"/>
        <w:ind w:left="1413" w:right="11" w:hanging="1068"/>
      </w:pPr>
      <w:r>
        <w:rPr>
          <w:rFonts w:ascii="Times New Roman" w:eastAsia="Times New Roman" w:hAnsi="Times New Roman" w:cs="Times New Roman"/>
          <w:sz w:val="24"/>
        </w:rPr>
        <w:t>Marseglia GL, Gelardi M, Santus P, Ciprandi G. Reappraisal of Pidotimo</w:t>
      </w:r>
      <w:r>
        <w:rPr>
          <w:rFonts w:ascii="Times New Roman" w:eastAsia="Times New Roman" w:hAnsi="Times New Roman" w:cs="Times New Roman"/>
          <w:sz w:val="24"/>
        </w:rPr>
        <w:t>d: an immunomodulatory agent with 30-year evidence. Minerva Med. 2024 Aug;115(4):503-515. doi: 10.23736/S0026-</w:t>
      </w:r>
    </w:p>
    <w:p w:rsidR="005A3F38" w:rsidRDefault="003114B5">
      <w:pPr>
        <w:spacing w:after="155" w:line="249" w:lineRule="auto"/>
        <w:ind w:left="355" w:right="11" w:hanging="10"/>
      </w:pPr>
      <w:r>
        <w:rPr>
          <w:rFonts w:ascii="Times New Roman" w:eastAsia="Times New Roman" w:hAnsi="Times New Roman" w:cs="Times New Roman"/>
          <w:sz w:val="24"/>
        </w:rPr>
        <w:t xml:space="preserve">4806.24.09391-1. Epub 2024 Jul 17. PMID: 39016527 </w:t>
      </w:r>
    </w:p>
    <w:p w:rsidR="005A3F38" w:rsidRDefault="003114B5">
      <w:pPr>
        <w:numPr>
          <w:ilvl w:val="0"/>
          <w:numId w:val="41"/>
        </w:numPr>
        <w:spacing w:after="0" w:line="362" w:lineRule="auto"/>
        <w:ind w:left="1413" w:right="11" w:hanging="1068"/>
      </w:pPr>
      <w:r>
        <w:rPr>
          <w:rFonts w:ascii="Times New Roman" w:eastAsia="Times New Roman" w:hAnsi="Times New Roman" w:cs="Times New Roman"/>
          <w:sz w:val="24"/>
        </w:rPr>
        <w:t>Niu H, Wang R, Jia YT, Cai Y. Pidotimod, an immunostimulant in pediatric recurrent respiratory</w:t>
      </w:r>
      <w:r>
        <w:rPr>
          <w:rFonts w:ascii="Times New Roman" w:eastAsia="Times New Roman" w:hAnsi="Times New Roman" w:cs="Times New Roman"/>
          <w:sz w:val="24"/>
        </w:rPr>
        <w:t xml:space="preserve"> tract infections: A meta-analysis of randomized controlled trials. Int Immunopharmacol. 2019 Feb;67:35-</w:t>
      </w:r>
    </w:p>
    <w:p w:rsidR="005A3F38" w:rsidRDefault="003114B5">
      <w:pPr>
        <w:spacing w:after="128" w:line="249" w:lineRule="auto"/>
        <w:ind w:left="355" w:right="11" w:hanging="10"/>
      </w:pPr>
      <w:r>
        <w:rPr>
          <w:rFonts w:ascii="Times New Roman" w:eastAsia="Times New Roman" w:hAnsi="Times New Roman" w:cs="Times New Roman"/>
          <w:sz w:val="24"/>
        </w:rPr>
        <w:t xml:space="preserve">45. doi: 10.1016/j.intimp.2018.11.043. Epub 2018 Dec 7. PMID: 30530167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Баранов А.А., Иванов Д.О. и соавт. Паливизумаб: четыре сезона в России. Вестник</w:t>
      </w:r>
      <w:r>
        <w:rPr>
          <w:rFonts w:ascii="Times New Roman" w:eastAsia="Times New Roman" w:hAnsi="Times New Roman" w:cs="Times New Roman"/>
          <w:sz w:val="24"/>
        </w:rPr>
        <w:t xml:space="preserve"> Российской академии медицинских наук. 2014: 7-8; 54-68 </w:t>
      </w:r>
    </w:p>
    <w:p w:rsidR="005A3F38" w:rsidRDefault="003114B5">
      <w:pPr>
        <w:numPr>
          <w:ilvl w:val="0"/>
          <w:numId w:val="41"/>
        </w:numPr>
        <w:spacing w:after="0" w:line="364" w:lineRule="auto"/>
        <w:ind w:left="1413" w:right="11" w:hanging="1068"/>
      </w:pPr>
      <w:r>
        <w:rPr>
          <w:rFonts w:ascii="Times New Roman" w:eastAsia="Times New Roman" w:hAnsi="Times New Roman" w:cs="Times New Roman"/>
          <w:sz w:val="24"/>
        </w:rPr>
        <w:t xml:space="preserve">Del-Rio-Navarro BE, Espinosa-Rosales FJ, Flenady V, Sienra-Monge JJL. Immunostimulants for preventing respiratory tract infection in children. Cochrane Database of Systematic Reviews 2006, Issue 4. </w:t>
      </w:r>
    </w:p>
    <w:p w:rsidR="005A3F38" w:rsidRDefault="003114B5">
      <w:pPr>
        <w:spacing w:after="155" w:line="249" w:lineRule="auto"/>
        <w:ind w:left="355" w:right="11" w:hanging="10"/>
      </w:pPr>
      <w:r>
        <w:rPr>
          <w:rFonts w:ascii="Times New Roman" w:eastAsia="Times New Roman" w:hAnsi="Times New Roman" w:cs="Times New Roman"/>
          <w:sz w:val="24"/>
        </w:rPr>
        <w:t xml:space="preserve">Art. No.: CD004974. DOI: 10.1002/14651858.CD004974.pub2. </w:t>
      </w:r>
    </w:p>
    <w:p w:rsidR="005A3F38" w:rsidRDefault="003114B5">
      <w:pPr>
        <w:numPr>
          <w:ilvl w:val="0"/>
          <w:numId w:val="41"/>
        </w:numPr>
        <w:spacing w:after="5" w:line="362" w:lineRule="auto"/>
        <w:ind w:left="1413" w:right="11" w:hanging="1068"/>
      </w:pPr>
      <w:r>
        <w:rPr>
          <w:rFonts w:ascii="Times New Roman" w:eastAsia="Times New Roman" w:hAnsi="Times New Roman" w:cs="Times New Roman"/>
          <w:sz w:val="24"/>
        </w:rPr>
        <w:t xml:space="preserve">Panchin AY, Khromov-Borisov NN, Dueva EV. Drug discovery today: no molecules required. BMJ Evid Based Med. 2019 Apr;24(2):48-52. </w:t>
      </w:r>
    </w:p>
    <w:p w:rsidR="005A3F38" w:rsidRDefault="003114B5">
      <w:pPr>
        <w:numPr>
          <w:ilvl w:val="0"/>
          <w:numId w:val="41"/>
        </w:numPr>
        <w:spacing w:after="11" w:line="356" w:lineRule="auto"/>
        <w:ind w:left="1413" w:right="11" w:hanging="1068"/>
      </w:pPr>
      <w:r>
        <w:rPr>
          <w:rFonts w:ascii="Times New Roman" w:eastAsia="Times New Roman" w:hAnsi="Times New Roman" w:cs="Times New Roman"/>
          <w:sz w:val="24"/>
        </w:rPr>
        <w:t>Lissiman E, Bhasale AL, Cohen M. Garlic for the common cold. Cochran</w:t>
      </w:r>
      <w:r>
        <w:rPr>
          <w:rFonts w:ascii="Times New Roman" w:eastAsia="Times New Roman" w:hAnsi="Times New Roman" w:cs="Times New Roman"/>
          <w:sz w:val="24"/>
        </w:rPr>
        <w:t xml:space="preserve">e Database Syst Rev 2014 Nov 11;(11):CD006206.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 xml:space="preserve">Linde K, Barrett B, Wölkart K, et al. Echinacea for preventing and treating the common cold. Cochrane Database Syst Rev 2014 Feb 20;(2):CD000530. </w:t>
      </w:r>
    </w:p>
    <w:p w:rsidR="005A3F38" w:rsidRDefault="003114B5">
      <w:pPr>
        <w:numPr>
          <w:ilvl w:val="0"/>
          <w:numId w:val="41"/>
        </w:numPr>
        <w:spacing w:after="4" w:line="362" w:lineRule="auto"/>
        <w:ind w:left="1413" w:right="11" w:hanging="1068"/>
      </w:pPr>
      <w:r>
        <w:rPr>
          <w:rFonts w:ascii="Times New Roman" w:eastAsia="Times New Roman" w:hAnsi="Times New Roman" w:cs="Times New Roman"/>
          <w:sz w:val="24"/>
        </w:rPr>
        <w:t>Jiang L., Deng L., Wu T. Chinese medicinal herbs for influenz</w:t>
      </w:r>
      <w:r>
        <w:rPr>
          <w:rFonts w:ascii="Times New Roman" w:eastAsia="Times New Roman" w:hAnsi="Times New Roman" w:cs="Times New Roman"/>
          <w:sz w:val="24"/>
        </w:rPr>
        <w:t xml:space="preserve">a. Cochrane Database Syst Rev. 2013 Mar 28;3:CD004559. doi: 10.1002/14651858.CD004559.pub4. </w:t>
      </w:r>
    </w:p>
    <w:p w:rsidR="005A3F38" w:rsidRDefault="003114B5">
      <w:pPr>
        <w:numPr>
          <w:ilvl w:val="0"/>
          <w:numId w:val="41"/>
        </w:numPr>
        <w:spacing w:after="7" w:line="358" w:lineRule="auto"/>
        <w:ind w:left="1413" w:right="11" w:hanging="1068"/>
      </w:pPr>
      <w:r>
        <w:rPr>
          <w:rFonts w:ascii="Times New Roman" w:eastAsia="Times New Roman" w:hAnsi="Times New Roman" w:cs="Times New Roman"/>
          <w:sz w:val="24"/>
        </w:rPr>
        <w:t>Steinsbekk A., Bentzen N., Fønnebø V., Lewith G. Self treatment with one of three self selected, ultramolecular homeopathic medicines for the prevention of upper r</w:t>
      </w:r>
      <w:r>
        <w:rPr>
          <w:rFonts w:ascii="Times New Roman" w:eastAsia="Times New Roman" w:hAnsi="Times New Roman" w:cs="Times New Roman"/>
          <w:sz w:val="24"/>
        </w:rPr>
        <w:t xml:space="preserve">espiratory tract infections in children. A double-blind randomized placebo controlled trial. Br J Clin Pharmacol. 2005 Apr;59(4):447-55. </w:t>
      </w:r>
    </w:p>
    <w:p w:rsidR="005A3F38" w:rsidRDefault="003114B5">
      <w:pPr>
        <w:numPr>
          <w:ilvl w:val="0"/>
          <w:numId w:val="41"/>
        </w:numPr>
        <w:spacing w:after="11" w:line="356" w:lineRule="auto"/>
        <w:ind w:left="1413" w:right="11" w:hanging="1068"/>
      </w:pPr>
      <w:r>
        <w:rPr>
          <w:rFonts w:ascii="Times New Roman" w:eastAsia="Times New Roman" w:hAnsi="Times New Roman" w:cs="Times New Roman"/>
          <w:sz w:val="24"/>
        </w:rPr>
        <w:t>Prietl B, Treiber G, Pieber TR, Amrein K. Vitamin D and immune function. Nutrients. 2013;5(7):2502-2521. Published 201</w:t>
      </w:r>
      <w:r>
        <w:rPr>
          <w:rFonts w:ascii="Times New Roman" w:eastAsia="Times New Roman" w:hAnsi="Times New Roman" w:cs="Times New Roman"/>
          <w:sz w:val="24"/>
        </w:rPr>
        <w:t xml:space="preserve">3 Jul 5. doi:10.3390/nu5072502 </w:t>
      </w:r>
    </w:p>
    <w:p w:rsidR="005A3F38" w:rsidRDefault="003114B5">
      <w:pPr>
        <w:numPr>
          <w:ilvl w:val="0"/>
          <w:numId w:val="41"/>
        </w:numPr>
        <w:spacing w:after="7" w:line="238" w:lineRule="auto"/>
        <w:ind w:left="1413" w:right="11" w:hanging="1068"/>
      </w:pPr>
      <w:r>
        <w:rPr>
          <w:rFonts w:ascii="Times New Roman" w:eastAsia="Times New Roman" w:hAnsi="Times New Roman" w:cs="Times New Roman"/>
          <w:sz w:val="24"/>
        </w:rPr>
        <w:t>Hidayat K, Zhang L, Wei H, Zhang W, Qin L, Ou Y, Li N. The effects of Lacticaseibacillus rhamnosus GG supplementation on gastrointestinal and respiratory outcomes: a systematic review and metaanalysis of randomized controlle</w:t>
      </w:r>
      <w:r>
        <w:rPr>
          <w:rFonts w:ascii="Times New Roman" w:eastAsia="Times New Roman" w:hAnsi="Times New Roman" w:cs="Times New Roman"/>
          <w:sz w:val="24"/>
        </w:rPr>
        <w:t xml:space="preserve">d trials. Food Funct. 2025;16(16):6275-6292.  </w:t>
      </w:r>
    </w:p>
    <w:p w:rsidR="005A3F38" w:rsidRDefault="003114B5">
      <w:pPr>
        <w:numPr>
          <w:ilvl w:val="0"/>
          <w:numId w:val="41"/>
        </w:numPr>
        <w:spacing w:after="0" w:line="249" w:lineRule="auto"/>
        <w:ind w:left="1413" w:right="11" w:hanging="1068"/>
      </w:pPr>
      <w:r>
        <w:rPr>
          <w:rFonts w:ascii="Times New Roman" w:eastAsia="Times New Roman" w:hAnsi="Times New Roman" w:cs="Times New Roman"/>
          <w:sz w:val="24"/>
        </w:rPr>
        <w:t xml:space="preserve">Zhao Y, Dong BR, Hao Q. Probiotics for preventing acute upper respiratory tract infections. Cochrane Database Syst Rev. 2022;8(8):CD006895.  </w:t>
      </w:r>
    </w:p>
    <w:p w:rsidR="005A3F38" w:rsidRDefault="003114B5">
      <w:pPr>
        <w:numPr>
          <w:ilvl w:val="0"/>
          <w:numId w:val="41"/>
        </w:numPr>
        <w:spacing w:after="0" w:line="249" w:lineRule="auto"/>
        <w:ind w:left="1413" w:right="11" w:hanging="1068"/>
      </w:pPr>
      <w:r>
        <w:rPr>
          <w:rFonts w:ascii="Times New Roman" w:eastAsia="Times New Roman" w:hAnsi="Times New Roman" w:cs="Times New Roman"/>
          <w:sz w:val="24"/>
        </w:rPr>
        <w:t xml:space="preserve">Ozen M, Kocabas Sandal G, Dinleyici EC. Probiotics for the prevention of pediatric upper respiratory tract infections: a systematic review. Expert Opin Biol Ther. 2015;15(1):9-20. </w:t>
      </w:r>
    </w:p>
    <w:p w:rsidR="005A3F38" w:rsidRDefault="003114B5">
      <w:pPr>
        <w:numPr>
          <w:ilvl w:val="0"/>
          <w:numId w:val="41"/>
        </w:numPr>
        <w:spacing w:after="7" w:line="238" w:lineRule="auto"/>
        <w:ind w:left="1413" w:right="11" w:hanging="1068"/>
      </w:pPr>
      <w:r>
        <w:rPr>
          <w:rFonts w:ascii="Times New Roman" w:eastAsia="Times New Roman" w:hAnsi="Times New Roman" w:cs="Times New Roman"/>
          <w:sz w:val="24"/>
        </w:rPr>
        <w:t>Liu S, Hu P, Du X, Zhou T, Pei X. Lactobacillus rhamnosus GG supplementatio</w:t>
      </w:r>
      <w:r>
        <w:rPr>
          <w:rFonts w:ascii="Times New Roman" w:eastAsia="Times New Roman" w:hAnsi="Times New Roman" w:cs="Times New Roman"/>
          <w:sz w:val="24"/>
        </w:rPr>
        <w:t xml:space="preserve">n for preventing respiratory infections in children: a meta-analysis of randomized, placebo-controlled trials. Indian Pediatr. 2013;50(4):377-81. </w:t>
      </w:r>
    </w:p>
    <w:p w:rsidR="005A3F38" w:rsidRDefault="003114B5">
      <w:pPr>
        <w:numPr>
          <w:ilvl w:val="0"/>
          <w:numId w:val="41"/>
        </w:numPr>
        <w:spacing w:after="11" w:line="249" w:lineRule="auto"/>
        <w:ind w:left="1413" w:right="11" w:hanging="1068"/>
      </w:pPr>
      <w:r>
        <w:rPr>
          <w:rFonts w:ascii="Times New Roman" w:eastAsia="Times New Roman" w:hAnsi="Times New Roman" w:cs="Times New Roman"/>
          <w:sz w:val="24"/>
        </w:rPr>
        <w:t>Amaral MA, Guedes GHBF, Epifanio M, Wagner MB, Jones MH, Mattiello R. Network meta-</w:t>
      </w:r>
    </w:p>
    <w:p w:rsidR="005A3F38" w:rsidRDefault="003114B5">
      <w:pPr>
        <w:spacing w:after="0" w:line="249" w:lineRule="auto"/>
        <w:ind w:left="355" w:right="11" w:hanging="10"/>
      </w:pPr>
      <w:r>
        <w:rPr>
          <w:rFonts w:ascii="Times New Roman" w:eastAsia="Times New Roman" w:hAnsi="Times New Roman" w:cs="Times New Roman"/>
          <w:sz w:val="24"/>
        </w:rPr>
        <w:t>analysis of probiotics to</w:t>
      </w:r>
      <w:r>
        <w:rPr>
          <w:rFonts w:ascii="Times New Roman" w:eastAsia="Times New Roman" w:hAnsi="Times New Roman" w:cs="Times New Roman"/>
          <w:sz w:val="24"/>
        </w:rPr>
        <w:t xml:space="preserve"> prevent respiratory infections in children and adolescents. Pediatr Pulmonol. 2017;52(6):833-843.  </w:t>
      </w:r>
    </w:p>
    <w:p w:rsidR="005A3F38" w:rsidRDefault="003114B5">
      <w:pPr>
        <w:numPr>
          <w:ilvl w:val="0"/>
          <w:numId w:val="41"/>
        </w:numPr>
        <w:spacing w:after="0" w:line="249" w:lineRule="auto"/>
        <w:ind w:left="1413" w:right="11" w:hanging="1068"/>
      </w:pPr>
      <w:r>
        <w:rPr>
          <w:rFonts w:ascii="Times New Roman" w:eastAsia="Times New Roman" w:hAnsi="Times New Roman" w:cs="Times New Roman"/>
          <w:sz w:val="24"/>
        </w:rPr>
        <w:t>Al-Akel FC, Chiperi LE, Eszter VK, Bacârea A. Streptococcus salivarius Role as a Probiotic in Children's Health and Disease Prophylaxis-A Systematic Review</w:t>
      </w:r>
      <w:r>
        <w:rPr>
          <w:rFonts w:ascii="Times New Roman" w:eastAsia="Times New Roman" w:hAnsi="Times New Roman" w:cs="Times New Roman"/>
          <w:sz w:val="24"/>
        </w:rPr>
        <w:t xml:space="preserve">. Life (Basel). 2024;14(12):1613. </w:t>
      </w:r>
    </w:p>
    <w:p w:rsidR="005A3F38" w:rsidRDefault="003114B5">
      <w:pPr>
        <w:numPr>
          <w:ilvl w:val="0"/>
          <w:numId w:val="41"/>
        </w:numPr>
        <w:spacing w:after="7" w:line="238" w:lineRule="auto"/>
        <w:ind w:left="1413" w:right="11" w:hanging="1068"/>
      </w:pPr>
      <w:r>
        <w:rPr>
          <w:rFonts w:ascii="Times New Roman" w:eastAsia="Times New Roman" w:hAnsi="Times New Roman" w:cs="Times New Roman"/>
          <w:sz w:val="24"/>
        </w:rPr>
        <w:t>Wilcox CR, Stuart B, Leaver H, Lown M, Willcox M, Moore M, Little P. Effectiveness of the probiotic Streptococcus salivarius K12 for the treatment and/or prevention of sore throat: a systematic review. Clin Microbiol Infe</w:t>
      </w:r>
      <w:r>
        <w:rPr>
          <w:rFonts w:ascii="Times New Roman" w:eastAsia="Times New Roman" w:hAnsi="Times New Roman" w:cs="Times New Roman"/>
          <w:sz w:val="24"/>
        </w:rPr>
        <w:t xml:space="preserve">ct. 2019;25(6):673-680. </w:t>
      </w:r>
    </w:p>
    <w:p w:rsidR="005A3F38" w:rsidRDefault="003114B5">
      <w:pPr>
        <w:numPr>
          <w:ilvl w:val="0"/>
          <w:numId w:val="41"/>
        </w:numPr>
        <w:spacing w:after="128" w:line="249" w:lineRule="auto"/>
        <w:ind w:left="1413" w:right="11" w:hanging="1068"/>
      </w:pPr>
      <w:r>
        <w:rPr>
          <w:rFonts w:ascii="Times New Roman" w:eastAsia="Times New Roman" w:hAnsi="Times New Roman" w:cs="Times New Roman"/>
          <w:sz w:val="24"/>
        </w:rPr>
        <w:t xml:space="preserve">Zupancic K, Kriksic V, Kovacevic I, Kovacevic D. Influence of Oral Probiotic S. salivarius K12 on </w:t>
      </w:r>
    </w:p>
    <w:p w:rsidR="005A3F38" w:rsidRDefault="003114B5">
      <w:pPr>
        <w:spacing w:after="128" w:line="249" w:lineRule="auto"/>
        <w:ind w:left="355" w:right="11" w:hanging="10"/>
      </w:pPr>
      <w:r>
        <w:rPr>
          <w:rFonts w:ascii="Times New Roman" w:eastAsia="Times New Roman" w:hAnsi="Times New Roman" w:cs="Times New Roman"/>
          <w:sz w:val="24"/>
        </w:rPr>
        <w:t>Ear and Oral Cavity Health in Humans: Systematic Review. Probiotics Antimicrob Proteins. 2017;9(2):102-</w:t>
      </w:r>
    </w:p>
    <w:p w:rsidR="005A3F38" w:rsidRDefault="003114B5">
      <w:pPr>
        <w:spacing w:after="128" w:line="249" w:lineRule="auto"/>
        <w:ind w:left="355" w:right="11" w:hanging="10"/>
      </w:pPr>
      <w:r>
        <w:rPr>
          <w:rFonts w:ascii="Times New Roman" w:eastAsia="Times New Roman" w:hAnsi="Times New Roman" w:cs="Times New Roman"/>
          <w:sz w:val="24"/>
        </w:rPr>
        <w:t xml:space="preserve">110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Стецюк О.У., Андреева И</w:t>
      </w:r>
      <w:r>
        <w:rPr>
          <w:rFonts w:ascii="Times New Roman" w:eastAsia="Times New Roman" w:hAnsi="Times New Roman" w:cs="Times New Roman"/>
          <w:sz w:val="24"/>
        </w:rPr>
        <w:t xml:space="preserve">.В. Современные представления об эффективности и практические подходы к применению пробиотиков в клинической практике: фокус на Lactobacillus rhamnosus GG и Bifidobacterium lactis Bb-12. Клиническая микробиология и антимикробная химиотерапия. 2019; </w:t>
      </w:r>
    </w:p>
    <w:p w:rsidR="005A3F38" w:rsidRDefault="003114B5">
      <w:pPr>
        <w:spacing w:after="128" w:line="249" w:lineRule="auto"/>
        <w:ind w:left="355" w:right="11" w:hanging="10"/>
      </w:pPr>
      <w:r>
        <w:rPr>
          <w:rFonts w:ascii="Times New Roman" w:eastAsia="Times New Roman" w:hAnsi="Times New Roman" w:cs="Times New Roman"/>
          <w:sz w:val="24"/>
        </w:rPr>
        <w:t>21(2):</w:t>
      </w:r>
      <w:r>
        <w:rPr>
          <w:rFonts w:ascii="Times New Roman" w:eastAsia="Times New Roman" w:hAnsi="Times New Roman" w:cs="Times New Roman"/>
          <w:sz w:val="24"/>
        </w:rPr>
        <w:t xml:space="preserve">100-18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 xml:space="preserve">Детские инфекционные болезни. Учебное пособие /И.О. Стома и др./ Гомель:ГомГМУ; 2021, 412с. </w:t>
      </w:r>
    </w:p>
    <w:p w:rsidR="005A3F38" w:rsidRDefault="003114B5">
      <w:pPr>
        <w:numPr>
          <w:ilvl w:val="0"/>
          <w:numId w:val="41"/>
        </w:numPr>
        <w:spacing w:after="5" w:line="364" w:lineRule="auto"/>
        <w:ind w:left="1413" w:right="11" w:hanging="1068"/>
      </w:pPr>
      <w:r>
        <w:rPr>
          <w:rFonts w:ascii="Times New Roman" w:eastAsia="Times New Roman" w:hAnsi="Times New Roman" w:cs="Times New Roman"/>
          <w:sz w:val="24"/>
        </w:rPr>
        <w:t xml:space="preserve">Оказание стационарной помощи детям: руководство по ведению наиболее распространенных болезней детского возраста. — 2-е изд. — </w:t>
      </w:r>
      <w:r>
        <w:rPr>
          <w:rFonts w:ascii="Times New Roman" w:eastAsia="Times New Roman" w:hAnsi="Times New Roman" w:cs="Times New Roman"/>
          <w:sz w:val="24"/>
        </w:rPr>
        <w:t xml:space="preserve">Всемирная организация здравоохранения; 2014. — Доступно по: https:// apps.who.int/iris/bitstream/handle/10665/81170/9789244548370_rus. pdf. Ссылка активна на 28.04.2025.. </w:t>
      </w:r>
    </w:p>
    <w:p w:rsidR="005A3F38" w:rsidRDefault="003114B5">
      <w:pPr>
        <w:numPr>
          <w:ilvl w:val="0"/>
          <w:numId w:val="41"/>
        </w:numPr>
        <w:spacing w:after="0" w:line="362" w:lineRule="auto"/>
        <w:ind w:left="1413" w:right="11" w:hanging="1068"/>
      </w:pPr>
      <w:r>
        <w:rPr>
          <w:rFonts w:ascii="Times New Roman" w:eastAsia="Times New Roman" w:hAnsi="Times New Roman" w:cs="Times New Roman"/>
          <w:sz w:val="24"/>
        </w:rPr>
        <w:t xml:space="preserve">Heneghan CJ, Onakpoya I, Jones MA, et al. Neuraminidase inhibitors for influenza: a </w:t>
      </w:r>
      <w:r>
        <w:rPr>
          <w:rFonts w:ascii="Times New Roman" w:eastAsia="Times New Roman" w:hAnsi="Times New Roman" w:cs="Times New Roman"/>
          <w:sz w:val="24"/>
        </w:rPr>
        <w:t>systematic review and meta-analysis of regulatory and mortality data. Health Technol Assess. 2016 May;20(42):1-</w:t>
      </w:r>
    </w:p>
    <w:p w:rsidR="005A3F38" w:rsidRDefault="003114B5">
      <w:pPr>
        <w:spacing w:after="152" w:line="249" w:lineRule="auto"/>
        <w:ind w:left="355" w:right="11" w:hanging="10"/>
      </w:pPr>
      <w:r>
        <w:rPr>
          <w:rFonts w:ascii="Times New Roman" w:eastAsia="Times New Roman" w:hAnsi="Times New Roman" w:cs="Times New Roman"/>
          <w:sz w:val="24"/>
        </w:rPr>
        <w:t xml:space="preserve">242. doi: 10.3310/hta20420. PMID: 27246259; PMCID: PMC4904189 </w:t>
      </w:r>
    </w:p>
    <w:p w:rsidR="005A3F38" w:rsidRDefault="003114B5">
      <w:pPr>
        <w:numPr>
          <w:ilvl w:val="0"/>
          <w:numId w:val="41"/>
        </w:numPr>
        <w:spacing w:after="21" w:line="364" w:lineRule="auto"/>
        <w:ind w:left="1413" w:right="11" w:hanging="1068"/>
      </w:pPr>
      <w:hyperlink r:id="rId173">
        <w:r>
          <w:rPr>
            <w:rFonts w:ascii="Times New Roman" w:eastAsia="Times New Roman" w:hAnsi="Times New Roman" w:cs="Times New Roman"/>
            <w:sz w:val="24"/>
            <w:u w:val="single" w:color="000000"/>
          </w:rPr>
          <w:t>https://grls.rosminzdrav.ru/Grls_View_v2.aspx?routingGuid=1be5f2f3</w:t>
        </w:r>
      </w:hyperlink>
      <w:hyperlink r:id="rId174">
        <w:r>
          <w:rPr>
            <w:rFonts w:ascii="Times New Roman" w:eastAsia="Times New Roman" w:hAnsi="Times New Roman" w:cs="Times New Roman"/>
            <w:sz w:val="24"/>
            <w:u w:val="single" w:color="000000"/>
          </w:rPr>
          <w:t>-</w:t>
        </w:r>
      </w:hyperlink>
      <w:hyperlink r:id="rId175">
        <w:r>
          <w:rPr>
            <w:rFonts w:ascii="Times New Roman" w:eastAsia="Times New Roman" w:hAnsi="Times New Roman" w:cs="Times New Roman"/>
            <w:sz w:val="24"/>
            <w:u w:val="single" w:color="000000"/>
          </w:rPr>
          <w:t>9629</w:t>
        </w:r>
      </w:hyperlink>
      <w:hyperlink r:id="rId176">
        <w:r>
          <w:rPr>
            <w:rFonts w:ascii="Times New Roman" w:eastAsia="Times New Roman" w:hAnsi="Times New Roman" w:cs="Times New Roman"/>
            <w:sz w:val="24"/>
            <w:u w:val="single" w:color="000000"/>
          </w:rPr>
          <w:t>-</w:t>
        </w:r>
      </w:hyperlink>
      <w:hyperlink r:id="rId177">
        <w:r>
          <w:rPr>
            <w:rFonts w:ascii="Times New Roman" w:eastAsia="Times New Roman" w:hAnsi="Times New Roman" w:cs="Times New Roman"/>
            <w:sz w:val="24"/>
            <w:u w:val="single" w:color="000000"/>
          </w:rPr>
          <w:t>4399</w:t>
        </w:r>
      </w:hyperlink>
      <w:hyperlink r:id="rId178">
        <w:r>
          <w:rPr>
            <w:rFonts w:ascii="Times New Roman" w:eastAsia="Times New Roman" w:hAnsi="Times New Roman" w:cs="Times New Roman"/>
            <w:sz w:val="24"/>
            <w:u w:val="single" w:color="000000"/>
          </w:rPr>
          <w:t>-</w:t>
        </w:r>
      </w:hyperlink>
      <w:hyperlink r:id="rId179">
        <w:r>
          <w:rPr>
            <w:rFonts w:ascii="Times New Roman" w:eastAsia="Times New Roman" w:hAnsi="Times New Roman" w:cs="Times New Roman"/>
            <w:sz w:val="24"/>
            <w:u w:val="single" w:color="000000"/>
          </w:rPr>
          <w:t>afb3</w:t>
        </w:r>
      </w:hyperlink>
      <w:hyperlink r:id="rId180"/>
      <w:hyperlink r:id="rId181">
        <w:r>
          <w:rPr>
            <w:rFonts w:ascii="Times New Roman" w:eastAsia="Times New Roman" w:hAnsi="Times New Roman" w:cs="Times New Roman"/>
            <w:sz w:val="24"/>
            <w:u w:val="single" w:color="000000"/>
          </w:rPr>
          <w:t>79567fc73f15&amp;t</w:t>
        </w:r>
      </w:hyperlink>
      <w:hyperlink r:id="rId182">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w:t>
      </w:r>
    </w:p>
    <w:p w:rsidR="005A3F38" w:rsidRDefault="003114B5">
      <w:pPr>
        <w:numPr>
          <w:ilvl w:val="0"/>
          <w:numId w:val="41"/>
        </w:numPr>
        <w:spacing w:after="21" w:line="364" w:lineRule="auto"/>
        <w:ind w:left="1413" w:right="11" w:hanging="1068"/>
      </w:pPr>
      <w:r>
        <w:rPr>
          <w:rFonts w:ascii="Times New Roman" w:eastAsia="Times New Roman" w:hAnsi="Times New Roman" w:cs="Times New Roman"/>
          <w:sz w:val="24"/>
        </w:rPr>
        <w:t>Thorlund K, Awad T, Boivin G,</w:t>
      </w:r>
      <w:r>
        <w:rPr>
          <w:rFonts w:ascii="Times New Roman" w:eastAsia="Times New Roman" w:hAnsi="Times New Roman" w:cs="Times New Roman"/>
          <w:sz w:val="24"/>
        </w:rPr>
        <w:t xml:space="preserve"> Thabane L. Systematic review of influenza resistance to the neuraminidase inhibitors. BMC Infect Dis. 2011 May 19;11:134. doi: 10.1186/1471-2334-11-134 </w:t>
      </w:r>
    </w:p>
    <w:p w:rsidR="005A3F38" w:rsidRDefault="003114B5">
      <w:pPr>
        <w:numPr>
          <w:ilvl w:val="0"/>
          <w:numId w:val="41"/>
        </w:numPr>
        <w:spacing w:after="21" w:line="364" w:lineRule="auto"/>
        <w:ind w:left="1413" w:right="11" w:hanging="1068"/>
      </w:pPr>
      <w:r>
        <w:rPr>
          <w:rFonts w:ascii="Times New Roman" w:eastAsia="Times New Roman" w:hAnsi="Times New Roman" w:cs="Times New Roman"/>
          <w:sz w:val="24"/>
        </w:rPr>
        <w:t xml:space="preserve">Beutler A. et al. Aspirin use in children for fever or viral syndromes //American family physician. – </w:t>
      </w:r>
      <w:r>
        <w:rPr>
          <w:rFonts w:ascii="Times New Roman" w:eastAsia="Times New Roman" w:hAnsi="Times New Roman" w:cs="Times New Roman"/>
          <w:sz w:val="24"/>
        </w:rPr>
        <w:t xml:space="preserve">2009. – Т. 80. – №. 12. – С. 1472 </w:t>
      </w:r>
    </w:p>
    <w:p w:rsidR="005A3F38" w:rsidRDefault="003114B5">
      <w:pPr>
        <w:numPr>
          <w:ilvl w:val="0"/>
          <w:numId w:val="41"/>
        </w:numPr>
        <w:spacing w:after="0" w:line="373" w:lineRule="auto"/>
        <w:ind w:left="1413" w:right="11" w:hanging="1068"/>
      </w:pPr>
      <w:r>
        <w:rPr>
          <w:rFonts w:ascii="Times New Roman" w:eastAsia="Times New Roman" w:hAnsi="Times New Roman" w:cs="Times New Roman"/>
          <w:sz w:val="24"/>
        </w:rPr>
        <w:t>The common cold in children: Management and prevention https://www.uptodate.com/contents/thecommon-cold-in-children-management-and-prevention (last updated: May 26, 2020) 277.</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Acute pharyngitis in children and adolescent</w:t>
      </w:r>
      <w:r>
        <w:rPr>
          <w:rFonts w:ascii="Times New Roman" w:eastAsia="Times New Roman" w:hAnsi="Times New Roman" w:cs="Times New Roman"/>
          <w:sz w:val="24"/>
        </w:rPr>
        <w:t xml:space="preserve">s: Symptomatic treatment </w:t>
      </w:r>
    </w:p>
    <w:p w:rsidR="005A3F38" w:rsidRDefault="003114B5">
      <w:pPr>
        <w:spacing w:after="27" w:line="358" w:lineRule="auto"/>
        <w:ind w:left="355" w:right="11" w:hanging="10"/>
      </w:pPr>
      <w:r>
        <w:rPr>
          <w:rFonts w:ascii="Times New Roman" w:eastAsia="Times New Roman" w:hAnsi="Times New Roman" w:cs="Times New Roman"/>
          <w:sz w:val="24"/>
        </w:rPr>
        <w:t xml:space="preserve">https://www.uptodate.com/contents/acute-pharyngitis-in-children-and-adolescents-symptomatictreatment?topicRef=16629&amp;source=see_link (last updated: Nov 15, 2019) </w:t>
      </w:r>
    </w:p>
    <w:p w:rsidR="005A3F38" w:rsidRDefault="003114B5">
      <w:pPr>
        <w:numPr>
          <w:ilvl w:val="1"/>
          <w:numId w:val="41"/>
        </w:numPr>
        <w:spacing w:after="128" w:line="249" w:lineRule="auto"/>
        <w:ind w:right="2" w:hanging="708"/>
      </w:pPr>
      <w:r>
        <w:rPr>
          <w:rFonts w:ascii="Times New Roman" w:eastAsia="Times New Roman" w:hAnsi="Times New Roman" w:cs="Times New Roman"/>
          <w:sz w:val="24"/>
        </w:rPr>
        <w:t>DeGeorge KC, Ring DJ, Dalrymple SN. Treatment of the Common Cold. Am</w:t>
      </w:r>
      <w:r>
        <w:rPr>
          <w:rFonts w:ascii="Times New Roman" w:eastAsia="Times New Roman" w:hAnsi="Times New Roman" w:cs="Times New Roman"/>
          <w:sz w:val="24"/>
        </w:rPr>
        <w:t xml:space="preserve"> Fam Physician. 2019 </w:t>
      </w:r>
    </w:p>
    <w:p w:rsidR="005A3F38" w:rsidRDefault="003114B5">
      <w:pPr>
        <w:spacing w:after="152" w:line="249" w:lineRule="auto"/>
        <w:ind w:left="355" w:right="11" w:hanging="10"/>
      </w:pPr>
      <w:r>
        <w:rPr>
          <w:rFonts w:ascii="Times New Roman" w:eastAsia="Times New Roman" w:hAnsi="Times New Roman" w:cs="Times New Roman"/>
          <w:sz w:val="24"/>
        </w:rPr>
        <w:t xml:space="preserve">Sep 1;100(5):281-289. PMID: 31478634 </w:t>
      </w:r>
    </w:p>
    <w:p w:rsidR="005A3F38" w:rsidRDefault="003114B5">
      <w:pPr>
        <w:numPr>
          <w:ilvl w:val="1"/>
          <w:numId w:val="41"/>
        </w:numPr>
        <w:spacing w:after="121"/>
        <w:ind w:right="2" w:hanging="708"/>
      </w:pPr>
      <w:r>
        <w:rPr>
          <w:rFonts w:ascii="Times New Roman" w:eastAsia="Times New Roman" w:hAnsi="Times New Roman" w:cs="Times New Roman"/>
          <w:sz w:val="24"/>
        </w:rPr>
        <w:t xml:space="preserve">Hemilä H, Chalker E. Vitamin C for preventing and treating the common cold. Cochrane Database </w:t>
      </w:r>
    </w:p>
    <w:p w:rsidR="005A3F38" w:rsidRDefault="003114B5">
      <w:pPr>
        <w:spacing w:after="128" w:line="249" w:lineRule="auto"/>
        <w:ind w:left="355" w:right="11" w:hanging="10"/>
      </w:pPr>
      <w:r>
        <w:rPr>
          <w:rFonts w:ascii="Times New Roman" w:eastAsia="Times New Roman" w:hAnsi="Times New Roman" w:cs="Times New Roman"/>
          <w:sz w:val="24"/>
        </w:rPr>
        <w:t xml:space="preserve">Syst Rev. 2013 Jan 31;2013(1):CD000980. doi: 10.1002/14651858 </w:t>
      </w:r>
    </w:p>
    <w:p w:rsidR="005A3F38" w:rsidRDefault="003114B5">
      <w:pPr>
        <w:numPr>
          <w:ilvl w:val="1"/>
          <w:numId w:val="41"/>
        </w:numPr>
        <w:spacing w:after="0" w:line="364" w:lineRule="auto"/>
        <w:ind w:right="2" w:hanging="708"/>
      </w:pPr>
      <w:r>
        <w:rPr>
          <w:rFonts w:ascii="Times New Roman" w:eastAsia="Times New Roman" w:hAnsi="Times New Roman" w:cs="Times New Roman"/>
          <w:sz w:val="24"/>
        </w:rPr>
        <w:t xml:space="preserve">Hemilä H, Chalker E. Vitamin C reduces the severity of common colds: a meta-analysis. BMC Public Health. 2023 Dec 11;23(1):2468. doi: 10.1186/s12889-023-17229-8. PMID: 38082300; PMCID: </w:t>
      </w:r>
    </w:p>
    <w:p w:rsidR="005A3F38" w:rsidRDefault="003114B5">
      <w:pPr>
        <w:spacing w:after="155" w:line="249" w:lineRule="auto"/>
        <w:ind w:left="355" w:right="11" w:hanging="10"/>
      </w:pPr>
      <w:r>
        <w:rPr>
          <w:rFonts w:ascii="Times New Roman" w:eastAsia="Times New Roman" w:hAnsi="Times New Roman" w:cs="Times New Roman"/>
          <w:sz w:val="24"/>
        </w:rPr>
        <w:t xml:space="preserve">PMC10712193. </w:t>
      </w:r>
    </w:p>
    <w:p w:rsidR="005A3F38" w:rsidRDefault="003114B5">
      <w:pPr>
        <w:numPr>
          <w:ilvl w:val="1"/>
          <w:numId w:val="41"/>
        </w:numPr>
        <w:spacing w:after="119"/>
        <w:ind w:right="2" w:hanging="708"/>
      </w:pPr>
      <w:r>
        <w:rPr>
          <w:rFonts w:ascii="Times New Roman" w:eastAsia="Times New Roman" w:hAnsi="Times New Roman" w:cs="Times New Roman"/>
          <w:sz w:val="24"/>
        </w:rPr>
        <w:t>Hemilä H, Chalker E. Vitamin C for the common cold and p</w:t>
      </w:r>
      <w:r>
        <w:rPr>
          <w:rFonts w:ascii="Times New Roman" w:eastAsia="Times New Roman" w:hAnsi="Times New Roman" w:cs="Times New Roman"/>
          <w:sz w:val="24"/>
        </w:rPr>
        <w:t xml:space="preserve">neumonia. Pol Arch Intern Med. 2025 </w:t>
      </w:r>
    </w:p>
    <w:p w:rsidR="005A3F38" w:rsidRDefault="003114B5">
      <w:pPr>
        <w:spacing w:after="155" w:line="249" w:lineRule="auto"/>
        <w:ind w:left="355" w:right="11" w:hanging="10"/>
      </w:pPr>
      <w:r>
        <w:rPr>
          <w:rFonts w:ascii="Times New Roman" w:eastAsia="Times New Roman" w:hAnsi="Times New Roman" w:cs="Times New Roman"/>
          <w:sz w:val="24"/>
        </w:rPr>
        <w:t xml:space="preserve">Jan 30;135(1):16926. doi: 10.20452/pamw.16926. Epub 2025 Jan 13. PMID: 39803741 </w:t>
      </w:r>
    </w:p>
    <w:p w:rsidR="005A3F38" w:rsidRDefault="003114B5">
      <w:pPr>
        <w:numPr>
          <w:ilvl w:val="1"/>
          <w:numId w:val="41"/>
        </w:numPr>
        <w:spacing w:after="128" w:line="249" w:lineRule="auto"/>
        <w:ind w:right="2" w:hanging="708"/>
      </w:pPr>
      <w:r>
        <w:rPr>
          <w:rFonts w:ascii="Times New Roman" w:eastAsia="Times New Roman" w:hAnsi="Times New Roman" w:cs="Times New Roman"/>
          <w:sz w:val="24"/>
        </w:rPr>
        <w:t xml:space="preserve">Ilechukwu G.C., Ilechukwu C.G., Ubesie A.C. et al. Otitis Media in Children: Review Article.  </w:t>
      </w:r>
    </w:p>
    <w:p w:rsidR="005A3F38" w:rsidRDefault="003114B5">
      <w:pPr>
        <w:spacing w:after="155" w:line="249" w:lineRule="auto"/>
        <w:ind w:left="355" w:right="11" w:hanging="10"/>
      </w:pPr>
      <w:r>
        <w:rPr>
          <w:rFonts w:ascii="Times New Roman" w:eastAsia="Times New Roman" w:hAnsi="Times New Roman" w:cs="Times New Roman"/>
          <w:sz w:val="24"/>
        </w:rPr>
        <w:t>Open Journal of Pediatrics. vol.4 No.1(2014</w:t>
      </w:r>
      <w:r>
        <w:rPr>
          <w:rFonts w:ascii="Times New Roman" w:eastAsia="Times New Roman" w:hAnsi="Times New Roman" w:cs="Times New Roman"/>
          <w:sz w:val="24"/>
        </w:rPr>
        <w:t xml:space="preserve">), Article ID:43759,7 pages </w:t>
      </w:r>
    </w:p>
    <w:p w:rsidR="005A3F38" w:rsidRDefault="003114B5">
      <w:pPr>
        <w:numPr>
          <w:ilvl w:val="1"/>
          <w:numId w:val="41"/>
        </w:numPr>
        <w:spacing w:after="20" w:line="366" w:lineRule="auto"/>
        <w:ind w:right="2" w:hanging="708"/>
      </w:pPr>
      <w:r>
        <w:rPr>
          <w:rFonts w:ascii="Times New Roman" w:eastAsia="Times New Roman" w:hAnsi="Times New Roman" w:cs="Times New Roman"/>
          <w:sz w:val="24"/>
        </w:rPr>
        <w:t>Харит С.М., Галустян А.Н. Азоксимера бромид – безопасный и эффективный препарат при лечении острых респираторных инфекций верхних дыхательных путей у детей: обзор результатов двойных слепых плацебо-контролируемых рандомизирован</w:t>
      </w:r>
      <w:r>
        <w:rPr>
          <w:rFonts w:ascii="Times New Roman" w:eastAsia="Times New Roman" w:hAnsi="Times New Roman" w:cs="Times New Roman"/>
          <w:sz w:val="24"/>
        </w:rPr>
        <w:t xml:space="preserve">ных клинических исследований II и III фазы. Педиатрия. Consilium Medicum. 2017;2:55-61. </w:t>
      </w:r>
    </w:p>
    <w:p w:rsidR="005A3F38" w:rsidRDefault="003114B5">
      <w:pPr>
        <w:numPr>
          <w:ilvl w:val="1"/>
          <w:numId w:val="41"/>
        </w:numPr>
        <w:spacing w:after="20" w:line="366" w:lineRule="auto"/>
        <w:ind w:right="2" w:hanging="708"/>
      </w:pPr>
      <w:r>
        <w:rPr>
          <w:rFonts w:ascii="Times New Roman" w:eastAsia="Times New Roman" w:hAnsi="Times New Roman" w:cs="Times New Roman"/>
          <w:sz w:val="24"/>
        </w:rPr>
        <w:t>Караулов А.В., Горелов А.В. Применение азоксимера бромида в терапии инфекционновоспалительных заболеваний органов дыхания у детей: мета-анализ контролируемых клиническ</w:t>
      </w:r>
      <w:r>
        <w:rPr>
          <w:rFonts w:ascii="Times New Roman" w:eastAsia="Times New Roman" w:hAnsi="Times New Roman" w:cs="Times New Roman"/>
          <w:sz w:val="24"/>
        </w:rPr>
        <w:t xml:space="preserve">их исследований. Журнал инфектологии. 2019;11(4):31-41. https://doi.org/10.22625/2072-6732-2019-114-31-41. </w:t>
      </w:r>
    </w:p>
    <w:p w:rsidR="005A3F38" w:rsidRDefault="003114B5">
      <w:pPr>
        <w:numPr>
          <w:ilvl w:val="1"/>
          <w:numId w:val="41"/>
        </w:numPr>
        <w:spacing w:after="20" w:line="366" w:lineRule="auto"/>
        <w:ind w:right="2" w:hanging="708"/>
      </w:pPr>
      <w:r>
        <w:rPr>
          <w:rFonts w:ascii="Times New Roman" w:eastAsia="Times New Roman" w:hAnsi="Times New Roman" w:cs="Times New Roman"/>
          <w:sz w:val="24"/>
        </w:rPr>
        <w:t>Вавилова В.П., Вавилов А.М., Царькова С.А. Возможности современной неспецифической профилактики новой коронавирусной инфекции и острых респираторных</w:t>
      </w:r>
      <w:r>
        <w:rPr>
          <w:rFonts w:ascii="Times New Roman" w:eastAsia="Times New Roman" w:hAnsi="Times New Roman" w:cs="Times New Roman"/>
          <w:sz w:val="24"/>
        </w:rPr>
        <w:t xml:space="preserve"> инфекций другой этиологии. Педиатрия. Consilium Medicum. 2022;3:213–222. DOI: 10.26442/26586630.2022.3.201800 286.</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А.В.Горелов, О.М.Драпкина, Ю.В.Лобзин, О.В.Калюжин, М.Л.Максимов, А.Г.Малявин, В.А.Петров, О.Ю.Трушина, Е.В.Эсауленко. Заключение по итогам</w:t>
      </w:r>
      <w:r>
        <w:rPr>
          <w:rFonts w:ascii="Times New Roman" w:eastAsia="Times New Roman" w:hAnsi="Times New Roman" w:cs="Times New Roman"/>
          <w:sz w:val="24"/>
        </w:rPr>
        <w:t xml:space="preserve"> экспертного совета по новым подходам в лечении и профилактики ОРВИ и гриппа в Российской Федерации. Инфекционные болезни, 2025, т. 23, №3, с. 134–142 </w:t>
      </w:r>
    </w:p>
    <w:p w:rsidR="005A3F38" w:rsidRDefault="003114B5">
      <w:pPr>
        <w:numPr>
          <w:ilvl w:val="0"/>
          <w:numId w:val="42"/>
        </w:numPr>
        <w:spacing w:after="5" w:line="364" w:lineRule="auto"/>
        <w:ind w:hanging="10"/>
      </w:pPr>
      <w:r>
        <w:rPr>
          <w:rFonts w:ascii="Times New Roman" w:eastAsia="Times New Roman" w:hAnsi="Times New Roman" w:cs="Times New Roman"/>
          <w:sz w:val="24"/>
        </w:rPr>
        <w:t>Шульдяков  А.А., Ляпина  Е.П., Кузнецов  В.И., Зрячкин  Н.И., Ситников  И.Г., Перминова  О.А. и  др. Нов</w:t>
      </w:r>
      <w:r>
        <w:rPr>
          <w:rFonts w:ascii="Times New Roman" w:eastAsia="Times New Roman" w:hAnsi="Times New Roman" w:cs="Times New Roman"/>
          <w:sz w:val="24"/>
        </w:rPr>
        <w:t xml:space="preserve">ые возможности терапии острых респираторных вирусных инфекций у детей. </w:t>
      </w:r>
    </w:p>
    <w:p w:rsidR="005A3F38" w:rsidRDefault="003114B5">
      <w:pPr>
        <w:spacing w:after="144"/>
        <w:ind w:left="355" w:right="2" w:hanging="10"/>
        <w:jc w:val="both"/>
      </w:pPr>
      <w:r>
        <w:rPr>
          <w:rFonts w:ascii="Times New Roman" w:eastAsia="Times New Roman" w:hAnsi="Times New Roman" w:cs="Times New Roman"/>
          <w:sz w:val="24"/>
        </w:rPr>
        <w:t xml:space="preserve">Вопросы практической педиатрии 2015; 10(5): 21–28 </w:t>
      </w:r>
    </w:p>
    <w:p w:rsidR="005A3F38" w:rsidRDefault="003114B5">
      <w:pPr>
        <w:numPr>
          <w:ilvl w:val="0"/>
          <w:numId w:val="42"/>
        </w:numPr>
        <w:spacing w:after="20" w:line="366" w:lineRule="auto"/>
        <w:ind w:hanging="10"/>
      </w:pPr>
      <w:r>
        <w:rPr>
          <w:rFonts w:ascii="Times New Roman" w:eastAsia="Times New Roman" w:hAnsi="Times New Roman" w:cs="Times New Roman"/>
          <w:sz w:val="24"/>
        </w:rPr>
        <w:t>Геппе Н.А., Малахов А.Б., Кондюрина Е.Г. Обоснование выбора противовирусной терапии ОРВИ в педиатрии (мета-</w:t>
      </w:r>
      <w:r>
        <w:rPr>
          <w:rFonts w:ascii="Times New Roman" w:eastAsia="Times New Roman" w:hAnsi="Times New Roman" w:cs="Times New Roman"/>
          <w:sz w:val="24"/>
        </w:rPr>
        <w:t xml:space="preserve">анализ клинических исследований эффективности имидазолилэтанамида пентандиовой кислоты у детей разных возрастных групп). Вопросы практической педиатрии. 2020; </w:t>
      </w:r>
    </w:p>
    <w:p w:rsidR="005A3F38" w:rsidRDefault="003114B5">
      <w:pPr>
        <w:spacing w:after="152" w:line="249" w:lineRule="auto"/>
        <w:ind w:left="355" w:right="11" w:hanging="10"/>
      </w:pPr>
      <w:r>
        <w:rPr>
          <w:rFonts w:ascii="Times New Roman" w:eastAsia="Times New Roman" w:hAnsi="Times New Roman" w:cs="Times New Roman"/>
          <w:sz w:val="24"/>
        </w:rPr>
        <w:t xml:space="preserve">15(3): 106–114. DOI: 10.20953/1817-7646-2020-3-106-114 </w:t>
      </w:r>
    </w:p>
    <w:p w:rsidR="005A3F38" w:rsidRDefault="003114B5">
      <w:pPr>
        <w:numPr>
          <w:ilvl w:val="0"/>
          <w:numId w:val="42"/>
        </w:numPr>
        <w:spacing w:after="20" w:line="366" w:lineRule="auto"/>
        <w:ind w:hanging="10"/>
      </w:pPr>
      <w:r>
        <w:rPr>
          <w:rFonts w:ascii="Times New Roman" w:eastAsia="Times New Roman" w:hAnsi="Times New Roman" w:cs="Times New Roman"/>
          <w:sz w:val="24"/>
        </w:rPr>
        <w:t>Ашахер Т., Крохин А., Кузнецова И., Ленг</w:t>
      </w:r>
      <w:r>
        <w:rPr>
          <w:rFonts w:ascii="Times New Roman" w:eastAsia="Times New Roman" w:hAnsi="Times New Roman" w:cs="Times New Roman"/>
          <w:sz w:val="24"/>
        </w:rPr>
        <w:t>л Й., Небольсин В., Егоров А., Бергманн М.. Влияние препарата Ингавирин (имидазолилэтанамида пентандиовой кислоты) на интерфероновый статус клеток в условиях вирусной инфекции. Эпидемиология и инфекционные болезни. 2016; 21(4): 196-205. DOI: 10.18821/1560-</w:t>
      </w:r>
      <w:r>
        <w:rPr>
          <w:rFonts w:ascii="Times New Roman" w:eastAsia="Times New Roman" w:hAnsi="Times New Roman" w:cs="Times New Roman"/>
          <w:sz w:val="24"/>
        </w:rPr>
        <w:t xml:space="preserve">9529-2016-21-4-196-205. </w:t>
      </w:r>
    </w:p>
    <w:p w:rsidR="005A3F38" w:rsidRDefault="003114B5">
      <w:pPr>
        <w:numPr>
          <w:ilvl w:val="0"/>
          <w:numId w:val="42"/>
        </w:numPr>
        <w:spacing w:after="5" w:line="364" w:lineRule="auto"/>
        <w:ind w:hanging="10"/>
      </w:pPr>
      <w:r>
        <w:rPr>
          <w:rFonts w:ascii="Times New Roman" w:eastAsia="Times New Roman" w:hAnsi="Times New Roman" w:cs="Times New Roman"/>
          <w:sz w:val="24"/>
        </w:rPr>
        <w:t xml:space="preserve">Чудакова Т.К. Инозин пранобекс в терапии острых респираторных вирусных инфекций у детей. Педиатрия (Прил. к журн. Consilium Medicum). 2017; 2: 24–27. </w:t>
      </w:r>
    </w:p>
    <w:p w:rsidR="005A3F38" w:rsidRDefault="003114B5">
      <w:pPr>
        <w:numPr>
          <w:ilvl w:val="0"/>
          <w:numId w:val="42"/>
        </w:numPr>
        <w:spacing w:after="20" w:line="366" w:lineRule="auto"/>
        <w:ind w:hanging="10"/>
      </w:pPr>
      <w:r>
        <w:rPr>
          <w:rFonts w:ascii="Times New Roman" w:eastAsia="Times New Roman" w:hAnsi="Times New Roman" w:cs="Times New Roman"/>
          <w:sz w:val="24"/>
        </w:rPr>
        <w:t>Дронов И.А., Геппе Н.А., Малахов А.Б., Колосова Н.Г. Инозин пранобекс: возможнос</w:t>
      </w:r>
      <w:r>
        <w:rPr>
          <w:rFonts w:ascii="Times New Roman" w:eastAsia="Times New Roman" w:hAnsi="Times New Roman" w:cs="Times New Roman"/>
          <w:sz w:val="24"/>
        </w:rPr>
        <w:t xml:space="preserve">ти этиотропной терапии при острой респираторной инфекции у детей. Вопросы практической педиатрии. 2016; 11(4): 39–43. doi: 10.20953/1817-7646-2016-4-39-43. </w:t>
      </w:r>
    </w:p>
    <w:p w:rsidR="005A3F38" w:rsidRDefault="003114B5">
      <w:pPr>
        <w:numPr>
          <w:ilvl w:val="0"/>
          <w:numId w:val="42"/>
        </w:numPr>
        <w:spacing w:after="20" w:line="366" w:lineRule="auto"/>
        <w:ind w:hanging="10"/>
      </w:pPr>
      <w:r>
        <w:rPr>
          <w:rFonts w:ascii="Times New Roman" w:eastAsia="Times New Roman" w:hAnsi="Times New Roman" w:cs="Times New Roman"/>
          <w:sz w:val="24"/>
        </w:rPr>
        <w:t>Елисеева М.Ю., Царев В.Н., Масихи К.Н., Осидак Л.В., Баринский И.Ф., Царева Т.В., Мынбаев О.А. Эффе</w:t>
      </w:r>
      <w:r>
        <w:rPr>
          <w:rFonts w:ascii="Times New Roman" w:eastAsia="Times New Roman" w:hAnsi="Times New Roman" w:cs="Times New Roman"/>
          <w:sz w:val="24"/>
        </w:rPr>
        <w:t xml:space="preserve">ктивность вспомогательной иммунотерапии у пациентов с иммунодефицитом и часто болеющих детей: систематический обзор и метаанализ применения Инозина пранобекс. РМЖ. </w:t>
      </w:r>
    </w:p>
    <w:p w:rsidR="005A3F38" w:rsidRDefault="003114B5">
      <w:pPr>
        <w:spacing w:after="155" w:line="249" w:lineRule="auto"/>
        <w:ind w:left="355" w:right="11" w:hanging="10"/>
      </w:pPr>
      <w:r>
        <w:rPr>
          <w:rFonts w:ascii="Times New Roman" w:eastAsia="Times New Roman" w:hAnsi="Times New Roman" w:cs="Times New Roman"/>
          <w:sz w:val="24"/>
        </w:rPr>
        <w:t xml:space="preserve">2010;5:313. </w:t>
      </w:r>
    </w:p>
    <w:p w:rsidR="005A3F38" w:rsidRDefault="003114B5">
      <w:pPr>
        <w:numPr>
          <w:ilvl w:val="0"/>
          <w:numId w:val="42"/>
        </w:numPr>
        <w:spacing w:after="20" w:line="366" w:lineRule="auto"/>
        <w:ind w:hanging="10"/>
      </w:pPr>
      <w:r>
        <w:rPr>
          <w:rFonts w:ascii="Times New Roman" w:eastAsia="Times New Roman" w:hAnsi="Times New Roman" w:cs="Times New Roman"/>
          <w:sz w:val="24"/>
        </w:rPr>
        <w:t>Gołebiowska-Wawrzyniak M, Markiewicz K, Kozar A, Derentowicz P, Czerwińska-Kar</w:t>
      </w:r>
      <w:r>
        <w:rPr>
          <w:rFonts w:ascii="Times New Roman" w:eastAsia="Times New Roman" w:hAnsi="Times New Roman" w:cs="Times New Roman"/>
          <w:sz w:val="24"/>
        </w:rPr>
        <w:t>towicz I, Jastrzebska-Janas K, Wacławek J, Wawrzyniak ZM, Siwińska-Gołebiowska H. Immunologiczne i kliniczne badania nad przydatnościa terapeutyczna inozyny pranobeks [Immunological and clinical study on therapeutic efficacy of inosine pranobex]. Pol Merku</w:t>
      </w:r>
      <w:r>
        <w:rPr>
          <w:rFonts w:ascii="Times New Roman" w:eastAsia="Times New Roman" w:hAnsi="Times New Roman" w:cs="Times New Roman"/>
          <w:sz w:val="24"/>
        </w:rPr>
        <w:t>r Lekarski. 2005 Sep;19(111):379-82 294.</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Осидак В., Зарубаев В.В., Образцова Е.В., Эрман Е.С., Дриневский В.П. Изопринозин в терапии ОРВИ у часто болеющих детей. Детские инфекции. 2008; 4:35-41 </w:t>
      </w:r>
    </w:p>
    <w:p w:rsidR="005A3F38" w:rsidRDefault="003114B5">
      <w:pPr>
        <w:numPr>
          <w:ilvl w:val="0"/>
          <w:numId w:val="43"/>
        </w:numPr>
        <w:spacing w:after="20" w:line="366" w:lineRule="auto"/>
        <w:ind w:hanging="768"/>
      </w:pPr>
      <w:r>
        <w:rPr>
          <w:rFonts w:ascii="Times New Roman" w:eastAsia="Times New Roman" w:hAnsi="Times New Roman" w:cs="Times New Roman"/>
          <w:sz w:val="24"/>
        </w:rPr>
        <w:t>Руженцова Т.А., Мешкова Н.А., Хавкина Д.А. Влияние терапии к</w:t>
      </w:r>
      <w:r>
        <w:rPr>
          <w:rFonts w:ascii="Times New Roman" w:eastAsia="Times New Roman" w:hAnsi="Times New Roman" w:cs="Times New Roman"/>
          <w:sz w:val="24"/>
        </w:rPr>
        <w:t xml:space="preserve">омбинированным препаратом интерферона альфа-2b с витаминами Е и С на течение ОРВИ и гриппа в детском возрасте: результаты мета-анализа. Инфекционные болезни. 2020; 18(2): 68–78. doi: 10.20953/17299225-2020-2-68-78 </w:t>
      </w:r>
    </w:p>
    <w:p w:rsidR="005A3F38" w:rsidRDefault="003114B5">
      <w:pPr>
        <w:numPr>
          <w:ilvl w:val="0"/>
          <w:numId w:val="43"/>
        </w:numPr>
        <w:spacing w:after="119"/>
        <w:ind w:hanging="768"/>
      </w:pPr>
      <w:r>
        <w:rPr>
          <w:rFonts w:ascii="Times New Roman" w:eastAsia="Times New Roman" w:hAnsi="Times New Roman" w:cs="Times New Roman"/>
          <w:sz w:val="24"/>
        </w:rPr>
        <w:t>Горелов А.В., Омарова Х.Г., Беликова Е.Э.</w:t>
      </w:r>
      <w:r>
        <w:rPr>
          <w:rFonts w:ascii="Times New Roman" w:eastAsia="Times New Roman" w:hAnsi="Times New Roman" w:cs="Times New Roman"/>
          <w:sz w:val="24"/>
        </w:rPr>
        <w:t xml:space="preserve">, Еремина О.Л., Домбаян С.Х., Зайцева Н.С., </w:t>
      </w:r>
    </w:p>
    <w:p w:rsidR="005A3F38" w:rsidRDefault="003114B5">
      <w:pPr>
        <w:spacing w:after="115"/>
        <w:ind w:left="355" w:right="2" w:hanging="10"/>
        <w:jc w:val="both"/>
      </w:pPr>
      <w:r>
        <w:rPr>
          <w:rFonts w:ascii="Times New Roman" w:eastAsia="Times New Roman" w:hAnsi="Times New Roman" w:cs="Times New Roman"/>
          <w:sz w:val="24"/>
        </w:rPr>
        <w:t xml:space="preserve">Золотова Т.В., Котлова В.Б., Манченкова И.И., Тхакушинова Н.Х., Лукашевич М.Г., Незабудкина </w:t>
      </w:r>
    </w:p>
    <w:p w:rsidR="005A3F38" w:rsidRDefault="003114B5">
      <w:pPr>
        <w:spacing w:after="112"/>
        <w:ind w:left="355" w:right="2" w:hanging="10"/>
        <w:jc w:val="both"/>
      </w:pPr>
      <w:r>
        <w:rPr>
          <w:rFonts w:ascii="Times New Roman" w:eastAsia="Times New Roman" w:hAnsi="Times New Roman" w:cs="Times New Roman"/>
          <w:sz w:val="24"/>
        </w:rPr>
        <w:t xml:space="preserve">А.С., Панова И.В., Парфенова И.В., Петухова М.В., Плоскирева А.А., Погорелова О.О., Разуваев </w:t>
      </w:r>
    </w:p>
    <w:p w:rsidR="005A3F38" w:rsidRDefault="003114B5">
      <w:pPr>
        <w:spacing w:after="20" w:line="366" w:lineRule="auto"/>
        <w:ind w:left="355" w:hanging="10"/>
      </w:pPr>
      <w:r>
        <w:rPr>
          <w:rFonts w:ascii="Times New Roman" w:eastAsia="Times New Roman" w:hAnsi="Times New Roman" w:cs="Times New Roman"/>
          <w:sz w:val="24"/>
        </w:rPr>
        <w:t>О.А., Сорокина Т.А., Толстой О.В., Чемякина О.В., Шатурина Т.Т., Яковлева Л.В., Ханило Т.В. Итоги открытого многоцентрового неинтервенционного наблюдательного проспективного исследования влияния на качество жизни препарата Кипферон®, применяемого у детей 0</w:t>
      </w:r>
      <w:r>
        <w:rPr>
          <w:rFonts w:ascii="Times New Roman" w:eastAsia="Times New Roman" w:hAnsi="Times New Roman" w:cs="Times New Roman"/>
          <w:sz w:val="24"/>
        </w:rPr>
        <w:t xml:space="preserve">–7 лет с острыми респираторными вирусными инфекциями (ОРВИ) в условиях рутинной амбулаторнополиклинической практики Вопросы практической педиатрии. 2024; 19(1): 64–74. DOI: </w:t>
      </w:r>
    </w:p>
    <w:p w:rsidR="005A3F38" w:rsidRDefault="003114B5">
      <w:pPr>
        <w:spacing w:after="152" w:line="249" w:lineRule="auto"/>
        <w:ind w:left="355" w:right="11" w:hanging="10"/>
      </w:pPr>
      <w:r>
        <w:rPr>
          <w:rFonts w:ascii="Times New Roman" w:eastAsia="Times New Roman" w:hAnsi="Times New Roman" w:cs="Times New Roman"/>
          <w:sz w:val="24"/>
        </w:rPr>
        <w:t xml:space="preserve">10.20953/1817-7646-2024-1-64-74 </w:t>
      </w:r>
    </w:p>
    <w:p w:rsidR="005A3F38" w:rsidRDefault="003114B5">
      <w:pPr>
        <w:numPr>
          <w:ilvl w:val="0"/>
          <w:numId w:val="43"/>
        </w:numPr>
        <w:spacing w:after="20" w:line="366" w:lineRule="auto"/>
        <w:ind w:hanging="768"/>
      </w:pPr>
      <w:r>
        <w:rPr>
          <w:rFonts w:ascii="Times New Roman" w:eastAsia="Times New Roman" w:hAnsi="Times New Roman" w:cs="Times New Roman"/>
          <w:sz w:val="24"/>
        </w:rPr>
        <w:t>Мизерницкий Ю.Л., Доровская Н.Л., Мельникова И.М.</w:t>
      </w:r>
      <w:r>
        <w:rPr>
          <w:rFonts w:ascii="Times New Roman" w:eastAsia="Times New Roman" w:hAnsi="Times New Roman" w:cs="Times New Roman"/>
          <w:sz w:val="24"/>
        </w:rPr>
        <w:t xml:space="preserve"> Терапевтическая эффективность индуктора интерферона в лечении и профилактике острых респираторных вирусных инфекций в детском возрасте. Педиатрия. Consilium Medicum. 2023;3:164–172. doi: </w:t>
      </w:r>
    </w:p>
    <w:p w:rsidR="005A3F38" w:rsidRDefault="003114B5">
      <w:pPr>
        <w:spacing w:after="155" w:line="249" w:lineRule="auto"/>
        <w:ind w:left="355" w:right="11" w:hanging="10"/>
      </w:pPr>
      <w:r>
        <w:rPr>
          <w:rFonts w:ascii="Times New Roman" w:eastAsia="Times New Roman" w:hAnsi="Times New Roman" w:cs="Times New Roman"/>
          <w:sz w:val="24"/>
        </w:rPr>
        <w:t xml:space="preserve">10.26442/26586630.2023.3.202388 </w:t>
      </w:r>
    </w:p>
    <w:p w:rsidR="005A3F38" w:rsidRDefault="003114B5">
      <w:pPr>
        <w:numPr>
          <w:ilvl w:val="0"/>
          <w:numId w:val="43"/>
        </w:numPr>
        <w:spacing w:after="20" w:line="366" w:lineRule="auto"/>
        <w:ind w:hanging="768"/>
      </w:pPr>
      <w:r>
        <w:rPr>
          <w:rFonts w:ascii="Times New Roman" w:eastAsia="Times New Roman" w:hAnsi="Times New Roman" w:cs="Times New Roman"/>
          <w:sz w:val="24"/>
        </w:rPr>
        <w:t>Кагоцел в педиатрии. К вопросу о р</w:t>
      </w:r>
      <w:r>
        <w:rPr>
          <w:rFonts w:ascii="Times New Roman" w:eastAsia="Times New Roman" w:hAnsi="Times New Roman" w:cs="Times New Roman"/>
          <w:sz w:val="24"/>
        </w:rPr>
        <w:t xml:space="preserve">епродуктивной безопасности: Сборник статей и материалов / Под общ. ред. чл.-корр. РАН Т.А. Гуськовой. - Москва: ООО Издат. "Медицинское информационное агентство", 2018.- 112 с. </w:t>
      </w:r>
    </w:p>
    <w:p w:rsidR="005A3F38" w:rsidRDefault="003114B5">
      <w:pPr>
        <w:numPr>
          <w:ilvl w:val="0"/>
          <w:numId w:val="43"/>
        </w:numPr>
        <w:spacing w:after="121"/>
        <w:ind w:hanging="768"/>
      </w:pPr>
      <w:r>
        <w:rPr>
          <w:rFonts w:ascii="Times New Roman" w:eastAsia="Times New Roman" w:hAnsi="Times New Roman" w:cs="Times New Roman"/>
          <w:sz w:val="24"/>
        </w:rPr>
        <w:t>Савенкова М. С., Савенков М. П., Абрамова Н. А., Красева Г. Н., Сенягина Н. Е.</w:t>
      </w:r>
      <w:r>
        <w:rPr>
          <w:rFonts w:ascii="Times New Roman" w:eastAsia="Times New Roman" w:hAnsi="Times New Roman" w:cs="Times New Roman"/>
          <w:sz w:val="24"/>
        </w:rPr>
        <w:t xml:space="preserve">, Поздеева О. </w:t>
      </w:r>
    </w:p>
    <w:p w:rsidR="005A3F38" w:rsidRDefault="003114B5">
      <w:pPr>
        <w:spacing w:after="108" w:line="364" w:lineRule="auto"/>
        <w:ind w:left="355" w:right="2" w:hanging="10"/>
        <w:jc w:val="both"/>
      </w:pPr>
      <w:r>
        <w:rPr>
          <w:rFonts w:ascii="Times New Roman" w:eastAsia="Times New Roman" w:hAnsi="Times New Roman" w:cs="Times New Roman"/>
          <w:sz w:val="24"/>
        </w:rPr>
        <w:t>С., Иванова Н. Л., Зинатова К. Р., Мигачева Н. Б., Борисова О. В., Файзуллина Р. М., Валеева Ж. А., Ветрова Е. Н., Латышев О. Е., Душкин Р. В., Чаликова Е. К., Душкин К. Р. Сравнительная оценка эффективности и безопасности индуктора интерфер</w:t>
      </w:r>
      <w:r>
        <w:rPr>
          <w:rFonts w:ascii="Times New Roman" w:eastAsia="Times New Roman" w:hAnsi="Times New Roman" w:cs="Times New Roman"/>
          <w:sz w:val="24"/>
        </w:rPr>
        <w:t>она в комплексной терапии ОРВИ у детей 3-18 лет в амбулаторно-поликлинической практике в период подъема респираторных заболеваний 2023-</w:t>
      </w:r>
    </w:p>
    <w:p w:rsidR="005A3F38" w:rsidRDefault="003114B5">
      <w:pPr>
        <w:spacing w:after="121"/>
        <w:ind w:left="355" w:right="2" w:hanging="10"/>
        <w:jc w:val="both"/>
      </w:pPr>
      <w:r>
        <w:rPr>
          <w:rFonts w:ascii="Times New Roman" w:eastAsia="Times New Roman" w:hAnsi="Times New Roman" w:cs="Times New Roman"/>
          <w:sz w:val="24"/>
        </w:rPr>
        <w:t xml:space="preserve">2024 гг. Лечащий Врач. 2024; 12 (27): 65-75 </w:t>
      </w:r>
    </w:p>
    <w:p w:rsidR="005A3F38" w:rsidRDefault="003114B5">
      <w:pPr>
        <w:numPr>
          <w:ilvl w:val="0"/>
          <w:numId w:val="44"/>
        </w:numPr>
        <w:spacing w:after="5" w:line="364" w:lineRule="auto"/>
        <w:ind w:right="2" w:hanging="10"/>
        <w:jc w:val="both"/>
      </w:pPr>
      <w:r>
        <w:rPr>
          <w:rFonts w:ascii="Times New Roman" w:eastAsia="Times New Roman" w:hAnsi="Times New Roman" w:cs="Times New Roman"/>
          <w:sz w:val="24"/>
        </w:rPr>
        <w:t>Терешин В.А., Соцкая Я.А., Круглова О.В. Эффективность циклоферона при лече</w:t>
      </w:r>
      <w:r>
        <w:rPr>
          <w:rFonts w:ascii="Times New Roman" w:eastAsia="Times New Roman" w:hAnsi="Times New Roman" w:cs="Times New Roman"/>
          <w:sz w:val="24"/>
        </w:rPr>
        <w:t xml:space="preserve">нии и профилактике гриппа и ОРВИ у детей и подростков. Российский вестник перинатологии и педиатрии. 2014;59(2):103-109 </w:t>
      </w:r>
    </w:p>
    <w:p w:rsidR="005A3F38" w:rsidRDefault="003114B5">
      <w:pPr>
        <w:numPr>
          <w:ilvl w:val="0"/>
          <w:numId w:val="44"/>
        </w:numPr>
        <w:spacing w:after="5" w:line="364" w:lineRule="auto"/>
        <w:ind w:right="2" w:hanging="10"/>
        <w:jc w:val="both"/>
      </w:pPr>
      <w:r>
        <w:rPr>
          <w:rFonts w:ascii="Times New Roman" w:eastAsia="Times New Roman" w:hAnsi="Times New Roman" w:cs="Times New Roman"/>
          <w:sz w:val="24"/>
        </w:rPr>
        <w:t>Харитонова Л.А., Исрафилова О.Е. Опыт применения циклоферона в комплексной терапии рекуррентных инфекций респираторного тракта у детей.</w:t>
      </w:r>
      <w:r>
        <w:rPr>
          <w:rFonts w:ascii="Times New Roman" w:eastAsia="Times New Roman" w:hAnsi="Times New Roman" w:cs="Times New Roman"/>
          <w:sz w:val="24"/>
        </w:rPr>
        <w:t xml:space="preserve"> Российский вестник перинатологии и педиатрии. 2018; 63:(3): 98–104. doi: 10.21508/1027–4065–2018–63–3–98–104 </w:t>
      </w:r>
    </w:p>
    <w:p w:rsidR="005A3F38" w:rsidRDefault="003114B5">
      <w:pPr>
        <w:numPr>
          <w:ilvl w:val="0"/>
          <w:numId w:val="44"/>
        </w:numPr>
        <w:spacing w:after="5" w:line="364" w:lineRule="auto"/>
        <w:ind w:right="2" w:hanging="10"/>
        <w:jc w:val="both"/>
      </w:pPr>
      <w:r>
        <w:rPr>
          <w:rFonts w:ascii="Times New Roman" w:eastAsia="Times New Roman" w:hAnsi="Times New Roman" w:cs="Times New Roman"/>
          <w:sz w:val="24"/>
        </w:rPr>
        <w:t>Вахитов Х.М., Пикуза О.И., Вахитова Л.Ф., Закирова А.М., Ризванова Ф.Ф. Индукторы интерферона в профилактике и лечении респираторных инфекций у д</w:t>
      </w:r>
      <w:r>
        <w:rPr>
          <w:rFonts w:ascii="Times New Roman" w:eastAsia="Times New Roman" w:hAnsi="Times New Roman" w:cs="Times New Roman"/>
          <w:sz w:val="24"/>
        </w:rPr>
        <w:t xml:space="preserve">етей. Российский вестник перинатологии и педиатрии. 2019;64(3):103-108. </w:t>
      </w:r>
      <w:hyperlink r:id="rId183">
        <w:r>
          <w:rPr>
            <w:rFonts w:ascii="Times New Roman" w:eastAsia="Times New Roman" w:hAnsi="Times New Roman" w:cs="Times New Roman"/>
            <w:color w:val="0000FF"/>
            <w:sz w:val="24"/>
            <w:u w:val="single" w:color="0000FF"/>
          </w:rPr>
          <w:t>https://doi.org/10.21508/1027</w:t>
        </w:r>
      </w:hyperlink>
      <w:hyperlink r:id="rId184">
        <w:r>
          <w:rPr>
            <w:rFonts w:ascii="Times New Roman" w:eastAsia="Times New Roman" w:hAnsi="Times New Roman" w:cs="Times New Roman"/>
            <w:color w:val="0000FF"/>
            <w:sz w:val="24"/>
            <w:u w:val="single" w:color="0000FF"/>
          </w:rPr>
          <w:t>-</w:t>
        </w:r>
      </w:hyperlink>
      <w:hyperlink r:id="rId185">
        <w:r>
          <w:rPr>
            <w:rFonts w:ascii="Times New Roman" w:eastAsia="Times New Roman" w:hAnsi="Times New Roman" w:cs="Times New Roman"/>
            <w:color w:val="0000FF"/>
            <w:sz w:val="24"/>
            <w:u w:val="single" w:color="0000FF"/>
          </w:rPr>
          <w:t>4065</w:t>
        </w:r>
      </w:hyperlink>
      <w:hyperlink r:id="rId186">
        <w:r>
          <w:rPr>
            <w:rFonts w:ascii="Times New Roman" w:eastAsia="Times New Roman" w:hAnsi="Times New Roman" w:cs="Times New Roman"/>
            <w:color w:val="0000FF"/>
            <w:sz w:val="24"/>
            <w:u w:val="single" w:color="0000FF"/>
          </w:rPr>
          <w:t>-</w:t>
        </w:r>
      </w:hyperlink>
      <w:hyperlink r:id="rId187">
        <w:r>
          <w:rPr>
            <w:rFonts w:ascii="Times New Roman" w:eastAsia="Times New Roman" w:hAnsi="Times New Roman" w:cs="Times New Roman"/>
            <w:color w:val="0000FF"/>
            <w:sz w:val="24"/>
            <w:u w:val="single" w:color="0000FF"/>
          </w:rPr>
          <w:t>2019</w:t>
        </w:r>
      </w:hyperlink>
      <w:hyperlink r:id="rId188">
        <w:r>
          <w:rPr>
            <w:rFonts w:ascii="Times New Roman" w:eastAsia="Times New Roman" w:hAnsi="Times New Roman" w:cs="Times New Roman"/>
            <w:color w:val="0000FF"/>
            <w:sz w:val="24"/>
            <w:u w:val="single" w:color="0000FF"/>
          </w:rPr>
          <w:t>-</w:t>
        </w:r>
      </w:hyperlink>
      <w:hyperlink r:id="rId189">
        <w:r>
          <w:rPr>
            <w:rFonts w:ascii="Times New Roman" w:eastAsia="Times New Roman" w:hAnsi="Times New Roman" w:cs="Times New Roman"/>
            <w:color w:val="0000FF"/>
            <w:sz w:val="24"/>
            <w:u w:val="single" w:color="0000FF"/>
          </w:rPr>
          <w:t>64</w:t>
        </w:r>
      </w:hyperlink>
      <w:hyperlink r:id="rId190">
        <w:r>
          <w:rPr>
            <w:rFonts w:ascii="Times New Roman" w:eastAsia="Times New Roman" w:hAnsi="Times New Roman" w:cs="Times New Roman"/>
            <w:color w:val="0000FF"/>
            <w:sz w:val="24"/>
            <w:u w:val="single" w:color="0000FF"/>
          </w:rPr>
          <w:t>-</w:t>
        </w:r>
      </w:hyperlink>
      <w:hyperlink r:id="rId191">
        <w:r>
          <w:rPr>
            <w:rFonts w:ascii="Times New Roman" w:eastAsia="Times New Roman" w:hAnsi="Times New Roman" w:cs="Times New Roman"/>
            <w:color w:val="0000FF"/>
            <w:sz w:val="24"/>
            <w:u w:val="single" w:color="0000FF"/>
          </w:rPr>
          <w:t>3</w:t>
        </w:r>
      </w:hyperlink>
      <w:hyperlink r:id="rId192">
        <w:r>
          <w:rPr>
            <w:rFonts w:ascii="Times New Roman" w:eastAsia="Times New Roman" w:hAnsi="Times New Roman" w:cs="Times New Roman"/>
            <w:color w:val="0000FF"/>
            <w:sz w:val="24"/>
            <w:u w:val="single" w:color="0000FF"/>
          </w:rPr>
          <w:t>-</w:t>
        </w:r>
      </w:hyperlink>
      <w:hyperlink r:id="rId193">
        <w:r>
          <w:rPr>
            <w:rFonts w:ascii="Times New Roman" w:eastAsia="Times New Roman" w:hAnsi="Times New Roman" w:cs="Times New Roman"/>
            <w:color w:val="0000FF"/>
            <w:sz w:val="24"/>
            <w:u w:val="single" w:color="0000FF"/>
          </w:rPr>
          <w:t>103</w:t>
        </w:r>
      </w:hyperlink>
      <w:hyperlink r:id="rId194"/>
      <w:hyperlink r:id="rId195">
        <w:r>
          <w:rPr>
            <w:rFonts w:ascii="Times New Roman" w:eastAsia="Times New Roman" w:hAnsi="Times New Roman" w:cs="Times New Roman"/>
            <w:color w:val="0000FF"/>
            <w:sz w:val="24"/>
            <w:u w:val="single" w:color="0000FF"/>
          </w:rPr>
          <w:t>108</w:t>
        </w:r>
      </w:hyperlink>
      <w:hyperlink r:id="rId196">
        <w:r>
          <w:rPr>
            <w:rFonts w:ascii="Times New Roman" w:eastAsia="Times New Roman" w:hAnsi="Times New Roman" w:cs="Times New Roman"/>
            <w:sz w:val="24"/>
          </w:rPr>
          <w:t xml:space="preserve"> </w:t>
        </w:r>
      </w:hyperlink>
    </w:p>
    <w:p w:rsidR="005A3F38" w:rsidRDefault="003114B5">
      <w:pPr>
        <w:numPr>
          <w:ilvl w:val="0"/>
          <w:numId w:val="44"/>
        </w:numPr>
        <w:spacing w:after="5" w:line="364" w:lineRule="auto"/>
        <w:ind w:right="2" w:hanging="10"/>
        <w:jc w:val="both"/>
      </w:pPr>
      <w:r>
        <w:rPr>
          <w:rFonts w:ascii="Times New Roman" w:eastAsia="Times New Roman" w:hAnsi="Times New Roman" w:cs="Times New Roman"/>
          <w:sz w:val="24"/>
        </w:rPr>
        <w:t>Николаева С.В., Усенко Д.В., Хлыповка Ю.Н., Шабалина С.В., Горелов А.В. Респираторные инфекции сочетанной этиологии в клинической практике педиатра</w:t>
      </w:r>
      <w:r>
        <w:rPr>
          <w:rFonts w:ascii="Times New Roman" w:eastAsia="Times New Roman" w:hAnsi="Times New Roman" w:cs="Times New Roman"/>
          <w:sz w:val="24"/>
        </w:rPr>
        <w:t>. Медицинский совет. 2021;(1):78–</w:t>
      </w:r>
    </w:p>
    <w:p w:rsidR="005A3F38" w:rsidRDefault="003114B5">
      <w:pPr>
        <w:spacing w:after="128" w:line="249" w:lineRule="auto"/>
        <w:ind w:left="355" w:right="11" w:hanging="10"/>
      </w:pPr>
      <w:r>
        <w:rPr>
          <w:rFonts w:ascii="Times New Roman" w:eastAsia="Times New Roman" w:hAnsi="Times New Roman" w:cs="Times New Roman"/>
          <w:sz w:val="24"/>
        </w:rPr>
        <w:t xml:space="preserve">82. doi: 10.21518/2079-701X-2021-1-78-82 </w:t>
      </w:r>
    </w:p>
    <w:p w:rsidR="005A3F38" w:rsidRDefault="003114B5">
      <w:pPr>
        <w:spacing w:after="2" w:line="356" w:lineRule="auto"/>
        <w:ind w:left="355" w:right="11" w:hanging="10"/>
      </w:pPr>
      <w:r>
        <w:rPr>
          <w:rFonts w:ascii="Times New Roman" w:eastAsia="Times New Roman" w:hAnsi="Times New Roman" w:cs="Times New Roman"/>
          <w:sz w:val="24"/>
        </w:rPr>
        <w:t>304.</w:t>
      </w:r>
      <w:r>
        <w:rPr>
          <w:rFonts w:ascii="Arial" w:eastAsia="Arial" w:hAnsi="Arial" w:cs="Arial"/>
          <w:sz w:val="24"/>
        </w:rPr>
        <w:t xml:space="preserve"> </w:t>
      </w:r>
      <w:r>
        <w:rPr>
          <w:rFonts w:ascii="Times New Roman" w:eastAsia="Times New Roman" w:hAnsi="Times New Roman" w:cs="Times New Roman"/>
          <w:sz w:val="24"/>
        </w:rPr>
        <w:t>Plotnikova M. A. et al. Meglumine acridone acetate, the ionic salt of CMA and N-</w:t>
      </w:r>
      <w:r>
        <w:rPr>
          <w:rFonts w:ascii="Times New Roman" w:eastAsia="Times New Roman" w:hAnsi="Times New Roman" w:cs="Times New Roman"/>
          <w:sz w:val="24"/>
        </w:rPr>
        <w:t xml:space="preserve">methylglucamine, induces apoptosis in human PBMCs via the mitochondrial pathway //Scientific Reports. – 2019. – Т. 9. – №. </w:t>
      </w:r>
    </w:p>
    <w:p w:rsidR="005A3F38" w:rsidRDefault="003114B5">
      <w:pPr>
        <w:spacing w:after="142"/>
        <w:ind w:left="355" w:right="2" w:hanging="10"/>
        <w:jc w:val="both"/>
      </w:pPr>
      <w:r>
        <w:rPr>
          <w:rFonts w:ascii="Times New Roman" w:eastAsia="Times New Roman" w:hAnsi="Times New Roman" w:cs="Times New Roman"/>
          <w:sz w:val="24"/>
        </w:rPr>
        <w:t xml:space="preserve">1. – С. 18240. </w:t>
      </w:r>
    </w:p>
    <w:p w:rsidR="005A3F38" w:rsidRDefault="003114B5">
      <w:pPr>
        <w:numPr>
          <w:ilvl w:val="0"/>
          <w:numId w:val="45"/>
        </w:numPr>
        <w:spacing w:after="20" w:line="366" w:lineRule="auto"/>
        <w:ind w:right="2" w:hanging="10"/>
        <w:jc w:val="both"/>
      </w:pPr>
      <w:r>
        <w:rPr>
          <w:rFonts w:ascii="Times New Roman" w:eastAsia="Times New Roman" w:hAnsi="Times New Roman" w:cs="Times New Roman"/>
          <w:sz w:val="24"/>
        </w:rPr>
        <w:t>Мазина Н.К., Шешунов И.В., Мазин П.В. Адъювантная энергопротекция реамберином в практике интенсивной терапии и реани</w:t>
      </w:r>
      <w:r>
        <w:rPr>
          <w:rFonts w:ascii="Times New Roman" w:eastAsia="Times New Roman" w:hAnsi="Times New Roman" w:cs="Times New Roman"/>
          <w:sz w:val="24"/>
        </w:rPr>
        <w:t xml:space="preserve">мации: эффективность по данным мета-анализа (систематический обзор). Анестезиология и реаниматология. 2016; 61(4), С. 314−319. </w:t>
      </w:r>
    </w:p>
    <w:p w:rsidR="005A3F38" w:rsidRDefault="003114B5">
      <w:pPr>
        <w:numPr>
          <w:ilvl w:val="0"/>
          <w:numId w:val="45"/>
        </w:numPr>
        <w:spacing w:after="5" w:line="364" w:lineRule="auto"/>
        <w:ind w:right="2" w:hanging="10"/>
        <w:jc w:val="both"/>
      </w:pPr>
      <w:r>
        <w:rPr>
          <w:rFonts w:ascii="Times New Roman" w:eastAsia="Times New Roman" w:hAnsi="Times New Roman" w:cs="Times New Roman"/>
          <w:sz w:val="24"/>
        </w:rPr>
        <w:t xml:space="preserve">Сабитов А.У., Ковтун О.П., Эсауленко Е.В., Сорокин П.В. Новый подход к этиотропной терапии ОРВИ у детей. Терапевтический архив. </w:t>
      </w:r>
      <w:r>
        <w:rPr>
          <w:rFonts w:ascii="Times New Roman" w:eastAsia="Times New Roman" w:hAnsi="Times New Roman" w:cs="Times New Roman"/>
          <w:sz w:val="24"/>
        </w:rPr>
        <w:t xml:space="preserve">2022;94(11): 1278-1284 . DOI: </w:t>
      </w:r>
    </w:p>
    <w:p w:rsidR="005A3F38" w:rsidRDefault="003114B5">
      <w:pPr>
        <w:spacing w:after="128" w:line="249" w:lineRule="auto"/>
        <w:ind w:left="355" w:right="11" w:hanging="10"/>
      </w:pPr>
      <w:r>
        <w:rPr>
          <w:rFonts w:ascii="Times New Roman" w:eastAsia="Times New Roman" w:hAnsi="Times New Roman" w:cs="Times New Roman"/>
          <w:sz w:val="24"/>
        </w:rPr>
        <w:t xml:space="preserve">10.26442/00403660.2022.11.201979 </w:t>
      </w:r>
    </w:p>
    <w:p w:rsidR="005A3F38" w:rsidRDefault="003114B5">
      <w:pPr>
        <w:numPr>
          <w:ilvl w:val="0"/>
          <w:numId w:val="45"/>
        </w:numPr>
        <w:spacing w:after="5" w:line="364" w:lineRule="auto"/>
        <w:ind w:right="2" w:hanging="10"/>
        <w:jc w:val="both"/>
      </w:pPr>
      <w:r>
        <w:rPr>
          <w:rFonts w:ascii="Times New Roman" w:eastAsia="Times New Roman" w:hAnsi="Times New Roman" w:cs="Times New Roman"/>
          <w:sz w:val="24"/>
        </w:rPr>
        <w:t>Жданов К. В., Лобзин Ю.В., Сабитов А.У., Эсауленко Е.В., Сорокин П.В.  Перспективы расширения возможностей этиотропной терапии ОРВИ у детей младшего школьного возраста. Антибиотики и химиотер</w:t>
      </w:r>
      <w:r>
        <w:rPr>
          <w:rFonts w:ascii="Times New Roman" w:eastAsia="Times New Roman" w:hAnsi="Times New Roman" w:cs="Times New Roman"/>
          <w:sz w:val="24"/>
        </w:rPr>
        <w:t xml:space="preserve">. 2025; 70 (1–2): 29–36. DOI: 10.37489/0235-2990-2025-70-1-2-29-36 </w:t>
      </w:r>
    </w:p>
    <w:p w:rsidR="005A3F38" w:rsidRDefault="003114B5">
      <w:pPr>
        <w:numPr>
          <w:ilvl w:val="0"/>
          <w:numId w:val="45"/>
        </w:numPr>
        <w:spacing w:after="5" w:line="364" w:lineRule="auto"/>
        <w:ind w:right="2" w:hanging="10"/>
        <w:jc w:val="both"/>
      </w:pPr>
      <w:r>
        <w:rPr>
          <w:rFonts w:ascii="Times New Roman" w:eastAsia="Times New Roman" w:hAnsi="Times New Roman" w:cs="Times New Roman"/>
          <w:sz w:val="24"/>
        </w:rPr>
        <w:t xml:space="preserve">Горелов А.В., Жданов К.В., Лобзин Ю.В., Сабитов А.У., Лиознов Д.А., Эсауленко Е.В., Сорокин П.В. Метаанализ рандомизированных клинических исследований эффективности препарата Риамиловир в </w:t>
      </w:r>
      <w:r>
        <w:rPr>
          <w:rFonts w:ascii="Times New Roman" w:eastAsia="Times New Roman" w:hAnsi="Times New Roman" w:cs="Times New Roman"/>
          <w:sz w:val="24"/>
        </w:rPr>
        <w:t xml:space="preserve">этиотропной терапии ОРВИ у детей школьного возраста. Инфекционные болезни. 2025; 23(1): 73–84. DOI: 10.20953/1729-9225-2025-1-73-84 </w:t>
      </w:r>
    </w:p>
    <w:p w:rsidR="005A3F38" w:rsidRDefault="003114B5">
      <w:pPr>
        <w:numPr>
          <w:ilvl w:val="0"/>
          <w:numId w:val="45"/>
        </w:numPr>
        <w:spacing w:after="5" w:line="364" w:lineRule="auto"/>
        <w:ind w:right="2" w:hanging="10"/>
        <w:jc w:val="both"/>
      </w:pPr>
      <w:r>
        <w:rPr>
          <w:rFonts w:ascii="Times New Roman" w:eastAsia="Times New Roman" w:hAnsi="Times New Roman" w:cs="Times New Roman"/>
          <w:sz w:val="24"/>
        </w:rPr>
        <w:t>Учайкин В.Ф., Чешик С.Г., Балаболкин И.И. Терапевтическая эффективность и безопасность амиксина при гриппе и других респира</w:t>
      </w:r>
      <w:r>
        <w:rPr>
          <w:rFonts w:ascii="Times New Roman" w:eastAsia="Times New Roman" w:hAnsi="Times New Roman" w:cs="Times New Roman"/>
          <w:sz w:val="24"/>
        </w:rPr>
        <w:t>торных вирусных инфекциях у детей. РМЖ. 2001; №19: с. 803 310.</w:t>
      </w:r>
      <w:r>
        <w:rPr>
          <w:rFonts w:ascii="Arial" w:eastAsia="Arial" w:hAnsi="Arial" w:cs="Arial"/>
          <w:sz w:val="24"/>
        </w:rPr>
        <w:t xml:space="preserve"> </w:t>
      </w:r>
      <w:r>
        <w:rPr>
          <w:rFonts w:ascii="Times New Roman" w:eastAsia="Times New Roman" w:hAnsi="Times New Roman" w:cs="Times New Roman"/>
          <w:sz w:val="24"/>
        </w:rPr>
        <w:t xml:space="preserve">Кладова О.В., Молочкова О.В., Вальтц Н.Л., Компаниец Ю.В., Гришкевич Н.Л. Значение индукторов интерферона в лечении и профилактике респираторных инфекций. Детские инфекции. </w:t>
      </w:r>
    </w:p>
    <w:p w:rsidR="005A3F38" w:rsidRDefault="003114B5">
      <w:pPr>
        <w:spacing w:after="141"/>
        <w:ind w:left="355" w:hanging="10"/>
      </w:pPr>
      <w:r>
        <w:rPr>
          <w:rFonts w:ascii="Times New Roman" w:eastAsia="Times New Roman" w:hAnsi="Times New Roman" w:cs="Times New Roman"/>
          <w:sz w:val="24"/>
        </w:rPr>
        <w:t xml:space="preserve">2016;15(4):48-53. </w:t>
      </w:r>
      <w:hyperlink r:id="rId197">
        <w:r>
          <w:rPr>
            <w:rFonts w:ascii="Times New Roman" w:eastAsia="Times New Roman" w:hAnsi="Times New Roman" w:cs="Times New Roman"/>
            <w:color w:val="0000FF"/>
            <w:sz w:val="24"/>
            <w:u w:val="single" w:color="0000FF"/>
          </w:rPr>
          <w:t>https://doi.org/10.22627/2072</w:t>
        </w:r>
      </w:hyperlink>
      <w:hyperlink r:id="rId198">
        <w:r>
          <w:rPr>
            <w:rFonts w:ascii="Times New Roman" w:eastAsia="Times New Roman" w:hAnsi="Times New Roman" w:cs="Times New Roman"/>
            <w:color w:val="0000FF"/>
            <w:sz w:val="24"/>
            <w:u w:val="single" w:color="0000FF"/>
          </w:rPr>
          <w:t>-</w:t>
        </w:r>
      </w:hyperlink>
      <w:hyperlink r:id="rId199">
        <w:r>
          <w:rPr>
            <w:rFonts w:ascii="Times New Roman" w:eastAsia="Times New Roman" w:hAnsi="Times New Roman" w:cs="Times New Roman"/>
            <w:color w:val="0000FF"/>
            <w:sz w:val="24"/>
            <w:u w:val="single" w:color="0000FF"/>
          </w:rPr>
          <w:t>8107</w:t>
        </w:r>
      </w:hyperlink>
      <w:hyperlink r:id="rId200">
        <w:r>
          <w:rPr>
            <w:rFonts w:ascii="Times New Roman" w:eastAsia="Times New Roman" w:hAnsi="Times New Roman" w:cs="Times New Roman"/>
            <w:color w:val="0000FF"/>
            <w:sz w:val="24"/>
            <w:u w:val="single" w:color="0000FF"/>
          </w:rPr>
          <w:t>-</w:t>
        </w:r>
      </w:hyperlink>
      <w:hyperlink r:id="rId201">
        <w:r>
          <w:rPr>
            <w:rFonts w:ascii="Times New Roman" w:eastAsia="Times New Roman" w:hAnsi="Times New Roman" w:cs="Times New Roman"/>
            <w:color w:val="0000FF"/>
            <w:sz w:val="24"/>
            <w:u w:val="single" w:color="0000FF"/>
          </w:rPr>
          <w:t>2016</w:t>
        </w:r>
      </w:hyperlink>
      <w:hyperlink r:id="rId202">
        <w:r>
          <w:rPr>
            <w:rFonts w:ascii="Times New Roman" w:eastAsia="Times New Roman" w:hAnsi="Times New Roman" w:cs="Times New Roman"/>
            <w:color w:val="0000FF"/>
            <w:sz w:val="24"/>
            <w:u w:val="single" w:color="0000FF"/>
          </w:rPr>
          <w:t>-</w:t>
        </w:r>
      </w:hyperlink>
      <w:hyperlink r:id="rId203">
        <w:r>
          <w:rPr>
            <w:rFonts w:ascii="Times New Roman" w:eastAsia="Times New Roman" w:hAnsi="Times New Roman" w:cs="Times New Roman"/>
            <w:color w:val="0000FF"/>
            <w:sz w:val="24"/>
            <w:u w:val="single" w:color="0000FF"/>
          </w:rPr>
          <w:t>15</w:t>
        </w:r>
      </w:hyperlink>
      <w:hyperlink r:id="rId204">
        <w:r>
          <w:rPr>
            <w:rFonts w:ascii="Times New Roman" w:eastAsia="Times New Roman" w:hAnsi="Times New Roman" w:cs="Times New Roman"/>
            <w:color w:val="0000FF"/>
            <w:sz w:val="24"/>
            <w:u w:val="single" w:color="0000FF"/>
          </w:rPr>
          <w:t>-</w:t>
        </w:r>
      </w:hyperlink>
      <w:hyperlink r:id="rId205">
        <w:r>
          <w:rPr>
            <w:rFonts w:ascii="Times New Roman" w:eastAsia="Times New Roman" w:hAnsi="Times New Roman" w:cs="Times New Roman"/>
            <w:color w:val="0000FF"/>
            <w:sz w:val="24"/>
            <w:u w:val="single" w:color="0000FF"/>
          </w:rPr>
          <w:t>4</w:t>
        </w:r>
      </w:hyperlink>
      <w:hyperlink r:id="rId206">
        <w:r>
          <w:rPr>
            <w:rFonts w:ascii="Times New Roman" w:eastAsia="Times New Roman" w:hAnsi="Times New Roman" w:cs="Times New Roman"/>
            <w:color w:val="0000FF"/>
            <w:sz w:val="24"/>
            <w:u w:val="single" w:color="0000FF"/>
          </w:rPr>
          <w:t>-</w:t>
        </w:r>
      </w:hyperlink>
      <w:hyperlink r:id="rId207">
        <w:r>
          <w:rPr>
            <w:rFonts w:ascii="Times New Roman" w:eastAsia="Times New Roman" w:hAnsi="Times New Roman" w:cs="Times New Roman"/>
            <w:color w:val="0000FF"/>
            <w:sz w:val="24"/>
            <w:u w:val="single" w:color="0000FF"/>
          </w:rPr>
          <w:t>48</w:t>
        </w:r>
      </w:hyperlink>
      <w:hyperlink r:id="rId208">
        <w:r>
          <w:rPr>
            <w:rFonts w:ascii="Times New Roman" w:eastAsia="Times New Roman" w:hAnsi="Times New Roman" w:cs="Times New Roman"/>
            <w:color w:val="0000FF"/>
            <w:sz w:val="24"/>
            <w:u w:val="single" w:color="0000FF"/>
          </w:rPr>
          <w:t>-</w:t>
        </w:r>
      </w:hyperlink>
      <w:hyperlink r:id="rId209">
        <w:r>
          <w:rPr>
            <w:rFonts w:ascii="Times New Roman" w:eastAsia="Times New Roman" w:hAnsi="Times New Roman" w:cs="Times New Roman"/>
            <w:color w:val="0000FF"/>
            <w:sz w:val="24"/>
            <w:u w:val="single" w:color="0000FF"/>
          </w:rPr>
          <w:t>53</w:t>
        </w:r>
      </w:hyperlink>
      <w:hyperlink r:id="rId210">
        <w:r>
          <w:rPr>
            <w:rFonts w:ascii="Times New Roman" w:eastAsia="Times New Roman" w:hAnsi="Times New Roman" w:cs="Times New Roman"/>
            <w:sz w:val="24"/>
          </w:rPr>
          <w:t xml:space="preserve"> </w:t>
        </w:r>
      </w:hyperlink>
    </w:p>
    <w:p w:rsidR="005A3F38" w:rsidRDefault="003114B5">
      <w:pPr>
        <w:numPr>
          <w:ilvl w:val="0"/>
          <w:numId w:val="46"/>
        </w:numPr>
        <w:spacing w:after="20" w:line="366" w:lineRule="auto"/>
        <w:ind w:right="2" w:hanging="10"/>
        <w:jc w:val="both"/>
      </w:pPr>
      <w:r>
        <w:rPr>
          <w:rFonts w:ascii="Times New Roman" w:eastAsia="Times New Roman" w:hAnsi="Times New Roman" w:cs="Times New Roman"/>
          <w:sz w:val="24"/>
        </w:rPr>
        <w:t xml:space="preserve">Мартынова Г.П., Богвилене Я.А., Соловьева И.А., Кутищева И.А., Картель Т.А., Хохлова И.Ю. Возможности оптимизации терапии гриппа и других острых респираторных вирусных инфекций в практике </w:t>
      </w:r>
      <w:r>
        <w:rPr>
          <w:rFonts w:ascii="Times New Roman" w:eastAsia="Times New Roman" w:hAnsi="Times New Roman" w:cs="Times New Roman"/>
          <w:sz w:val="24"/>
        </w:rPr>
        <w:tab/>
        <w:t xml:space="preserve">педиатра. </w:t>
      </w:r>
      <w:r>
        <w:rPr>
          <w:rFonts w:ascii="Times New Roman" w:eastAsia="Times New Roman" w:hAnsi="Times New Roman" w:cs="Times New Roman"/>
          <w:sz w:val="24"/>
        </w:rPr>
        <w:tab/>
        <w:t xml:space="preserve">Педиатрическая </w:t>
      </w:r>
      <w:r>
        <w:rPr>
          <w:rFonts w:ascii="Times New Roman" w:eastAsia="Times New Roman" w:hAnsi="Times New Roman" w:cs="Times New Roman"/>
          <w:sz w:val="24"/>
        </w:rPr>
        <w:tab/>
        <w:t xml:space="preserve">фармакология. </w:t>
      </w:r>
      <w:r>
        <w:rPr>
          <w:rFonts w:ascii="Times New Roman" w:eastAsia="Times New Roman" w:hAnsi="Times New Roman" w:cs="Times New Roman"/>
          <w:sz w:val="24"/>
        </w:rPr>
        <w:tab/>
        <w:t>2012;9(2):110-115.</w:t>
      </w:r>
      <w:r>
        <w:rPr>
          <w:rFonts w:ascii="Times New Roman" w:eastAsia="Times New Roman" w:hAnsi="Times New Roman" w:cs="Times New Roman"/>
          <w:sz w:val="24"/>
        </w:rPr>
        <w:t xml:space="preserve"> </w:t>
      </w:r>
      <w:hyperlink r:id="rId211">
        <w:r>
          <w:rPr>
            <w:rFonts w:ascii="Times New Roman" w:eastAsia="Times New Roman" w:hAnsi="Times New Roman" w:cs="Times New Roman"/>
            <w:color w:val="0000FF"/>
            <w:sz w:val="24"/>
            <w:u w:val="single" w:color="0000FF"/>
          </w:rPr>
          <w:t>https://doi.org/10.15690/pf.v9i2.258</w:t>
        </w:r>
      </w:hyperlink>
      <w:hyperlink r:id="rId212">
        <w:r>
          <w:rPr>
            <w:rFonts w:ascii="Times New Roman" w:eastAsia="Times New Roman" w:hAnsi="Times New Roman" w:cs="Times New Roman"/>
            <w:sz w:val="24"/>
          </w:rPr>
          <w:t xml:space="preserve"> </w:t>
        </w:r>
      </w:hyperlink>
    </w:p>
    <w:p w:rsidR="005A3F38" w:rsidRDefault="003114B5">
      <w:pPr>
        <w:numPr>
          <w:ilvl w:val="0"/>
          <w:numId w:val="46"/>
        </w:numPr>
        <w:spacing w:after="5" w:line="364" w:lineRule="auto"/>
        <w:ind w:right="2" w:hanging="10"/>
        <w:jc w:val="both"/>
      </w:pPr>
      <w:r>
        <w:rPr>
          <w:rFonts w:ascii="Times New Roman" w:eastAsia="Times New Roman" w:hAnsi="Times New Roman" w:cs="Times New Roman"/>
          <w:sz w:val="24"/>
        </w:rPr>
        <w:t xml:space="preserve">Зарубаев В.В., А.В. Слита, Е.О. Синегубова, А.А. Мурылёва, И.Н. Лаврентьева. Противовирусная активность энисамия йодида в отношении вирусов гриппа и ОРВИ in vitro на разных клеточных линиях. Терапевтический архив. 2020; 11:45–50. </w:t>
      </w:r>
    </w:p>
    <w:p w:rsidR="005A3F38" w:rsidRDefault="003114B5">
      <w:pPr>
        <w:numPr>
          <w:ilvl w:val="0"/>
          <w:numId w:val="46"/>
        </w:numPr>
        <w:spacing w:after="5" w:line="364" w:lineRule="auto"/>
        <w:ind w:right="2" w:hanging="10"/>
        <w:jc w:val="both"/>
      </w:pPr>
      <w:r>
        <w:rPr>
          <w:rFonts w:ascii="Times New Roman" w:eastAsia="Times New Roman" w:hAnsi="Times New Roman" w:cs="Times New Roman"/>
          <w:sz w:val="24"/>
        </w:rPr>
        <w:t>Геппе Н.А., Заплатников А</w:t>
      </w:r>
      <w:r>
        <w:rPr>
          <w:rFonts w:ascii="Times New Roman" w:eastAsia="Times New Roman" w:hAnsi="Times New Roman" w:cs="Times New Roman"/>
          <w:sz w:val="24"/>
        </w:rPr>
        <w:t>Л., Кондюрина Е.Г. и др. Эффективность и безопасность Анаферона детского и Анаферона для профилактики и лечения гриппа и других ОРВИ: систематический обзор и метаанализ. Российское медицинское исследование. 2021;5(5):335–347. DOI: 10.32364/2587-6821-2021-5</w:t>
      </w:r>
      <w:r>
        <w:rPr>
          <w:rFonts w:ascii="Times New Roman" w:eastAsia="Times New Roman" w:hAnsi="Times New Roman" w:cs="Times New Roman"/>
          <w:sz w:val="24"/>
        </w:rPr>
        <w:t xml:space="preserve">-5-335-347 </w:t>
      </w:r>
    </w:p>
    <w:p w:rsidR="005A3F38" w:rsidRDefault="003114B5">
      <w:pPr>
        <w:numPr>
          <w:ilvl w:val="0"/>
          <w:numId w:val="46"/>
        </w:numPr>
        <w:spacing w:after="5" w:line="364" w:lineRule="auto"/>
        <w:ind w:right="2" w:hanging="10"/>
        <w:jc w:val="both"/>
      </w:pPr>
      <w:r>
        <w:rPr>
          <w:rFonts w:ascii="Times New Roman" w:eastAsia="Times New Roman" w:hAnsi="Times New Roman" w:cs="Times New Roman"/>
          <w:sz w:val="24"/>
        </w:rPr>
        <w:t>Горелов А.В., Зайцев А.А., Малявин А.Г., Эсауленко Е.В., Кравченко И.Э., Никифоров В.В., Усенко Д.В., Бабак С.Л., Новак К.Е., Афанасьева О.И., Петров В.А. Оценка эффективности и безопасности препарата рафамин в терапии гриппа у взрослых и детей</w:t>
      </w:r>
      <w:r>
        <w:rPr>
          <w:rFonts w:ascii="Times New Roman" w:eastAsia="Times New Roman" w:hAnsi="Times New Roman" w:cs="Times New Roman"/>
          <w:sz w:val="24"/>
        </w:rPr>
        <w:t xml:space="preserve"> 12-18 лет: анализ результатов рандомизированных клинических исследований. Инфекционные болезни: новости, мнения, обучение. Журнал имени академика Н.Д. Ющука. 2025. Т. 14. № 2 (53). С. 31-40 </w:t>
      </w:r>
    </w:p>
    <w:p w:rsidR="005A3F38" w:rsidRDefault="003114B5">
      <w:pPr>
        <w:numPr>
          <w:ilvl w:val="0"/>
          <w:numId w:val="46"/>
        </w:numPr>
        <w:spacing w:after="5" w:line="364" w:lineRule="auto"/>
        <w:ind w:right="2" w:hanging="10"/>
        <w:jc w:val="both"/>
      </w:pPr>
      <w:r>
        <w:rPr>
          <w:rFonts w:ascii="Times New Roman" w:eastAsia="Times New Roman" w:hAnsi="Times New Roman" w:cs="Times New Roman"/>
          <w:sz w:val="24"/>
        </w:rPr>
        <w:t>Горелов А.В., Геппе Н.А., Блохин Б.М., Зайцев А.А., Усенко Д.В.,</w:t>
      </w:r>
      <w:r>
        <w:rPr>
          <w:rFonts w:ascii="Times New Roman" w:eastAsia="Times New Roman" w:hAnsi="Times New Roman" w:cs="Times New Roman"/>
          <w:sz w:val="24"/>
        </w:rPr>
        <w:t xml:space="preserve"> Николаева С.В., Никифоров В.В., Скучалина Л.Н., Шамсиев Ф.М. Влияние иммуномодулирующей терапии на течение острых респираторных инфекций вирусной этиологии: метаанализ клинических исследований эффективности и безопасности препарата Эргоферон в лечении гри</w:t>
      </w:r>
      <w:r>
        <w:rPr>
          <w:rFonts w:ascii="Times New Roman" w:eastAsia="Times New Roman" w:hAnsi="Times New Roman" w:cs="Times New Roman"/>
          <w:sz w:val="24"/>
        </w:rPr>
        <w:t xml:space="preserve">ппа и других острых респираторных вирусных инфекций. Вопросы практической педиатрии. 2021; 16(4): 83–97. DOI: 10.20953/1817-7646-2021-4-83-97 </w:t>
      </w:r>
    </w:p>
    <w:p w:rsidR="005A3F38" w:rsidRDefault="003114B5">
      <w:pPr>
        <w:numPr>
          <w:ilvl w:val="0"/>
          <w:numId w:val="46"/>
        </w:numPr>
        <w:spacing w:after="7" w:line="358" w:lineRule="auto"/>
        <w:ind w:right="2" w:hanging="10"/>
        <w:jc w:val="both"/>
      </w:pPr>
      <w:r>
        <w:rPr>
          <w:rFonts w:ascii="Times New Roman" w:eastAsia="Times New Roman" w:hAnsi="Times New Roman" w:cs="Times New Roman"/>
          <w:sz w:val="24"/>
        </w:rPr>
        <w:t xml:space="preserve">Rajput et al. Euphorbium compositum SN improves the innate defenses of the airway mucosal barrier network during </w:t>
      </w:r>
      <w:r>
        <w:rPr>
          <w:rFonts w:ascii="Times New Roman" w:eastAsia="Times New Roman" w:hAnsi="Times New Roman" w:cs="Times New Roman"/>
          <w:sz w:val="24"/>
        </w:rPr>
        <w:t xml:space="preserve">rhinovirus infectionRespiratory Research (2024) 25:407 </w:t>
      </w:r>
      <w:hyperlink r:id="rId213">
        <w:r>
          <w:rPr>
            <w:rFonts w:ascii="Times New Roman" w:eastAsia="Times New Roman" w:hAnsi="Times New Roman" w:cs="Times New Roman"/>
            <w:color w:val="0000FF"/>
            <w:sz w:val="24"/>
            <w:u w:val="single" w:color="0000FF"/>
          </w:rPr>
          <w:t>https://doi.org/10.1186/s12931</w:t>
        </w:r>
      </w:hyperlink>
      <w:hyperlink r:id="rId214"/>
      <w:hyperlink r:id="rId215">
        <w:r>
          <w:rPr>
            <w:rFonts w:ascii="Times New Roman" w:eastAsia="Times New Roman" w:hAnsi="Times New Roman" w:cs="Times New Roman"/>
            <w:color w:val="0000FF"/>
            <w:sz w:val="24"/>
            <w:u w:val="single" w:color="0000FF"/>
          </w:rPr>
          <w:t>024</w:t>
        </w:r>
      </w:hyperlink>
      <w:hyperlink r:id="rId216">
        <w:r>
          <w:rPr>
            <w:rFonts w:ascii="Times New Roman" w:eastAsia="Times New Roman" w:hAnsi="Times New Roman" w:cs="Times New Roman"/>
            <w:color w:val="0000FF"/>
            <w:sz w:val="24"/>
            <w:u w:val="single" w:color="0000FF"/>
          </w:rPr>
          <w:t>-</w:t>
        </w:r>
      </w:hyperlink>
      <w:hyperlink r:id="rId217">
        <w:r>
          <w:rPr>
            <w:rFonts w:ascii="Times New Roman" w:eastAsia="Times New Roman" w:hAnsi="Times New Roman" w:cs="Times New Roman"/>
            <w:color w:val="0000FF"/>
            <w:sz w:val="24"/>
            <w:u w:val="single" w:color="0000FF"/>
          </w:rPr>
          <w:t>03030</w:t>
        </w:r>
      </w:hyperlink>
      <w:hyperlink r:id="rId218">
        <w:r>
          <w:rPr>
            <w:rFonts w:ascii="Times New Roman" w:eastAsia="Times New Roman" w:hAnsi="Times New Roman" w:cs="Times New Roman"/>
            <w:color w:val="0000FF"/>
            <w:sz w:val="24"/>
            <w:u w:val="single" w:color="0000FF"/>
          </w:rPr>
          <w:t>-</w:t>
        </w:r>
      </w:hyperlink>
      <w:hyperlink r:id="rId219">
        <w:r>
          <w:rPr>
            <w:rFonts w:ascii="Times New Roman" w:eastAsia="Times New Roman" w:hAnsi="Times New Roman" w:cs="Times New Roman"/>
            <w:color w:val="0000FF"/>
            <w:sz w:val="24"/>
            <w:u w:val="single" w:color="0000FF"/>
          </w:rPr>
          <w:t>7</w:t>
        </w:r>
      </w:hyperlink>
      <w:hyperlink r:id="rId220">
        <w:r>
          <w:rPr>
            <w:rFonts w:ascii="Times New Roman" w:eastAsia="Times New Roman" w:hAnsi="Times New Roman" w:cs="Times New Roman"/>
            <w:sz w:val="24"/>
          </w:rPr>
          <w:t xml:space="preserve"> </w:t>
        </w:r>
      </w:hyperlink>
    </w:p>
    <w:p w:rsidR="005A3F38" w:rsidRDefault="003114B5">
      <w:pPr>
        <w:numPr>
          <w:ilvl w:val="0"/>
          <w:numId w:val="46"/>
        </w:numPr>
        <w:spacing w:after="5" w:line="364" w:lineRule="auto"/>
        <w:ind w:right="2" w:hanging="10"/>
        <w:jc w:val="both"/>
      </w:pPr>
      <w:r>
        <w:rPr>
          <w:rFonts w:ascii="Times New Roman" w:eastAsia="Times New Roman" w:hAnsi="Times New Roman" w:cs="Times New Roman"/>
          <w:sz w:val="24"/>
        </w:rPr>
        <w:t>Гаращенко Т.И., Селькова Е.П., Карнеева О.В., и др. Биорегуляционная терапия в лечении и профилактике заболеваний верхних дыхательных путей у детей. Медицинский совет. 2020;(</w:t>
      </w:r>
      <w:r>
        <w:rPr>
          <w:rFonts w:ascii="Times New Roman" w:eastAsia="Times New Roman" w:hAnsi="Times New Roman" w:cs="Times New Roman"/>
          <w:sz w:val="24"/>
        </w:rPr>
        <w:t>18):32–</w:t>
      </w:r>
    </w:p>
    <w:p w:rsidR="005A3F38" w:rsidRDefault="003114B5">
      <w:pPr>
        <w:spacing w:after="128" w:line="249" w:lineRule="auto"/>
        <w:ind w:left="355" w:right="11" w:hanging="10"/>
      </w:pPr>
      <w:r>
        <w:rPr>
          <w:rFonts w:ascii="Times New Roman" w:eastAsia="Times New Roman" w:hAnsi="Times New Roman" w:cs="Times New Roman"/>
          <w:sz w:val="24"/>
        </w:rPr>
        <w:t xml:space="preserve">41. doi: 10.21518/2079-701X-2020-18-32-41 </w:t>
      </w:r>
    </w:p>
    <w:p w:rsidR="005A3F38" w:rsidRDefault="003114B5">
      <w:pPr>
        <w:numPr>
          <w:ilvl w:val="0"/>
          <w:numId w:val="47"/>
        </w:numPr>
        <w:spacing w:after="7" w:line="358" w:lineRule="auto"/>
        <w:ind w:right="11" w:hanging="708"/>
      </w:pPr>
      <w:r>
        <w:rPr>
          <w:rFonts w:ascii="Times New Roman" w:eastAsia="Times New Roman" w:hAnsi="Times New Roman" w:cs="Times New Roman"/>
          <w:sz w:val="24"/>
        </w:rPr>
        <w:t>Ammerschläger H., Klein P., Weiser M., Oberbaum M. Treatment of inflammatory diseases of the upper respiratory tract – comparison of a homeopathic complex remedy with xylometazoline. Forsch Komplementarmed</w:t>
      </w:r>
      <w:r>
        <w:rPr>
          <w:rFonts w:ascii="Times New Roman" w:eastAsia="Times New Roman" w:hAnsi="Times New Roman" w:cs="Times New Roman"/>
          <w:sz w:val="24"/>
        </w:rPr>
        <w:t xml:space="preserve"> Klass Naturheilkd. 2005;12(1):24–31. (In German). doi: 10.1159/000082934 </w:t>
      </w:r>
    </w:p>
    <w:p w:rsidR="005A3F38" w:rsidRDefault="003114B5">
      <w:pPr>
        <w:numPr>
          <w:ilvl w:val="0"/>
          <w:numId w:val="47"/>
        </w:numPr>
        <w:spacing w:after="5" w:line="364" w:lineRule="auto"/>
        <w:ind w:right="11" w:hanging="708"/>
      </w:pPr>
      <w:r>
        <w:rPr>
          <w:rFonts w:ascii="Times New Roman" w:eastAsia="Times New Roman" w:hAnsi="Times New Roman" w:cs="Times New Roman"/>
          <w:sz w:val="24"/>
        </w:rPr>
        <w:t>Урлеа-Шон И., Коргиолу М. Эффективность и переносимость Эуфорбиум композитум СН при симптоматическом лечении ринита у детей в возрасте 2 - 6 лет. Eur J Integr Med. 2009;1(4): 236 (A</w:t>
      </w:r>
      <w:r>
        <w:rPr>
          <w:rFonts w:ascii="Times New Roman" w:eastAsia="Times New Roman" w:hAnsi="Times New Roman" w:cs="Times New Roman"/>
          <w:sz w:val="24"/>
        </w:rPr>
        <w:t xml:space="preserve">bstract PO-023) </w:t>
      </w:r>
    </w:p>
    <w:p w:rsidR="005A3F38" w:rsidRDefault="003114B5">
      <w:pPr>
        <w:numPr>
          <w:ilvl w:val="0"/>
          <w:numId w:val="47"/>
        </w:numPr>
        <w:spacing w:after="0" w:line="362" w:lineRule="auto"/>
        <w:ind w:right="11" w:hanging="708"/>
      </w:pPr>
      <w:r>
        <w:rPr>
          <w:rFonts w:ascii="Times New Roman" w:eastAsia="Times New Roman" w:hAnsi="Times New Roman" w:cs="Times New Roman"/>
          <w:sz w:val="24"/>
        </w:rPr>
        <w:t xml:space="preserve">Faruqi S, Wright C, Thompson R et al. A randomized placebo controlled trial to evaluate the effects of butamirate and dextromethorphan on capsaicin induced cough in healthy volunteers. Br J Clin </w:t>
      </w:r>
    </w:p>
    <w:p w:rsidR="005A3F38" w:rsidRDefault="003114B5">
      <w:pPr>
        <w:spacing w:after="128" w:line="249" w:lineRule="auto"/>
        <w:ind w:left="355" w:right="11" w:hanging="10"/>
      </w:pPr>
      <w:r>
        <w:rPr>
          <w:rFonts w:ascii="Times New Roman" w:eastAsia="Times New Roman" w:hAnsi="Times New Roman" w:cs="Times New Roman"/>
          <w:sz w:val="24"/>
        </w:rPr>
        <w:t>Pharmacol 2014;78(6):1272–1280. doi: 10.111</w:t>
      </w:r>
      <w:r>
        <w:rPr>
          <w:rFonts w:ascii="Times New Roman" w:eastAsia="Times New Roman" w:hAnsi="Times New Roman" w:cs="Times New Roman"/>
          <w:sz w:val="24"/>
        </w:rPr>
        <w:t xml:space="preserve">1/bcp.12458/ </w:t>
      </w:r>
    </w:p>
    <w:p w:rsidR="005A3F38" w:rsidRDefault="003114B5">
      <w:pPr>
        <w:numPr>
          <w:ilvl w:val="0"/>
          <w:numId w:val="47"/>
        </w:numPr>
        <w:spacing w:after="0" w:line="364" w:lineRule="auto"/>
        <w:ind w:right="11" w:hanging="708"/>
      </w:pPr>
      <w:r>
        <w:rPr>
          <w:rFonts w:ascii="Times New Roman" w:eastAsia="Times New Roman" w:hAnsi="Times New Roman" w:cs="Times New Roman"/>
          <w:sz w:val="24"/>
        </w:rPr>
        <w:t xml:space="preserve">Morice A, Kardos P. Comprehensive evidence-based review on European antitussives. BMJ Open Respir Res. 2016 Aug 5;3(1):e000137. doi: 10.1136/bmjresp-2016-000137. PMID: 27547407; PMCID: </w:t>
      </w:r>
    </w:p>
    <w:p w:rsidR="005A3F38" w:rsidRDefault="003114B5">
      <w:pPr>
        <w:spacing w:after="155" w:line="249" w:lineRule="auto"/>
        <w:ind w:left="355" w:right="11" w:hanging="10"/>
      </w:pPr>
      <w:r>
        <w:rPr>
          <w:rFonts w:ascii="Times New Roman" w:eastAsia="Times New Roman" w:hAnsi="Times New Roman" w:cs="Times New Roman"/>
          <w:sz w:val="24"/>
        </w:rPr>
        <w:t xml:space="preserve">PMC4985807. </w:t>
      </w:r>
    </w:p>
    <w:p w:rsidR="005A3F38" w:rsidRDefault="003114B5">
      <w:pPr>
        <w:numPr>
          <w:ilvl w:val="0"/>
          <w:numId w:val="47"/>
        </w:numPr>
        <w:spacing w:after="119"/>
        <w:ind w:right="11" w:hanging="708"/>
      </w:pPr>
      <w:hyperlink r:id="rId221">
        <w:r>
          <w:rPr>
            <w:rFonts w:ascii="Times New Roman" w:eastAsia="Times New Roman" w:hAnsi="Times New Roman" w:cs="Times New Roman"/>
            <w:color w:val="0000FF"/>
            <w:sz w:val="24"/>
            <w:u w:val="single" w:color="0000FF"/>
          </w:rPr>
          <w:t>https://www.ohsu.edu/sites/default/files/2022</w:t>
        </w:r>
      </w:hyperlink>
      <w:hyperlink r:id="rId222">
        <w:r>
          <w:rPr>
            <w:rFonts w:ascii="Times New Roman" w:eastAsia="Times New Roman" w:hAnsi="Times New Roman" w:cs="Times New Roman"/>
            <w:color w:val="0000FF"/>
            <w:sz w:val="24"/>
            <w:u w:val="single" w:color="0000FF"/>
          </w:rPr>
          <w:t>-</w:t>
        </w:r>
      </w:hyperlink>
      <w:hyperlink r:id="rId223">
        <w:r>
          <w:rPr>
            <w:rFonts w:ascii="Times New Roman" w:eastAsia="Times New Roman" w:hAnsi="Times New Roman" w:cs="Times New Roman"/>
            <w:color w:val="0000FF"/>
            <w:sz w:val="24"/>
            <w:u w:val="single" w:color="0000FF"/>
          </w:rPr>
          <w:t>01/Dehydration</w:t>
        </w:r>
      </w:hyperlink>
      <w:hyperlink r:id="rId224">
        <w:r>
          <w:rPr>
            <w:rFonts w:ascii="Times New Roman" w:eastAsia="Times New Roman" w:hAnsi="Times New Roman" w:cs="Times New Roman"/>
            <w:color w:val="0000FF"/>
            <w:sz w:val="24"/>
            <w:u w:val="single" w:color="0000FF"/>
          </w:rPr>
          <w:t>-</w:t>
        </w:r>
      </w:hyperlink>
      <w:hyperlink r:id="rId225">
        <w:r>
          <w:rPr>
            <w:rFonts w:ascii="Times New Roman" w:eastAsia="Times New Roman" w:hAnsi="Times New Roman" w:cs="Times New Roman"/>
            <w:color w:val="0000FF"/>
            <w:sz w:val="24"/>
            <w:u w:val="single" w:color="0000FF"/>
          </w:rPr>
          <w:t>Clinical</w:t>
        </w:r>
      </w:hyperlink>
      <w:hyperlink r:id="rId226">
        <w:r>
          <w:rPr>
            <w:rFonts w:ascii="Times New Roman" w:eastAsia="Times New Roman" w:hAnsi="Times New Roman" w:cs="Times New Roman"/>
            <w:color w:val="0000FF"/>
            <w:sz w:val="24"/>
            <w:u w:val="single" w:color="0000FF"/>
          </w:rPr>
          <w:t>-</w:t>
        </w:r>
      </w:hyperlink>
      <w:hyperlink r:id="rId227">
        <w:r>
          <w:rPr>
            <w:rFonts w:ascii="Times New Roman" w:eastAsia="Times New Roman" w:hAnsi="Times New Roman" w:cs="Times New Roman"/>
            <w:color w:val="0000FF"/>
            <w:sz w:val="24"/>
            <w:u w:val="single" w:color="0000FF"/>
          </w:rPr>
          <w:t>Pathway</w:t>
        </w:r>
      </w:hyperlink>
      <w:hyperlink r:id="rId228">
        <w:r>
          <w:rPr>
            <w:rFonts w:ascii="Times New Roman" w:eastAsia="Times New Roman" w:hAnsi="Times New Roman" w:cs="Times New Roman"/>
            <w:color w:val="0000FF"/>
            <w:sz w:val="24"/>
            <w:u w:val="single" w:color="0000FF"/>
          </w:rPr>
          <w:t>-</w:t>
        </w:r>
      </w:hyperlink>
    </w:p>
    <w:p w:rsidR="005A3F38" w:rsidRDefault="003114B5">
      <w:pPr>
        <w:spacing w:after="141"/>
        <w:ind w:left="355" w:hanging="10"/>
      </w:pPr>
      <w:hyperlink r:id="rId229">
        <w:r>
          <w:rPr>
            <w:rFonts w:ascii="Times New Roman" w:eastAsia="Times New Roman" w:hAnsi="Times New Roman" w:cs="Times New Roman"/>
            <w:color w:val="0000FF"/>
            <w:sz w:val="24"/>
            <w:u w:val="single" w:color="0000FF"/>
          </w:rPr>
          <w:t>OHSU%20Health.pdf</w:t>
        </w:r>
      </w:hyperlink>
      <w:hyperlink r:id="rId230">
        <w:r>
          <w:rPr>
            <w:rFonts w:ascii="Times New Roman" w:eastAsia="Times New Roman" w:hAnsi="Times New Roman" w:cs="Times New Roman"/>
            <w:sz w:val="24"/>
          </w:rPr>
          <w:t xml:space="preserve"> </w:t>
        </w:r>
      </w:hyperlink>
    </w:p>
    <w:p w:rsidR="005A3F38" w:rsidRDefault="003114B5">
      <w:pPr>
        <w:numPr>
          <w:ilvl w:val="0"/>
          <w:numId w:val="47"/>
        </w:numPr>
        <w:spacing w:after="0" w:line="360" w:lineRule="auto"/>
        <w:ind w:right="11" w:hanging="708"/>
      </w:pPr>
      <w:r>
        <w:rPr>
          <w:rFonts w:ascii="Times New Roman" w:eastAsia="Times New Roman" w:hAnsi="Times New Roman" w:cs="Times New Roman"/>
          <w:sz w:val="24"/>
        </w:rPr>
        <w:t>Kemps N, Vermont C, Tan CD</w:t>
      </w:r>
      <w:r>
        <w:rPr>
          <w:rFonts w:ascii="Times New Roman" w:eastAsia="Times New Roman" w:hAnsi="Times New Roman" w:cs="Times New Roman"/>
          <w:sz w:val="24"/>
        </w:rPr>
        <w:t>, et al. The value of white blood cell count in predicting serious bacterial infections in children presenting to the emergency department: a multicentre observational study. Arch Dis Child. 2025;110(3):191-196. Published 2025 Feb 19. doi:10.1136/archdisch</w:t>
      </w:r>
      <w:r>
        <w:rPr>
          <w:rFonts w:ascii="Times New Roman" w:eastAsia="Times New Roman" w:hAnsi="Times New Roman" w:cs="Times New Roman"/>
          <w:sz w:val="24"/>
        </w:rPr>
        <w:t>ild-2024-</w:t>
      </w:r>
    </w:p>
    <w:p w:rsidR="005A3F38" w:rsidRDefault="003114B5">
      <w:pPr>
        <w:spacing w:after="155" w:line="249" w:lineRule="auto"/>
        <w:ind w:left="730" w:right="11" w:hanging="10"/>
      </w:pPr>
      <w:r>
        <w:rPr>
          <w:rFonts w:ascii="Times New Roman" w:eastAsia="Times New Roman" w:hAnsi="Times New Roman" w:cs="Times New Roman"/>
          <w:sz w:val="24"/>
        </w:rPr>
        <w:t xml:space="preserve">327493 </w:t>
      </w:r>
    </w:p>
    <w:p w:rsidR="005A3F38" w:rsidRDefault="003114B5">
      <w:pPr>
        <w:numPr>
          <w:ilvl w:val="0"/>
          <w:numId w:val="47"/>
        </w:numPr>
        <w:spacing w:after="5" w:line="364" w:lineRule="auto"/>
        <w:ind w:right="11" w:hanging="708"/>
      </w:pPr>
      <w:r>
        <w:rPr>
          <w:rFonts w:ascii="Times New Roman" w:eastAsia="Times New Roman" w:hAnsi="Times New Roman" w:cs="Times New Roman"/>
          <w:sz w:val="24"/>
        </w:rPr>
        <w:t xml:space="preserve">Bernardi L, Bossù G, Dal Canto G, Giannì G, Esposito S. Biomarkers for Serious Bacterial Infections in Febrile Children. Biomolecules. 2024;14(1):97. Published 2024 Jan 12. </w:t>
      </w:r>
    </w:p>
    <w:p w:rsidR="005A3F38" w:rsidRDefault="003114B5">
      <w:pPr>
        <w:spacing w:after="152" w:line="249" w:lineRule="auto"/>
        <w:ind w:left="730" w:right="11" w:hanging="10"/>
      </w:pPr>
      <w:r>
        <w:rPr>
          <w:rFonts w:ascii="Times New Roman" w:eastAsia="Times New Roman" w:hAnsi="Times New Roman" w:cs="Times New Roman"/>
          <w:sz w:val="24"/>
        </w:rPr>
        <w:t xml:space="preserve">doi:10.3390/biom14010097 </w:t>
      </w:r>
    </w:p>
    <w:p w:rsidR="005A3F38" w:rsidRDefault="003114B5">
      <w:pPr>
        <w:numPr>
          <w:ilvl w:val="0"/>
          <w:numId w:val="47"/>
        </w:numPr>
        <w:spacing w:after="0" w:line="364" w:lineRule="auto"/>
        <w:ind w:right="11" w:hanging="708"/>
      </w:pPr>
      <w:r>
        <w:rPr>
          <w:rFonts w:ascii="Times New Roman" w:eastAsia="Times New Roman" w:hAnsi="Times New Roman" w:cs="Times New Roman"/>
          <w:sz w:val="24"/>
        </w:rPr>
        <w:t>Adam IH, Kestenbom I, Shmueli M, Hassa</w:t>
      </w:r>
      <w:r>
        <w:rPr>
          <w:rFonts w:ascii="Times New Roman" w:eastAsia="Times New Roman" w:hAnsi="Times New Roman" w:cs="Times New Roman"/>
          <w:sz w:val="24"/>
        </w:rPr>
        <w:t xml:space="preserve">n L, Lendner I, Ben-Shimol S. C-reactive protein diagnostic value for bacterial infections in the paediatric emergency department setting. J Paediatr </w:t>
      </w:r>
    </w:p>
    <w:p w:rsidR="005A3F38" w:rsidRDefault="003114B5">
      <w:pPr>
        <w:spacing w:after="155" w:line="249" w:lineRule="auto"/>
        <w:ind w:left="730" w:right="11" w:hanging="10"/>
      </w:pPr>
      <w:r>
        <w:rPr>
          <w:rFonts w:ascii="Times New Roman" w:eastAsia="Times New Roman" w:hAnsi="Times New Roman" w:cs="Times New Roman"/>
          <w:sz w:val="24"/>
        </w:rPr>
        <w:t xml:space="preserve">Child Health. 2025;61(3):396-403. doi:10.1111/jpc.16752 </w:t>
      </w:r>
    </w:p>
    <w:p w:rsidR="005A3F38" w:rsidRDefault="003114B5">
      <w:pPr>
        <w:numPr>
          <w:ilvl w:val="0"/>
          <w:numId w:val="47"/>
        </w:numPr>
        <w:spacing w:after="0" w:line="362" w:lineRule="auto"/>
        <w:ind w:right="11" w:hanging="708"/>
      </w:pPr>
      <w:r>
        <w:rPr>
          <w:rFonts w:ascii="Times New Roman" w:eastAsia="Times New Roman" w:hAnsi="Times New Roman" w:cs="Times New Roman"/>
          <w:sz w:val="24"/>
        </w:rPr>
        <w:t>De Rop L, De Burghgraeve T, De Sutter A, Buntinx</w:t>
      </w:r>
      <w:r>
        <w:rPr>
          <w:rFonts w:ascii="Times New Roman" w:eastAsia="Times New Roman" w:hAnsi="Times New Roman" w:cs="Times New Roman"/>
          <w:sz w:val="24"/>
        </w:rPr>
        <w:t xml:space="preserve"> F, Verbakel JY. Point-of-care C-reactive protein test results in acute infections in children in primary care: an observational study. BMC Pediatr. </w:t>
      </w:r>
    </w:p>
    <w:p w:rsidR="005A3F38" w:rsidRDefault="003114B5">
      <w:pPr>
        <w:spacing w:after="152" w:line="249" w:lineRule="auto"/>
        <w:ind w:left="730" w:right="11" w:hanging="10"/>
      </w:pPr>
      <w:r>
        <w:rPr>
          <w:rFonts w:ascii="Times New Roman" w:eastAsia="Times New Roman" w:hAnsi="Times New Roman" w:cs="Times New Roman"/>
          <w:sz w:val="24"/>
        </w:rPr>
        <w:t xml:space="preserve">2022;22(1):633. Published 2022 Nov 4. doi:10.1186/s12887-022-03677-5 </w:t>
      </w:r>
    </w:p>
    <w:p w:rsidR="005A3F38" w:rsidRDefault="003114B5">
      <w:pPr>
        <w:numPr>
          <w:ilvl w:val="0"/>
          <w:numId w:val="47"/>
        </w:numPr>
        <w:spacing w:after="128" w:line="249" w:lineRule="auto"/>
        <w:ind w:right="11" w:hanging="708"/>
      </w:pPr>
      <w:r>
        <w:rPr>
          <w:rFonts w:ascii="Times New Roman" w:eastAsia="Times New Roman" w:hAnsi="Times New Roman" w:cs="Times New Roman"/>
          <w:sz w:val="24"/>
        </w:rPr>
        <w:t xml:space="preserve">Buendia Rodriguez JA, Bedoya M, Benjumea D. Usefulness of C-Reactive Protein and Clinical </w:t>
      </w:r>
    </w:p>
    <w:p w:rsidR="005A3F38" w:rsidRDefault="003114B5">
      <w:pPr>
        <w:spacing w:after="128" w:line="249" w:lineRule="auto"/>
        <w:ind w:left="730" w:right="11" w:hanging="10"/>
      </w:pPr>
      <w:r>
        <w:rPr>
          <w:rFonts w:ascii="Times New Roman" w:eastAsia="Times New Roman" w:hAnsi="Times New Roman" w:cs="Times New Roman"/>
          <w:sz w:val="24"/>
        </w:rPr>
        <w:t xml:space="preserve">Characteristics in Identifying Severe Bacterial Infection in Children with Fever without Source. Turk </w:t>
      </w:r>
    </w:p>
    <w:p w:rsidR="005A3F38" w:rsidRDefault="003114B5">
      <w:pPr>
        <w:spacing w:after="155" w:line="249" w:lineRule="auto"/>
        <w:ind w:left="730" w:right="11" w:hanging="10"/>
      </w:pPr>
      <w:r>
        <w:rPr>
          <w:rFonts w:ascii="Times New Roman" w:eastAsia="Times New Roman" w:hAnsi="Times New Roman" w:cs="Times New Roman"/>
          <w:sz w:val="24"/>
        </w:rPr>
        <w:t>Arch Pediatr. 2022;57(6):616-620. doi:10.5152/TurkArchPediatr.</w:t>
      </w:r>
      <w:r>
        <w:rPr>
          <w:rFonts w:ascii="Times New Roman" w:eastAsia="Times New Roman" w:hAnsi="Times New Roman" w:cs="Times New Roman"/>
          <w:sz w:val="24"/>
        </w:rPr>
        <w:t xml:space="preserve">2022.21348 </w:t>
      </w:r>
    </w:p>
    <w:p w:rsidR="005A3F38" w:rsidRDefault="003114B5">
      <w:pPr>
        <w:numPr>
          <w:ilvl w:val="0"/>
          <w:numId w:val="47"/>
        </w:numPr>
        <w:spacing w:after="0" w:line="360" w:lineRule="auto"/>
        <w:ind w:right="11" w:hanging="708"/>
      </w:pPr>
      <w:r>
        <w:rPr>
          <w:rFonts w:ascii="Times New Roman" w:eastAsia="Times New Roman" w:hAnsi="Times New Roman" w:cs="Times New Roman"/>
          <w:sz w:val="24"/>
        </w:rPr>
        <w:t>Kim JH, Lee JY, Cho HR, Lee JS, Ryu JM, Lee J. High Concentration of C-Reactive Protein Is Associated With Serious Bacterial Infection in Previously Healthy Children Aged 3 to 36 Months With Fever and Extreme Leukocytosis. Pediatr Emerg Care. 2</w:t>
      </w:r>
      <w:r>
        <w:rPr>
          <w:rFonts w:ascii="Times New Roman" w:eastAsia="Times New Roman" w:hAnsi="Times New Roman" w:cs="Times New Roman"/>
          <w:sz w:val="24"/>
        </w:rPr>
        <w:t xml:space="preserve">019;35(5):347-352. </w:t>
      </w:r>
    </w:p>
    <w:p w:rsidR="005A3F38" w:rsidRDefault="003114B5">
      <w:pPr>
        <w:spacing w:after="155" w:line="249" w:lineRule="auto"/>
        <w:ind w:left="730" w:right="11" w:hanging="10"/>
      </w:pPr>
      <w:r>
        <w:rPr>
          <w:rFonts w:ascii="Times New Roman" w:eastAsia="Times New Roman" w:hAnsi="Times New Roman" w:cs="Times New Roman"/>
          <w:sz w:val="24"/>
        </w:rPr>
        <w:t xml:space="preserve">doi:10.1097/PEC.0000000000001080 </w:t>
      </w:r>
    </w:p>
    <w:p w:rsidR="005A3F38" w:rsidRDefault="003114B5">
      <w:pPr>
        <w:numPr>
          <w:ilvl w:val="0"/>
          <w:numId w:val="47"/>
        </w:numPr>
        <w:spacing w:after="0" w:line="360" w:lineRule="auto"/>
        <w:ind w:right="11" w:hanging="708"/>
      </w:pPr>
      <w:r>
        <w:rPr>
          <w:rFonts w:ascii="Times New Roman" w:eastAsia="Times New Roman" w:hAnsi="Times New Roman" w:cs="Times New Roman"/>
          <w:sz w:val="24"/>
        </w:rPr>
        <w:t>Nijman RG, Moll HA, Smit FJ, et al. C-reactive protein, procalcitonin and the lab-score for detecting serious bacterial infections in febrile children at the emergency department: a prospective observat</w:t>
      </w:r>
      <w:r>
        <w:rPr>
          <w:rFonts w:ascii="Times New Roman" w:eastAsia="Times New Roman" w:hAnsi="Times New Roman" w:cs="Times New Roman"/>
          <w:sz w:val="24"/>
        </w:rPr>
        <w:t xml:space="preserve">ional study. Pediatr Infect Dis J. 2014;33(11):e273-e279. </w:t>
      </w:r>
    </w:p>
    <w:p w:rsidR="005A3F38" w:rsidRDefault="003114B5">
      <w:pPr>
        <w:spacing w:after="152" w:line="249" w:lineRule="auto"/>
        <w:ind w:left="730" w:right="11" w:hanging="10"/>
      </w:pPr>
      <w:r>
        <w:rPr>
          <w:rFonts w:ascii="Times New Roman" w:eastAsia="Times New Roman" w:hAnsi="Times New Roman" w:cs="Times New Roman"/>
          <w:sz w:val="24"/>
        </w:rPr>
        <w:t xml:space="preserve">doi:10.1097/INF.0000000000000466]. </w:t>
      </w:r>
    </w:p>
    <w:p w:rsidR="005A3F38" w:rsidRDefault="003114B5">
      <w:pPr>
        <w:numPr>
          <w:ilvl w:val="0"/>
          <w:numId w:val="47"/>
        </w:numPr>
        <w:spacing w:after="27" w:line="360" w:lineRule="auto"/>
        <w:ind w:right="11" w:hanging="708"/>
      </w:pPr>
      <w:r>
        <w:rPr>
          <w:rFonts w:ascii="Times New Roman" w:eastAsia="Times New Roman" w:hAnsi="Times New Roman" w:cs="Times New Roman"/>
          <w:sz w:val="24"/>
        </w:rPr>
        <w:t>Priel M, Berliner S, Rimon A, Cohen N. Diagnostic superiority of serial increase in C-reactive protein versus single measurement in differentiating bacterial fro</w:t>
      </w:r>
      <w:r>
        <w:rPr>
          <w:rFonts w:ascii="Times New Roman" w:eastAsia="Times New Roman" w:hAnsi="Times New Roman" w:cs="Times New Roman"/>
          <w:sz w:val="24"/>
        </w:rPr>
        <w:t xml:space="preserve">m non-bacterial etiologies in pediatric patients. Paediatr Child Health. 2025;30(7):576-581. Published 2025 Jul 7. doi:10.1093/pch/pxaf041 </w:t>
      </w:r>
    </w:p>
    <w:p w:rsidR="005A3F38" w:rsidRDefault="003114B5">
      <w:pPr>
        <w:numPr>
          <w:ilvl w:val="0"/>
          <w:numId w:val="47"/>
        </w:numPr>
        <w:spacing w:after="0" w:line="360" w:lineRule="auto"/>
        <w:ind w:right="11" w:hanging="708"/>
      </w:pPr>
      <w:r>
        <w:rPr>
          <w:rFonts w:ascii="Times New Roman" w:eastAsia="Times New Roman" w:hAnsi="Times New Roman" w:cs="Times New Roman"/>
          <w:sz w:val="24"/>
        </w:rPr>
        <w:t>Chew R, Greer RC, Tasak N, Day NPJ, Lubell Y. Modelling the cost-effectiveness of pulse oximetry in primary care man</w:t>
      </w:r>
      <w:r>
        <w:rPr>
          <w:rFonts w:ascii="Times New Roman" w:eastAsia="Times New Roman" w:hAnsi="Times New Roman" w:cs="Times New Roman"/>
          <w:sz w:val="24"/>
        </w:rPr>
        <w:t xml:space="preserve">agement of acute respiratory infection in rural northern Thailand. Trop Med Int Health. 2022 Oct;27(10):881-890. doi: 10.1111/tmi.13812. Epub 2022 Aug 30. PMID: </w:t>
      </w:r>
    </w:p>
    <w:p w:rsidR="005A3F38" w:rsidRDefault="003114B5">
      <w:pPr>
        <w:spacing w:after="128" w:line="249" w:lineRule="auto"/>
        <w:ind w:left="730" w:right="11" w:hanging="10"/>
      </w:pPr>
      <w:r>
        <w:rPr>
          <w:rFonts w:ascii="Times New Roman" w:eastAsia="Times New Roman" w:hAnsi="Times New Roman" w:cs="Times New Roman"/>
          <w:sz w:val="24"/>
        </w:rPr>
        <w:t xml:space="preserve">36054516; PMCID: PMC9805201 </w:t>
      </w:r>
    </w:p>
    <w:p w:rsidR="005A3F38" w:rsidRDefault="003114B5">
      <w:pPr>
        <w:numPr>
          <w:ilvl w:val="0"/>
          <w:numId w:val="47"/>
        </w:numPr>
        <w:spacing w:after="0" w:line="364" w:lineRule="auto"/>
        <w:ind w:right="11" w:hanging="708"/>
      </w:pPr>
      <w:r>
        <w:rPr>
          <w:rFonts w:ascii="Times New Roman" w:eastAsia="Times New Roman" w:hAnsi="Times New Roman" w:cs="Times New Roman"/>
          <w:sz w:val="24"/>
        </w:rPr>
        <w:t>Al-Beltagi M, Saeed NK, Bediwy AS, Elbeltagi R. Pulse oximetry in</w:t>
      </w:r>
      <w:r>
        <w:rPr>
          <w:rFonts w:ascii="Times New Roman" w:eastAsia="Times New Roman" w:hAnsi="Times New Roman" w:cs="Times New Roman"/>
          <w:sz w:val="24"/>
        </w:rPr>
        <w:t xml:space="preserve"> pediatric care: Balancing advantages and limitations. World J Clin Pediatr. 2024 Sep 9;13(3):96950. doi: </w:t>
      </w:r>
    </w:p>
    <w:p w:rsidR="005A3F38" w:rsidRDefault="003114B5">
      <w:pPr>
        <w:spacing w:after="155" w:line="249" w:lineRule="auto"/>
        <w:ind w:left="730" w:right="11" w:hanging="10"/>
      </w:pPr>
      <w:r>
        <w:rPr>
          <w:rFonts w:ascii="Times New Roman" w:eastAsia="Times New Roman" w:hAnsi="Times New Roman" w:cs="Times New Roman"/>
          <w:sz w:val="24"/>
        </w:rPr>
        <w:t xml:space="preserve">10.5409/wjcp.v13.i3.96950. PMID: 39350904; PMCID: PMC11438930. </w:t>
      </w:r>
    </w:p>
    <w:p w:rsidR="005A3F38" w:rsidRDefault="003114B5">
      <w:pPr>
        <w:numPr>
          <w:ilvl w:val="0"/>
          <w:numId w:val="47"/>
        </w:numPr>
        <w:spacing w:after="20" w:line="366" w:lineRule="auto"/>
        <w:ind w:right="11" w:hanging="708"/>
      </w:pPr>
      <w:r>
        <w:rPr>
          <w:rFonts w:ascii="Times New Roman" w:eastAsia="Times New Roman" w:hAnsi="Times New Roman" w:cs="Times New Roman"/>
          <w:sz w:val="24"/>
        </w:rPr>
        <w:t>Таточенко В.К., Бакрадзе М.Д. Педиатру на каждый день–</w:t>
      </w:r>
      <w:r>
        <w:rPr>
          <w:rFonts w:ascii="Times New Roman" w:eastAsia="Times New Roman" w:hAnsi="Times New Roman" w:cs="Times New Roman"/>
          <w:sz w:val="24"/>
        </w:rPr>
        <w:t xml:space="preserve">2022. Лихорадки. Справочник по диагностике и лечению. — М.: ФГАУ «НМИЦ здоровья детей» Минздрава России, 2022. — 440 с. — (Информационные материалы) </w:t>
      </w:r>
    </w:p>
    <w:p w:rsidR="005A3F38" w:rsidRDefault="003114B5">
      <w:pPr>
        <w:numPr>
          <w:ilvl w:val="0"/>
          <w:numId w:val="47"/>
        </w:numPr>
        <w:spacing w:after="21" w:line="364" w:lineRule="auto"/>
        <w:ind w:right="11" w:hanging="708"/>
      </w:pPr>
      <w:r>
        <w:rPr>
          <w:rFonts w:ascii="Times New Roman" w:eastAsia="Times New Roman" w:hAnsi="Times New Roman" w:cs="Times New Roman"/>
          <w:sz w:val="24"/>
        </w:rPr>
        <w:t>Miller JL, Thomas AN, Johnson PN. Use of continuous-infusion loop diuretics in critically ill children. Ph</w:t>
      </w:r>
      <w:r>
        <w:rPr>
          <w:rFonts w:ascii="Times New Roman" w:eastAsia="Times New Roman" w:hAnsi="Times New Roman" w:cs="Times New Roman"/>
          <w:sz w:val="24"/>
        </w:rPr>
        <w:t xml:space="preserve">armacotherapy. 2014;34(8):858-867. doi:10.1002/phar.1443 </w:t>
      </w:r>
    </w:p>
    <w:p w:rsidR="005A3F38" w:rsidRDefault="003114B5">
      <w:pPr>
        <w:numPr>
          <w:ilvl w:val="0"/>
          <w:numId w:val="47"/>
        </w:numPr>
        <w:spacing w:after="128" w:line="249" w:lineRule="auto"/>
        <w:ind w:right="11" w:hanging="708"/>
      </w:pPr>
      <w:r>
        <w:rPr>
          <w:rFonts w:ascii="Times New Roman" w:eastAsia="Times New Roman" w:hAnsi="Times New Roman" w:cs="Times New Roman"/>
          <w:sz w:val="24"/>
        </w:rPr>
        <w:t xml:space="preserve">Taghavi S, Nassar AK, Askari R. Hypovolemia and Hypovolemic Shock. [Updated 2025 Jun 1]. In: </w:t>
      </w:r>
    </w:p>
    <w:p w:rsidR="005A3F38" w:rsidRDefault="003114B5">
      <w:pPr>
        <w:spacing w:after="32" w:line="356" w:lineRule="auto"/>
        <w:ind w:left="730" w:right="11" w:hanging="10"/>
      </w:pPr>
      <w:r>
        <w:rPr>
          <w:rFonts w:ascii="Times New Roman" w:eastAsia="Times New Roman" w:hAnsi="Times New Roman" w:cs="Times New Roman"/>
          <w:sz w:val="24"/>
        </w:rPr>
        <w:t>StatPearls [Internet]. Treasure Island (FL): StatPearls Publishing; 2025 Jan-. Available from: https://w</w:t>
      </w:r>
      <w:r>
        <w:rPr>
          <w:rFonts w:ascii="Times New Roman" w:eastAsia="Times New Roman" w:hAnsi="Times New Roman" w:cs="Times New Roman"/>
          <w:sz w:val="24"/>
        </w:rPr>
        <w:t xml:space="preserve">ww.ncbi.nlm.nih.gov/books/NBK513297/335 </w:t>
      </w:r>
    </w:p>
    <w:p w:rsidR="005A3F38" w:rsidRDefault="003114B5">
      <w:pPr>
        <w:numPr>
          <w:ilvl w:val="0"/>
          <w:numId w:val="47"/>
        </w:numPr>
        <w:spacing w:after="0" w:line="362" w:lineRule="auto"/>
        <w:ind w:right="11" w:hanging="708"/>
      </w:pPr>
      <w:r>
        <w:rPr>
          <w:rFonts w:ascii="Times New Roman" w:eastAsia="Times New Roman" w:hAnsi="Times New Roman" w:cs="Times New Roman"/>
          <w:sz w:val="24"/>
        </w:rPr>
        <w:t xml:space="preserve">Kamin W, Seifert G, Zwiauer K, et al. Phytotherapy for acute respiratory tract infections in children: a systematically conducted, comprehensive review. Front Pediatr. 2025;13:1423250. </w:t>
      </w:r>
    </w:p>
    <w:p w:rsidR="005A3F38" w:rsidRDefault="003114B5">
      <w:pPr>
        <w:spacing w:after="152" w:line="249" w:lineRule="auto"/>
        <w:ind w:left="730" w:right="11" w:hanging="10"/>
      </w:pPr>
      <w:r>
        <w:rPr>
          <w:rFonts w:ascii="Times New Roman" w:eastAsia="Times New Roman" w:hAnsi="Times New Roman" w:cs="Times New Roman"/>
          <w:sz w:val="24"/>
        </w:rPr>
        <w:t>Published 2025 May 1. doi:10.</w:t>
      </w:r>
      <w:r>
        <w:rPr>
          <w:rFonts w:ascii="Times New Roman" w:eastAsia="Times New Roman" w:hAnsi="Times New Roman" w:cs="Times New Roman"/>
          <w:sz w:val="24"/>
        </w:rPr>
        <w:t xml:space="preserve">3389/fped.2025.1423250 </w:t>
      </w:r>
    </w:p>
    <w:p w:rsidR="005A3F38" w:rsidRDefault="003114B5">
      <w:pPr>
        <w:numPr>
          <w:ilvl w:val="0"/>
          <w:numId w:val="47"/>
        </w:numPr>
        <w:spacing w:after="0" w:line="364" w:lineRule="auto"/>
        <w:ind w:right="11" w:hanging="708"/>
      </w:pPr>
      <w:r>
        <w:rPr>
          <w:rFonts w:ascii="Times New Roman" w:eastAsia="Times New Roman" w:hAnsi="Times New Roman" w:cs="Times New Roman"/>
          <w:sz w:val="24"/>
        </w:rPr>
        <w:t xml:space="preserve">Anheyer D, Cramer H, Lauche R, Saha FJ, Dobos G. Herbal Medicine in Children With Respiratory Tract Infection: Systematic Review and Meta-Analysis. Acad Pediatr. 2018;18(1):8-19. </w:t>
      </w:r>
    </w:p>
    <w:p w:rsidR="005A3F38" w:rsidRDefault="003114B5">
      <w:pPr>
        <w:spacing w:after="155" w:line="249" w:lineRule="auto"/>
        <w:ind w:left="730" w:right="11" w:hanging="10"/>
      </w:pPr>
      <w:r>
        <w:rPr>
          <w:rFonts w:ascii="Times New Roman" w:eastAsia="Times New Roman" w:hAnsi="Times New Roman" w:cs="Times New Roman"/>
          <w:sz w:val="24"/>
        </w:rPr>
        <w:t xml:space="preserve">doi:10.1016/j.acap.2017.06.006 </w:t>
      </w:r>
    </w:p>
    <w:p w:rsidR="005A3F38" w:rsidRDefault="003114B5">
      <w:pPr>
        <w:numPr>
          <w:ilvl w:val="0"/>
          <w:numId w:val="47"/>
        </w:numPr>
        <w:spacing w:after="25" w:line="360" w:lineRule="auto"/>
        <w:ind w:right="11" w:hanging="708"/>
      </w:pPr>
      <w:r>
        <w:rPr>
          <w:rFonts w:ascii="Times New Roman" w:eastAsia="Times New Roman" w:hAnsi="Times New Roman" w:cs="Times New Roman"/>
          <w:sz w:val="24"/>
        </w:rPr>
        <w:t>Choi M, Lee SH, Chan</w:t>
      </w:r>
      <w:r>
        <w:rPr>
          <w:rFonts w:ascii="Times New Roman" w:eastAsia="Times New Roman" w:hAnsi="Times New Roman" w:cs="Times New Roman"/>
          <w:sz w:val="24"/>
        </w:rPr>
        <w:t xml:space="preserve">g GT. Herbal Medicine Treatment for Influenza: A Systematic Review and Meta-Analysis of Randomized Controlled Trials. Am J Chin Med. 2020;48(7):1553-1576. doi:10.1142/S0192415X20500779 </w:t>
      </w:r>
    </w:p>
    <w:p w:rsidR="005A3F38" w:rsidRDefault="003114B5">
      <w:pPr>
        <w:numPr>
          <w:ilvl w:val="0"/>
          <w:numId w:val="47"/>
        </w:numPr>
        <w:spacing w:after="0" w:line="364" w:lineRule="auto"/>
        <w:ind w:right="11" w:hanging="708"/>
      </w:pPr>
      <w:r>
        <w:rPr>
          <w:rFonts w:ascii="Times New Roman" w:eastAsia="Times New Roman" w:hAnsi="Times New Roman" w:cs="Times New Roman"/>
          <w:sz w:val="24"/>
        </w:rPr>
        <w:t>Wrotek A, Kobiałka M, Grochowski B, et al. Respiratory Complications i</w:t>
      </w:r>
      <w:r>
        <w:rPr>
          <w:rFonts w:ascii="Times New Roman" w:eastAsia="Times New Roman" w:hAnsi="Times New Roman" w:cs="Times New Roman"/>
          <w:sz w:val="24"/>
        </w:rPr>
        <w:t xml:space="preserve">n Children Hospitalized with Respiratory Syncytial Virus Infection. Adv Exp Med Biol. 2020;1279:113-120. </w:t>
      </w:r>
    </w:p>
    <w:p w:rsidR="005A3F38" w:rsidRDefault="003114B5">
      <w:pPr>
        <w:spacing w:after="155" w:line="249" w:lineRule="auto"/>
        <w:ind w:left="730" w:right="11" w:hanging="10"/>
      </w:pPr>
      <w:r>
        <w:rPr>
          <w:rFonts w:ascii="Times New Roman" w:eastAsia="Times New Roman" w:hAnsi="Times New Roman" w:cs="Times New Roman"/>
          <w:sz w:val="24"/>
        </w:rPr>
        <w:t xml:space="preserve">doi:10.1007/5584_2020_530 </w:t>
      </w:r>
    </w:p>
    <w:p w:rsidR="005A3F38" w:rsidRDefault="003114B5">
      <w:pPr>
        <w:numPr>
          <w:ilvl w:val="0"/>
          <w:numId w:val="47"/>
        </w:numPr>
        <w:spacing w:after="25" w:line="362" w:lineRule="auto"/>
        <w:ind w:right="11" w:hanging="708"/>
      </w:pPr>
      <w:r>
        <w:rPr>
          <w:rFonts w:ascii="Times New Roman" w:eastAsia="Times New Roman" w:hAnsi="Times New Roman" w:cs="Times New Roman"/>
          <w:sz w:val="24"/>
        </w:rPr>
        <w:t>Mistry RD, Fischer JB, Prasad PA, Coffin SE, Alpern ER. Severe complications in influenza-</w:t>
      </w:r>
      <w:r>
        <w:rPr>
          <w:rFonts w:ascii="Times New Roman" w:eastAsia="Times New Roman" w:hAnsi="Times New Roman" w:cs="Times New Roman"/>
          <w:sz w:val="24"/>
        </w:rPr>
        <w:t xml:space="preserve">like illnesses. Pediatrics. 2014;134(3):e684-e690. doi:10.1542/peds.2014-055 </w:t>
      </w:r>
    </w:p>
    <w:p w:rsidR="005A3F38" w:rsidRDefault="003114B5">
      <w:pPr>
        <w:numPr>
          <w:ilvl w:val="0"/>
          <w:numId w:val="47"/>
        </w:numPr>
        <w:spacing w:after="128" w:line="249" w:lineRule="auto"/>
        <w:ind w:right="11" w:hanging="708"/>
      </w:pPr>
      <w:r>
        <w:rPr>
          <w:rFonts w:ascii="Times New Roman" w:eastAsia="Times New Roman" w:hAnsi="Times New Roman" w:cs="Times New Roman"/>
          <w:sz w:val="24"/>
        </w:rPr>
        <w:t xml:space="preserve">Chonmaitree T, Trujillo R, Jennings K, et al. Acute Otitis Media and Other Complications of Viral </w:t>
      </w:r>
    </w:p>
    <w:p w:rsidR="005A3F38" w:rsidRDefault="003114B5">
      <w:pPr>
        <w:spacing w:after="155" w:line="249" w:lineRule="auto"/>
        <w:ind w:left="730" w:right="11" w:hanging="10"/>
      </w:pPr>
      <w:r>
        <w:rPr>
          <w:rFonts w:ascii="Times New Roman" w:eastAsia="Times New Roman" w:hAnsi="Times New Roman" w:cs="Times New Roman"/>
          <w:sz w:val="24"/>
        </w:rPr>
        <w:t>Respiratory Infection. Pediatrics. 2016;137(4):e20153555. doi:10.1542/peds.2015</w:t>
      </w:r>
      <w:r>
        <w:rPr>
          <w:rFonts w:ascii="Times New Roman" w:eastAsia="Times New Roman" w:hAnsi="Times New Roman" w:cs="Times New Roman"/>
          <w:sz w:val="24"/>
        </w:rPr>
        <w:t xml:space="preserve">-355 </w:t>
      </w:r>
    </w:p>
    <w:p w:rsidR="005A3F38" w:rsidRDefault="003114B5">
      <w:pPr>
        <w:numPr>
          <w:ilvl w:val="0"/>
          <w:numId w:val="47"/>
        </w:numPr>
        <w:spacing w:after="20" w:line="366" w:lineRule="auto"/>
        <w:ind w:right="11" w:hanging="708"/>
      </w:pPr>
      <w:r>
        <w:rPr>
          <w:rFonts w:ascii="Times New Roman" w:eastAsia="Times New Roman" w:hAnsi="Times New Roman" w:cs="Times New Roman"/>
          <w:sz w:val="24"/>
        </w:rPr>
        <w:t>Педиатрия: учебник : в 5 томах / под редакцией д-ра мед. Наук Д. Ю. Овсянникова. – Москва : РУДН, 2021– .ISBN 978-5-209-09652-8 Том 1 : Сердечно-</w:t>
      </w:r>
      <w:r>
        <w:rPr>
          <w:rFonts w:ascii="Times New Roman" w:eastAsia="Times New Roman" w:hAnsi="Times New Roman" w:cs="Times New Roman"/>
          <w:sz w:val="24"/>
        </w:rPr>
        <w:t xml:space="preserve">легочная реанимация, неонатология, лихорадка и основы антибиотикотерапии / Д. Ю. Овсянников, И. В. Кршеминская, М. А. </w:t>
      </w:r>
    </w:p>
    <w:p w:rsidR="005A3F38" w:rsidRDefault="003114B5">
      <w:pPr>
        <w:spacing w:after="142"/>
        <w:ind w:left="730" w:right="2" w:hanging="10"/>
        <w:jc w:val="both"/>
      </w:pPr>
      <w:r>
        <w:rPr>
          <w:rFonts w:ascii="Times New Roman" w:eastAsia="Times New Roman" w:hAnsi="Times New Roman" w:cs="Times New Roman"/>
          <w:sz w:val="24"/>
        </w:rPr>
        <w:t xml:space="preserve">Абрамян [и др.]. – 2021. – 477 с. : ил. ISBN 978-5-209-10187-1 </w:t>
      </w:r>
    </w:p>
    <w:p w:rsidR="005A3F38" w:rsidRDefault="003114B5">
      <w:pPr>
        <w:numPr>
          <w:ilvl w:val="0"/>
          <w:numId w:val="47"/>
        </w:numPr>
        <w:spacing w:after="21" w:line="364" w:lineRule="auto"/>
        <w:ind w:right="11" w:hanging="708"/>
      </w:pPr>
      <w:r>
        <w:rPr>
          <w:rFonts w:ascii="Times New Roman" w:eastAsia="Times New Roman" w:hAnsi="Times New Roman" w:cs="Times New Roman"/>
          <w:sz w:val="24"/>
        </w:rPr>
        <w:t>Thim T. et al. Initial assessment and treatment with the Airway, Breathin</w:t>
      </w:r>
      <w:r>
        <w:rPr>
          <w:rFonts w:ascii="Times New Roman" w:eastAsia="Times New Roman" w:hAnsi="Times New Roman" w:cs="Times New Roman"/>
          <w:sz w:val="24"/>
        </w:rPr>
        <w:t xml:space="preserve">g, Circulation, Disability, Exposure (ABCDE) approach //International journal of general medicine. – 2012. – С. 117-121. </w:t>
      </w:r>
    </w:p>
    <w:p w:rsidR="005A3F38" w:rsidRDefault="003114B5">
      <w:pPr>
        <w:numPr>
          <w:ilvl w:val="0"/>
          <w:numId w:val="47"/>
        </w:numPr>
        <w:spacing w:after="128" w:line="364" w:lineRule="auto"/>
        <w:ind w:right="11" w:hanging="708"/>
      </w:pPr>
      <w:r>
        <w:rPr>
          <w:rFonts w:ascii="Times New Roman" w:eastAsia="Times New Roman" w:hAnsi="Times New Roman" w:cs="Times New Roman"/>
          <w:sz w:val="24"/>
        </w:rPr>
        <w:t>Chen C., Crowley R. Improving assessment of children with suspected respiratory tract infection in general practice //BMJ Open Quality</w:t>
      </w:r>
      <w:r>
        <w:rPr>
          <w:rFonts w:ascii="Times New Roman" w:eastAsia="Times New Roman" w:hAnsi="Times New Roman" w:cs="Times New Roman"/>
          <w:sz w:val="24"/>
        </w:rPr>
        <w:t xml:space="preserve">. – 2019. – Т. 8. – №. 2 </w:t>
      </w:r>
    </w:p>
    <w:p w:rsidR="005A3F38" w:rsidRDefault="003114B5">
      <w:pPr>
        <w:numPr>
          <w:ilvl w:val="0"/>
          <w:numId w:val="47"/>
        </w:numPr>
        <w:spacing w:after="20" w:line="366" w:lineRule="auto"/>
        <w:ind w:right="11" w:hanging="708"/>
      </w:pPr>
      <w:r>
        <w:rPr>
          <w:rFonts w:ascii="Times New Roman" w:eastAsia="Times New Roman" w:hAnsi="Times New Roman" w:cs="Times New Roman"/>
          <w:sz w:val="24"/>
        </w:rPr>
        <w:t xml:space="preserve">Методика применения шкалы PEWS при оказании стационарной помощи детям’ составители: О.Н. Солодовникова, А.Ю. Дягилева, А.А. Еровиченков [и др.]. —М.: ГБУЗ «МIV1КЦ «Коммунарка» дЭМ», 2023.— 23 с. </w:t>
      </w:r>
    </w:p>
    <w:p w:rsidR="005A3F38" w:rsidRDefault="003114B5">
      <w:pPr>
        <w:numPr>
          <w:ilvl w:val="0"/>
          <w:numId w:val="47"/>
        </w:numPr>
        <w:spacing w:after="25" w:line="360" w:lineRule="auto"/>
        <w:ind w:right="11" w:hanging="708"/>
      </w:pPr>
      <w:r>
        <w:rPr>
          <w:rFonts w:ascii="Times New Roman" w:eastAsia="Times New Roman" w:hAnsi="Times New Roman" w:cs="Times New Roman"/>
          <w:sz w:val="24"/>
        </w:rPr>
        <w:t>Zuhair M.N., Wiriansya E.P., Masyh</w:t>
      </w:r>
      <w:r>
        <w:rPr>
          <w:rFonts w:ascii="Times New Roman" w:eastAsia="Times New Roman" w:hAnsi="Times New Roman" w:cs="Times New Roman"/>
          <w:sz w:val="24"/>
        </w:rPr>
        <w:t xml:space="preserve">uri I., Fakhri M., Hatta M., Djaharuddin I., et al. Role of Lacticaseibacillus rhamnosus GG in the Management of Respiratory Diseases: A Systematic Review and Meta-Analysis. Prev Nutr Food Sci. 2025;30(3):222-229. DOI: 10.3746/pnf.2025.30.3.222. </w:t>
      </w:r>
    </w:p>
    <w:p w:rsidR="005A3F38" w:rsidRDefault="003114B5">
      <w:pPr>
        <w:numPr>
          <w:ilvl w:val="0"/>
          <w:numId w:val="47"/>
        </w:numPr>
        <w:spacing w:after="21" w:line="364" w:lineRule="auto"/>
        <w:ind w:right="11" w:hanging="708"/>
      </w:pPr>
      <w:r>
        <w:rPr>
          <w:rFonts w:ascii="Times New Roman" w:eastAsia="Times New Roman" w:hAnsi="Times New Roman" w:cs="Times New Roman"/>
          <w:sz w:val="24"/>
        </w:rPr>
        <w:t>Capurso L</w:t>
      </w:r>
      <w:r>
        <w:rPr>
          <w:rFonts w:ascii="Times New Roman" w:eastAsia="Times New Roman" w:hAnsi="Times New Roman" w:cs="Times New Roman"/>
          <w:sz w:val="24"/>
        </w:rPr>
        <w:t xml:space="preserve">. Thirty Years of Lactobacillus rhamnosus GG: A Review. J Clin Gastroenterol. 2019 Mar;53 Suppl 1:S1-S41. doi: 10.1097/MCG.0000000000001170. </w:t>
      </w:r>
    </w:p>
    <w:p w:rsidR="005A3F38" w:rsidRDefault="003114B5">
      <w:pPr>
        <w:numPr>
          <w:ilvl w:val="0"/>
          <w:numId w:val="47"/>
        </w:numPr>
        <w:spacing w:after="0" w:line="364" w:lineRule="auto"/>
        <w:ind w:right="11" w:hanging="708"/>
      </w:pPr>
      <w:r>
        <w:rPr>
          <w:rFonts w:ascii="Times New Roman" w:eastAsia="Times New Roman" w:hAnsi="Times New Roman" w:cs="Times New Roman"/>
          <w:sz w:val="24"/>
        </w:rPr>
        <w:t xml:space="preserve">Sniffen JC, McFarland LV, Evans CT, Goldstein EJC. Choosing an appropriate probiotic product for your patient: An evidence-based practical guide. PLoS One. 2018 Dec 26;13(12):e0209205. doi: </w:t>
      </w:r>
    </w:p>
    <w:p w:rsidR="005A3F38" w:rsidRDefault="003114B5">
      <w:pPr>
        <w:spacing w:after="155" w:line="249" w:lineRule="auto"/>
        <w:ind w:left="730" w:right="11" w:hanging="10"/>
      </w:pPr>
      <w:r>
        <w:rPr>
          <w:rFonts w:ascii="Times New Roman" w:eastAsia="Times New Roman" w:hAnsi="Times New Roman" w:cs="Times New Roman"/>
          <w:sz w:val="24"/>
        </w:rPr>
        <w:t xml:space="preserve">10.1371/journal.pone.0209205. </w:t>
      </w:r>
    </w:p>
    <w:p w:rsidR="005A3F38" w:rsidRDefault="003114B5">
      <w:pPr>
        <w:numPr>
          <w:ilvl w:val="0"/>
          <w:numId w:val="47"/>
        </w:numPr>
        <w:spacing w:after="128" w:line="249" w:lineRule="auto"/>
        <w:ind w:right="11" w:hanging="708"/>
      </w:pPr>
      <w:r>
        <w:rPr>
          <w:rFonts w:ascii="Times New Roman" w:eastAsia="Times New Roman" w:hAnsi="Times New Roman" w:cs="Times New Roman"/>
          <w:sz w:val="24"/>
        </w:rPr>
        <w:t>Bertuccioli A, Cardinali M, Micucc</w:t>
      </w:r>
      <w:r>
        <w:rPr>
          <w:rFonts w:ascii="Times New Roman" w:eastAsia="Times New Roman" w:hAnsi="Times New Roman" w:cs="Times New Roman"/>
          <w:sz w:val="24"/>
        </w:rPr>
        <w:t xml:space="preserve">i M, Rocchi MBL, Palazzi CM, Zonzini GB, Annibalini G, Belli </w:t>
      </w:r>
    </w:p>
    <w:p w:rsidR="005A3F38" w:rsidRDefault="003114B5">
      <w:pPr>
        <w:spacing w:after="128" w:line="249" w:lineRule="auto"/>
        <w:ind w:left="730" w:right="11" w:hanging="10"/>
      </w:pPr>
      <w:r>
        <w:rPr>
          <w:rFonts w:ascii="Times New Roman" w:eastAsia="Times New Roman" w:hAnsi="Times New Roman" w:cs="Times New Roman"/>
          <w:sz w:val="24"/>
        </w:rPr>
        <w:t xml:space="preserve">A, Sisti D. Efficacy of Streptococcus salivarius Blis K12 in the Prevention of Upper Respiratory Tract </w:t>
      </w:r>
    </w:p>
    <w:p w:rsidR="005A3F38" w:rsidRDefault="003114B5">
      <w:pPr>
        <w:spacing w:after="32" w:line="356" w:lineRule="auto"/>
        <w:ind w:left="730" w:right="11" w:hanging="10"/>
      </w:pPr>
      <w:r>
        <w:rPr>
          <w:rFonts w:ascii="Times New Roman" w:eastAsia="Times New Roman" w:hAnsi="Times New Roman" w:cs="Times New Roman"/>
          <w:sz w:val="24"/>
        </w:rPr>
        <w:t>Infections in Physically Active Individuals: A Randomized Controlled Trial. Microorganisms</w:t>
      </w:r>
      <w:r>
        <w:rPr>
          <w:rFonts w:ascii="Times New Roman" w:eastAsia="Times New Roman" w:hAnsi="Times New Roman" w:cs="Times New Roman"/>
          <w:sz w:val="24"/>
        </w:rPr>
        <w:t xml:space="preserve">. 2024 Oct 26;12(11):2164. doi: 10.3390/microorganisms12112164. </w:t>
      </w:r>
    </w:p>
    <w:p w:rsidR="005A3F38" w:rsidRDefault="003114B5">
      <w:pPr>
        <w:numPr>
          <w:ilvl w:val="0"/>
          <w:numId w:val="47"/>
        </w:numPr>
        <w:spacing w:after="0" w:line="362" w:lineRule="auto"/>
        <w:ind w:right="11" w:hanging="708"/>
      </w:pPr>
      <w:r>
        <w:rPr>
          <w:rFonts w:ascii="Times New Roman" w:eastAsia="Times New Roman" w:hAnsi="Times New Roman" w:cs="Times New Roman"/>
          <w:sz w:val="24"/>
        </w:rPr>
        <w:t>Di Pierro F, Colombo M, Zanvit A, Risso P, Rottoli AS. Use of Streptococcus salivarius K12 in the prevention of streptococcal and viral pharyngotonsillitis in children. Drug Healthc Patient S</w:t>
      </w:r>
      <w:r>
        <w:rPr>
          <w:rFonts w:ascii="Times New Roman" w:eastAsia="Times New Roman" w:hAnsi="Times New Roman" w:cs="Times New Roman"/>
          <w:sz w:val="24"/>
        </w:rPr>
        <w:t xml:space="preserve">af. 2014 </w:t>
      </w:r>
    </w:p>
    <w:p w:rsidR="005A3F38" w:rsidRDefault="003114B5">
      <w:pPr>
        <w:spacing w:after="152" w:line="249" w:lineRule="auto"/>
        <w:ind w:left="730" w:right="11" w:hanging="10"/>
      </w:pPr>
      <w:r>
        <w:rPr>
          <w:rFonts w:ascii="Times New Roman" w:eastAsia="Times New Roman" w:hAnsi="Times New Roman" w:cs="Times New Roman"/>
          <w:sz w:val="24"/>
        </w:rPr>
        <w:t xml:space="preserve">Feb 13;6:15-20. doi: 10.2147/DHPS.S59665 </w:t>
      </w:r>
    </w:p>
    <w:p w:rsidR="005A3F38" w:rsidRDefault="003114B5">
      <w:pPr>
        <w:numPr>
          <w:ilvl w:val="0"/>
          <w:numId w:val="47"/>
        </w:numPr>
        <w:spacing w:after="5" w:line="364" w:lineRule="auto"/>
        <w:ind w:right="11" w:hanging="708"/>
      </w:pPr>
      <w:r>
        <w:rPr>
          <w:rFonts w:ascii="Times New Roman" w:eastAsia="Times New Roman" w:hAnsi="Times New Roman" w:cs="Times New Roman"/>
          <w:sz w:val="24"/>
        </w:rPr>
        <w:t xml:space="preserve">Андреев В.А., Стецюк О.У., Андреева И.В. Пробиотики: нерешенные вопросы. Клиническая микробиология и антимикробная химиотерапия. 2022; 24(4):345-360. </w:t>
      </w:r>
    </w:p>
    <w:p w:rsidR="005A3F38" w:rsidRDefault="003114B5">
      <w:pPr>
        <w:numPr>
          <w:ilvl w:val="0"/>
          <w:numId w:val="47"/>
        </w:numPr>
        <w:spacing w:after="5" w:line="364" w:lineRule="auto"/>
        <w:ind w:right="11" w:hanging="708"/>
      </w:pPr>
      <w:r>
        <w:rPr>
          <w:rFonts w:ascii="Times New Roman" w:eastAsia="Times New Roman" w:hAnsi="Times New Roman" w:cs="Times New Roman"/>
          <w:sz w:val="24"/>
        </w:rPr>
        <w:t>Андреева И.В., Бельмер С.В., Довгань Е.В., Новикова В</w:t>
      </w:r>
      <w:r>
        <w:rPr>
          <w:rFonts w:ascii="Times New Roman" w:eastAsia="Times New Roman" w:hAnsi="Times New Roman" w:cs="Times New Roman"/>
          <w:sz w:val="24"/>
        </w:rPr>
        <w:t xml:space="preserve">.П., Селимзянова Л.Р., Стецюк О.У., Сурков А.Н. Правила выбора оптимального пробиотика: инструкция для клиницистов. </w:t>
      </w:r>
    </w:p>
    <w:p w:rsidR="005A3F38" w:rsidRDefault="003114B5">
      <w:pPr>
        <w:spacing w:after="144"/>
        <w:ind w:left="730" w:right="2" w:hanging="10"/>
        <w:jc w:val="both"/>
      </w:pPr>
      <w:r>
        <w:rPr>
          <w:rFonts w:ascii="Times New Roman" w:eastAsia="Times New Roman" w:hAnsi="Times New Roman" w:cs="Times New Roman"/>
          <w:sz w:val="24"/>
        </w:rPr>
        <w:t xml:space="preserve">Клиническая микробиология и антимикробная химиотерапия. 2025; 27(2):3-10. </w:t>
      </w:r>
    </w:p>
    <w:p w:rsidR="005A3F38" w:rsidRDefault="003114B5">
      <w:pPr>
        <w:numPr>
          <w:ilvl w:val="0"/>
          <w:numId w:val="47"/>
        </w:numPr>
        <w:spacing w:after="0" w:line="362" w:lineRule="auto"/>
        <w:ind w:right="11" w:hanging="708"/>
      </w:pPr>
      <w:r>
        <w:rPr>
          <w:rFonts w:ascii="Times New Roman" w:eastAsia="Times New Roman" w:hAnsi="Times New Roman" w:cs="Times New Roman"/>
          <w:sz w:val="24"/>
        </w:rPr>
        <w:t xml:space="preserve">Huang HS, Tsai CL, Chang J, Hsu TC, Lin S, Lee CC. Multiplex PCR system for the rapid diagnosis of respiratory virus infection: systematic review and meta-analysis. Clin Microbiol Infect. </w:t>
      </w:r>
    </w:p>
    <w:p w:rsidR="005A3F38" w:rsidRDefault="003114B5">
      <w:pPr>
        <w:spacing w:after="128" w:line="249" w:lineRule="auto"/>
        <w:ind w:left="730" w:right="11" w:hanging="10"/>
      </w:pPr>
      <w:r>
        <w:rPr>
          <w:rFonts w:ascii="Times New Roman" w:eastAsia="Times New Roman" w:hAnsi="Times New Roman" w:cs="Times New Roman"/>
          <w:sz w:val="24"/>
        </w:rPr>
        <w:t>2018 Oct;24(10):1055-1063. doi: 10.1016/j.cmi.2017.11.018. Epub 201</w:t>
      </w:r>
      <w:r>
        <w:rPr>
          <w:rFonts w:ascii="Times New Roman" w:eastAsia="Times New Roman" w:hAnsi="Times New Roman" w:cs="Times New Roman"/>
          <w:sz w:val="24"/>
        </w:rPr>
        <w:t xml:space="preserve">7 Dec 5. PMID: 29208560; </w:t>
      </w:r>
    </w:p>
    <w:p w:rsidR="005A3F38" w:rsidRDefault="003114B5">
      <w:pPr>
        <w:spacing w:after="180" w:line="249" w:lineRule="auto"/>
        <w:ind w:left="730" w:right="11" w:hanging="10"/>
      </w:pPr>
      <w:r>
        <w:rPr>
          <w:rFonts w:ascii="Times New Roman" w:eastAsia="Times New Roman" w:hAnsi="Times New Roman" w:cs="Times New Roman"/>
          <w:sz w:val="24"/>
        </w:rPr>
        <w:t xml:space="preserve">PMCID: PMC7128951 </w:t>
      </w:r>
    </w:p>
    <w:p w:rsidR="005A3F38" w:rsidRDefault="003114B5">
      <w:pPr>
        <w:spacing w:after="0"/>
        <w:ind w:left="360"/>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r>
      <w:r>
        <w:rPr>
          <w:rFonts w:ascii="Times New Roman" w:eastAsia="Times New Roman" w:hAnsi="Times New Roman" w:cs="Times New Roman"/>
          <w:b/>
          <w:sz w:val="28"/>
        </w:rPr>
        <w:t xml:space="preserve"> </w:t>
      </w:r>
    </w:p>
    <w:p w:rsidR="005A3F38" w:rsidRDefault="003114B5">
      <w:pPr>
        <w:pStyle w:val="Heading1"/>
        <w:spacing w:after="51"/>
        <w:ind w:left="370"/>
      </w:pPr>
      <w:bookmarkStart w:id="40" w:name="_Toc141913"/>
      <w:r>
        <w:t>Приложение</w:t>
      </w:r>
      <w:r>
        <w:t xml:space="preserve"> </w:t>
      </w:r>
      <w:r>
        <w:t>А</w:t>
      </w:r>
      <w:r>
        <w:t xml:space="preserve">1. </w:t>
      </w:r>
      <w:r>
        <w:t>Состав рабочей группы по разработке и пересмотру клинических рекомендаций</w:t>
      </w:r>
      <w:r>
        <w:t xml:space="preserve"> </w:t>
      </w:r>
      <w:bookmarkEnd w:id="40"/>
    </w:p>
    <w:p w:rsidR="005A3F38" w:rsidRDefault="003114B5">
      <w:pPr>
        <w:spacing w:after="20" w:line="366" w:lineRule="auto"/>
        <w:ind w:left="345" w:firstLine="708"/>
      </w:pPr>
      <w:r>
        <w:rPr>
          <w:rFonts w:ascii="Times New Roman" w:eastAsia="Times New Roman" w:hAnsi="Times New Roman" w:cs="Times New Roman"/>
          <w:b/>
          <w:sz w:val="24"/>
        </w:rPr>
        <w:t>Багненко С.Ф.-</w:t>
      </w:r>
      <w:r>
        <w:rPr>
          <w:rFonts w:ascii="Times New Roman" w:eastAsia="Times New Roman" w:hAnsi="Times New Roman" w:cs="Times New Roman"/>
          <w:sz w:val="24"/>
        </w:rPr>
        <w:t xml:space="preserve"> акад. РАН, профессор, д.м.н., председатель правления Российского общества скорой медицинской помощи, Г</w:t>
      </w:r>
      <w:r>
        <w:rPr>
          <w:rFonts w:ascii="Times New Roman" w:eastAsia="Times New Roman" w:hAnsi="Times New Roman" w:cs="Times New Roman"/>
          <w:sz w:val="24"/>
        </w:rPr>
        <w:t xml:space="preserve">лавный внештатный специалист Министерства Здравоохранения РФ по скорой медицинской помощи </w:t>
      </w:r>
    </w:p>
    <w:p w:rsidR="005A3F38" w:rsidRDefault="003114B5">
      <w:pPr>
        <w:spacing w:after="5" w:line="364" w:lineRule="auto"/>
        <w:ind w:left="345" w:right="2" w:firstLine="708"/>
        <w:jc w:val="both"/>
      </w:pPr>
      <w:r>
        <w:rPr>
          <w:rFonts w:ascii="Times New Roman" w:eastAsia="Times New Roman" w:hAnsi="Times New Roman" w:cs="Times New Roman"/>
          <w:b/>
          <w:sz w:val="24"/>
        </w:rPr>
        <w:t>Баранов А.А.</w:t>
      </w:r>
      <w:r>
        <w:rPr>
          <w:rFonts w:ascii="Times New Roman" w:eastAsia="Times New Roman" w:hAnsi="Times New Roman" w:cs="Times New Roman"/>
          <w:sz w:val="24"/>
        </w:rPr>
        <w:t xml:space="preserve">  - акад. РАН, профессор, д.м.н., почетный президент Союза педиатров России, советник руководителя НИИ педиатрии и охраны здоровья детей НКЦ №2 ФГБНУ «РН</w:t>
      </w:r>
      <w:r>
        <w:rPr>
          <w:rFonts w:ascii="Times New Roman" w:eastAsia="Times New Roman" w:hAnsi="Times New Roman" w:cs="Times New Roman"/>
          <w:sz w:val="24"/>
        </w:rPr>
        <w:t xml:space="preserve">ЦХ им. акад. Б.В.Петровского», профессор кафедры педиатрии и детской ревматологии ФГАОУ «Первый МГМУ им. И.М. Сеченова» Минздрава России (Сеченовский Университет), главный внештатный специалист педиатр Минздрава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Алексеева А.А. – </w:t>
      </w:r>
      <w:r>
        <w:rPr>
          <w:rFonts w:ascii="Times New Roman" w:eastAsia="Times New Roman" w:hAnsi="Times New Roman" w:cs="Times New Roman"/>
          <w:sz w:val="24"/>
        </w:rPr>
        <w:t>к.м.н., заместитель</w:t>
      </w:r>
      <w:r>
        <w:rPr>
          <w:rFonts w:ascii="Times New Roman" w:eastAsia="Times New Roman" w:hAnsi="Times New Roman" w:cs="Times New Roman"/>
          <w:sz w:val="24"/>
        </w:rPr>
        <w:t xml:space="preserve"> руководителя КДЦ для детей-врач-педиатр, заведующая многопрофильным педиатрическим дневным стационаром-врач-аллерголог-иммунолог, в.н.с. отдела клинической иммунологии и аллергологии НИИ педиатрии и охраны здоровья детей НКЦ №2 ФГБНУ «РНЦХ им. акад. Б.В.П</w:t>
      </w:r>
      <w:r>
        <w:rPr>
          <w:rFonts w:ascii="Times New Roman" w:eastAsia="Times New Roman" w:hAnsi="Times New Roman" w:cs="Times New Roman"/>
          <w:sz w:val="24"/>
        </w:rPr>
        <w:t>етровского», член Союза педиатров России</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Андреева И.В. -</w:t>
      </w:r>
      <w:r>
        <w:rPr>
          <w:rFonts w:ascii="Times New Roman" w:eastAsia="Times New Roman" w:hAnsi="Times New Roman" w:cs="Times New Roman"/>
          <w:sz w:val="24"/>
        </w:rPr>
        <w:t xml:space="preserve"> ст.н.с., доцент, НИИ антимикробной химиотерапии ФГБОУ ВО СГМУ Минздрава России, член МАКМАХ </w:t>
      </w:r>
    </w:p>
    <w:p w:rsidR="005A3F38" w:rsidRDefault="003114B5">
      <w:pPr>
        <w:spacing w:after="5" w:line="364" w:lineRule="auto"/>
        <w:ind w:left="345" w:right="2" w:firstLine="708"/>
        <w:jc w:val="both"/>
      </w:pPr>
      <w:r>
        <w:rPr>
          <w:rFonts w:ascii="Times New Roman" w:eastAsia="Times New Roman" w:hAnsi="Times New Roman" w:cs="Times New Roman"/>
          <w:b/>
          <w:sz w:val="24"/>
        </w:rPr>
        <w:t>Анджель А.Е. -</w:t>
      </w:r>
      <w:r>
        <w:rPr>
          <w:rFonts w:ascii="Times New Roman" w:eastAsia="Times New Roman" w:hAnsi="Times New Roman" w:cs="Times New Roman"/>
          <w:sz w:val="24"/>
        </w:rPr>
        <w:t xml:space="preserve"> заместитель главного врача по медицинской части ГБУЗ «Морозовская ДГКБ ДЗМ», член Союза пе</w:t>
      </w:r>
      <w:r>
        <w:rPr>
          <w:rFonts w:ascii="Times New Roman" w:eastAsia="Times New Roman" w:hAnsi="Times New Roman" w:cs="Times New Roman"/>
          <w:sz w:val="24"/>
        </w:rPr>
        <w:t xml:space="preserve">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Бакрадзе М.Д. - </w:t>
      </w:r>
      <w:r>
        <w:rPr>
          <w:rFonts w:ascii="Times New Roman" w:eastAsia="Times New Roman" w:hAnsi="Times New Roman" w:cs="Times New Roman"/>
          <w:sz w:val="24"/>
        </w:rPr>
        <w:t xml:space="preserve">д.м.н., главный научный сотрудник ФГАУ «НМИЦ здоровья детей» Минздрава России, зав. кафедрой детских болезней ФУВ ГБУЗ МО МОНИКИ им. М.Ф. Владимирского,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Булгакова В.А. -</w:t>
      </w:r>
      <w:r>
        <w:rPr>
          <w:rFonts w:ascii="Times New Roman" w:eastAsia="Times New Roman" w:hAnsi="Times New Roman" w:cs="Times New Roman"/>
          <w:sz w:val="24"/>
        </w:rPr>
        <w:t xml:space="preserve"> д.м.н., профессор кафедр</w:t>
      </w:r>
      <w:r>
        <w:rPr>
          <w:rFonts w:ascii="Times New Roman" w:eastAsia="Times New Roman" w:hAnsi="Times New Roman" w:cs="Times New Roman"/>
          <w:sz w:val="24"/>
        </w:rPr>
        <w:t>ы факультетской педиатрии Института материнства и детства ФГАОУ ВО «РНИМУ им. Н.И. Пирогова» (Пироговский Университет) Минздрава России, заведующая отделом научно-информационного развития НИИ педиатрии и охраны здоровья детей НКЦ №2 ФГБНУ «РНЦХ им. акад. Б</w:t>
      </w:r>
      <w:r>
        <w:rPr>
          <w:rFonts w:ascii="Times New Roman" w:eastAsia="Times New Roman" w:hAnsi="Times New Roman" w:cs="Times New Roman"/>
          <w:sz w:val="24"/>
        </w:rPr>
        <w:t xml:space="preserve">.В.Петровского», член Союза педиатров России, Москва </w:t>
      </w:r>
    </w:p>
    <w:p w:rsidR="005A3F38" w:rsidRDefault="003114B5">
      <w:pPr>
        <w:spacing w:after="5" w:line="364" w:lineRule="auto"/>
        <w:ind w:left="345" w:right="2" w:firstLine="708"/>
        <w:jc w:val="both"/>
      </w:pPr>
      <w:r>
        <w:rPr>
          <w:rFonts w:ascii="Times New Roman" w:eastAsia="Times New Roman" w:hAnsi="Times New Roman" w:cs="Times New Roman"/>
          <w:b/>
          <w:sz w:val="24"/>
        </w:rPr>
        <w:t>Бурыкина В.В.</w:t>
      </w:r>
      <w:r>
        <w:rPr>
          <w:rFonts w:ascii="Times New Roman" w:eastAsia="Times New Roman" w:hAnsi="Times New Roman" w:cs="Times New Roman"/>
          <w:sz w:val="24"/>
        </w:rPr>
        <w:t xml:space="preserve"> - врач СМП, ассистент кафедры СМП и хирургии повреждений ФГБОУ ВО ПСПб ГМУ им.И.П.Павлова Минздрава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Вишнева Е.А. - </w:t>
      </w:r>
      <w:r>
        <w:rPr>
          <w:rFonts w:ascii="Times New Roman" w:eastAsia="Times New Roman" w:hAnsi="Times New Roman" w:cs="Times New Roman"/>
          <w:sz w:val="24"/>
        </w:rPr>
        <w:t>д.м.н., профессор РАН, главный внештатный детский специалист аллергологиммунолог Департамента здравоохранения г. Москвы; заместитель директора по научноклинической работе Московский многопрофильный клинический центр «Коммунарка»; врачаллерголог-иммунолог Г</w:t>
      </w:r>
      <w:r>
        <w:rPr>
          <w:rFonts w:ascii="Times New Roman" w:eastAsia="Times New Roman" w:hAnsi="Times New Roman" w:cs="Times New Roman"/>
          <w:sz w:val="24"/>
        </w:rPr>
        <w:t xml:space="preserve">БУЗ «ММКЦ «Коммунарка» ДЗМ; профессор кафедры факультетской педиатрии ИМД ФГАОУ ВО «РНИМУ им. Н.И. Пирогова» Минздрава России (Пироговский Университет), член Союза педиатров России, член Российской ассоциации аллергологов и клинических иммунологов. </w:t>
      </w:r>
    </w:p>
    <w:p w:rsidR="005A3F38" w:rsidRDefault="003114B5">
      <w:pPr>
        <w:spacing w:after="117"/>
        <w:ind w:left="10" w:right="-1" w:hanging="10"/>
        <w:jc w:val="right"/>
      </w:pPr>
      <w:r>
        <w:rPr>
          <w:rFonts w:ascii="Times New Roman" w:eastAsia="Times New Roman" w:hAnsi="Times New Roman" w:cs="Times New Roman"/>
          <w:b/>
          <w:sz w:val="24"/>
        </w:rPr>
        <w:t xml:space="preserve">Власова А.В., – </w:t>
      </w:r>
      <w:r>
        <w:rPr>
          <w:rFonts w:ascii="Times New Roman" w:eastAsia="Times New Roman" w:hAnsi="Times New Roman" w:cs="Times New Roman"/>
          <w:sz w:val="24"/>
        </w:rPr>
        <w:t xml:space="preserve">д.м.н., зав. отделом клинической фармакологии ГБУЗ "Морозовская ДГКБ </w:t>
      </w:r>
    </w:p>
    <w:p w:rsidR="005A3F38" w:rsidRDefault="003114B5">
      <w:pPr>
        <w:spacing w:after="5" w:line="364" w:lineRule="auto"/>
        <w:ind w:left="355" w:right="2" w:hanging="10"/>
        <w:jc w:val="both"/>
      </w:pPr>
      <w:r>
        <w:rPr>
          <w:rFonts w:ascii="Times New Roman" w:eastAsia="Times New Roman" w:hAnsi="Times New Roman" w:cs="Times New Roman"/>
          <w:sz w:val="24"/>
        </w:rPr>
        <w:t xml:space="preserve">ДЗМ", доцент кафедры клинической фармакологии и терапии имени академика Б.Е. Вотчала РМАНПО </w:t>
      </w:r>
    </w:p>
    <w:p w:rsidR="005A3F38" w:rsidRDefault="003114B5">
      <w:pPr>
        <w:spacing w:after="5" w:line="364" w:lineRule="auto"/>
        <w:ind w:left="345" w:right="2" w:firstLine="708"/>
        <w:jc w:val="both"/>
      </w:pPr>
      <w:r>
        <w:rPr>
          <w:rFonts w:ascii="Times New Roman" w:eastAsia="Times New Roman" w:hAnsi="Times New Roman" w:cs="Times New Roman"/>
          <w:b/>
          <w:sz w:val="24"/>
        </w:rPr>
        <w:t>Гордева О.Б.</w:t>
      </w:r>
      <w:r>
        <w:rPr>
          <w:rFonts w:ascii="Times New Roman" w:eastAsia="Times New Roman" w:hAnsi="Times New Roman" w:cs="Times New Roman"/>
          <w:sz w:val="24"/>
        </w:rPr>
        <w:t xml:space="preserve"> – к.м.н., зав. отделом научных основ гемостаза НИИ педиатрии и о</w:t>
      </w:r>
      <w:r>
        <w:rPr>
          <w:rFonts w:ascii="Times New Roman" w:eastAsia="Times New Roman" w:hAnsi="Times New Roman" w:cs="Times New Roman"/>
          <w:sz w:val="24"/>
        </w:rPr>
        <w:t>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Пирогова» (Пироговский Университет) Минздрава России, член Союза педиатров России</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Ермоленко</w:t>
      </w:r>
      <w:r>
        <w:rPr>
          <w:rFonts w:ascii="Times New Roman" w:eastAsia="Times New Roman" w:hAnsi="Times New Roman" w:cs="Times New Roman"/>
          <w:b/>
          <w:sz w:val="24"/>
        </w:rPr>
        <w:t xml:space="preserve"> К.Д. - </w:t>
      </w:r>
      <w:r>
        <w:rPr>
          <w:rFonts w:ascii="Times New Roman" w:eastAsia="Times New Roman" w:hAnsi="Times New Roman" w:cs="Times New Roman"/>
          <w:sz w:val="24"/>
        </w:rPr>
        <w:t>д.м.н., заместитель генерального директора по научной и образовательной деятельности ФГБУ ФНКЦИБ ФМБА России</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Иванов А.А. - </w:t>
      </w:r>
      <w:r>
        <w:rPr>
          <w:rFonts w:ascii="Times New Roman" w:eastAsia="Times New Roman" w:hAnsi="Times New Roman" w:cs="Times New Roman"/>
          <w:sz w:val="24"/>
        </w:rPr>
        <w:t>эксперт-аналитик управления по реализации функций НМИЦ по педиатрии ФГАОУ ВО «РНИМУ им. Н.И. Пирогова» Минздрава России (Пир</w:t>
      </w:r>
      <w:r>
        <w:rPr>
          <w:rFonts w:ascii="Times New Roman" w:eastAsia="Times New Roman" w:hAnsi="Times New Roman" w:cs="Times New Roman"/>
          <w:sz w:val="24"/>
        </w:rPr>
        <w:t>оговский Университет), член Союза педиатров России</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Ивардава М.И</w:t>
      </w:r>
      <w:r>
        <w:rPr>
          <w:rFonts w:ascii="Times New Roman" w:eastAsia="Times New Roman" w:hAnsi="Times New Roman" w:cs="Times New Roman"/>
          <w:sz w:val="24"/>
        </w:rPr>
        <w:t>. - к.м.н., заведующий отделением общей педиатрии, врач-педиатр, заведующая отделом разработки научных подходов к ведению детей с двигательными нарушениями НИИ педиатрии и охраны здоровья дете</w:t>
      </w:r>
      <w:r>
        <w:rPr>
          <w:rFonts w:ascii="Times New Roman" w:eastAsia="Times New Roman" w:hAnsi="Times New Roman" w:cs="Times New Roman"/>
          <w:sz w:val="24"/>
        </w:rPr>
        <w:t xml:space="preserve">й НКЦ №2 ФГБНУ «РНЦХ им. акад. Б.В.Петровского»,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Кайтукова Е.В. </w:t>
      </w:r>
      <w:r>
        <w:rPr>
          <w:rFonts w:ascii="Times New Roman" w:eastAsia="Times New Roman" w:hAnsi="Times New Roman" w:cs="Times New Roman"/>
          <w:sz w:val="24"/>
        </w:rPr>
        <w:t>– к.м.н., заместитель руководителя по медицинской деятельности - руководитель консультативно-диагностического центра для детей, врач-гастроэнтеролог, в.н.с. отдела</w:t>
      </w:r>
      <w:r>
        <w:rPr>
          <w:rFonts w:ascii="Times New Roman" w:eastAsia="Times New Roman" w:hAnsi="Times New Roman" w:cs="Times New Roman"/>
          <w:sz w:val="24"/>
        </w:rPr>
        <w:t xml:space="preserve"> орфанных болезней и профилактики инвалидизирующих заболеваний НИИ педиатрии и охраны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Пирогова» Ми</w:t>
      </w:r>
      <w:r>
        <w:rPr>
          <w:rFonts w:ascii="Times New Roman" w:eastAsia="Times New Roman" w:hAnsi="Times New Roman" w:cs="Times New Roman"/>
          <w:sz w:val="24"/>
        </w:rPr>
        <w:t xml:space="preserve">нздрава России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Карасева М.С.</w:t>
      </w:r>
      <w:r>
        <w:rPr>
          <w:rFonts w:ascii="Times New Roman" w:eastAsia="Times New Roman" w:hAnsi="Times New Roman" w:cs="Times New Roman"/>
          <w:sz w:val="24"/>
        </w:rPr>
        <w:t xml:space="preserve"> – младший научный сотрудник, врач-педиатр ГБУЗ «НПЦ ДП ДЗМ»,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Козлов Р.С. - </w:t>
      </w:r>
      <w:r>
        <w:rPr>
          <w:rFonts w:ascii="Times New Roman" w:eastAsia="Times New Roman" w:hAnsi="Times New Roman" w:cs="Times New Roman"/>
          <w:sz w:val="24"/>
        </w:rPr>
        <w:t>член-корреспондент РАН, профессор, д.м.н, ректор ФГБОУ ВО СГМУ Минз</w:t>
      </w:r>
      <w:r>
        <w:rPr>
          <w:rFonts w:ascii="Times New Roman" w:eastAsia="Times New Roman" w:hAnsi="Times New Roman" w:cs="Times New Roman"/>
          <w:sz w:val="24"/>
        </w:rPr>
        <w:t xml:space="preserve">драва России, главный внештатный специалист Минздрава России по клинической микробиологии и антимикробной резистентности, Президент МАКМАХ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Колбин А.С. </w:t>
      </w:r>
      <w:r>
        <w:rPr>
          <w:rFonts w:ascii="Times New Roman" w:eastAsia="Times New Roman" w:hAnsi="Times New Roman" w:cs="Times New Roman"/>
          <w:sz w:val="24"/>
        </w:rPr>
        <w:t>-</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д.м.н., профессор, заведующий кафедрой клинической фармакологии и доказательной медицины, ПСПбГМУ им. </w:t>
      </w:r>
      <w:r>
        <w:rPr>
          <w:rFonts w:ascii="Times New Roman" w:eastAsia="Times New Roman" w:hAnsi="Times New Roman" w:cs="Times New Roman"/>
          <w:sz w:val="24"/>
        </w:rPr>
        <w:t>акад. И.П. Павлова</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Комарова Е.В.</w:t>
      </w:r>
      <w:r>
        <w:rPr>
          <w:rFonts w:ascii="Times New Roman" w:eastAsia="Times New Roman" w:hAnsi="Times New Roman" w:cs="Times New Roman"/>
          <w:sz w:val="24"/>
        </w:rPr>
        <w:t xml:space="preserve"> - д.м.н., заместитель руководителя по экспертизе инновационных методов лечения и реабилитации, врач-гастроэнтеролог, гл.н.с. отдела орфанных болезней и профилактики инвалидизирующих заболеваний НИИ педиатрии и охраны здоро</w:t>
      </w:r>
      <w:r>
        <w:rPr>
          <w:rFonts w:ascii="Times New Roman" w:eastAsia="Times New Roman" w:hAnsi="Times New Roman" w:cs="Times New Roman"/>
          <w:sz w:val="24"/>
        </w:rPr>
        <w:t xml:space="preserve">вья детей НКЦ №2 ФГБНУ «РНЦХ им. акад. Б.В.Петровского», профессор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Коновалов И.В. - </w:t>
      </w:r>
      <w:r>
        <w:rPr>
          <w:rFonts w:ascii="Times New Roman" w:eastAsia="Times New Roman" w:hAnsi="Times New Roman" w:cs="Times New Roman"/>
          <w:sz w:val="24"/>
        </w:rPr>
        <w:t>к.м.н., заместитель директора центра реализации образовательных программ Института материнства и детства, доцент кафедры инфекционных болезней у детей Института материнства и детства, эксперт-аналитик управления по реализации функций НМИЦ ФГАОУ ВО РНИМУ им</w:t>
      </w:r>
      <w:r>
        <w:rPr>
          <w:rFonts w:ascii="Times New Roman" w:eastAsia="Times New Roman" w:hAnsi="Times New Roman" w:cs="Times New Roman"/>
          <w:sz w:val="24"/>
        </w:rPr>
        <w:t xml:space="preserve">. Н.И. Пирогова (Пироговский Университет)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Крючко Д.С. – </w:t>
      </w:r>
      <w:r>
        <w:rPr>
          <w:rFonts w:ascii="Times New Roman" w:eastAsia="Times New Roman" w:hAnsi="Times New Roman" w:cs="Times New Roman"/>
          <w:sz w:val="24"/>
        </w:rPr>
        <w:t>д.м.н., начальник управления трансляционной медицины и инновационных технологий ФМБА России</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Куличенко Т.В.</w:t>
      </w:r>
      <w:r>
        <w:rPr>
          <w:rFonts w:ascii="Times New Roman" w:eastAsia="Times New Roman" w:hAnsi="Times New Roman" w:cs="Times New Roman"/>
          <w:sz w:val="24"/>
        </w:rPr>
        <w:t>, д.м.н., профессор РАН, руководитель НМИЦ ФГАОУ ВО РНИМУ им. Н.И. Пирогова Минздрава России</w:t>
      </w:r>
      <w:r>
        <w:rPr>
          <w:rFonts w:ascii="Times New Roman" w:eastAsia="Times New Roman" w:hAnsi="Times New Roman" w:cs="Times New Roman"/>
          <w:sz w:val="24"/>
        </w:rPr>
        <w:t xml:space="preserve"> (Пироговский Университет), профессор кафедры факультетской педиатрии Института материнства и детства ФГАОУ ВО «РНИМУ им. Н.И. Пирогова» Минздрава России (Пироговский Университет), эксперт Всемирной Организации Здравоохранения, член Союза педиатров России </w:t>
      </w:r>
      <w:r>
        <w:rPr>
          <w:rFonts w:ascii="Times New Roman" w:eastAsia="Times New Roman" w:hAnsi="Times New Roman" w:cs="Times New Roman"/>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Лашкова Ю.С. - </w:t>
      </w:r>
      <w:r>
        <w:rPr>
          <w:rFonts w:ascii="Times New Roman" w:eastAsia="Times New Roman" w:hAnsi="Times New Roman" w:cs="Times New Roman"/>
          <w:sz w:val="24"/>
        </w:rPr>
        <w:t xml:space="preserve">к.м.н., заведующая педиатрическим диагностическим отделением РДКБ — филиал ФГАОУ ВО РНИМУ им. Н.И. Пирогова Минздрава России,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Левина Ю.Г. -</w:t>
      </w:r>
      <w:r>
        <w:rPr>
          <w:rFonts w:ascii="Times New Roman" w:eastAsia="Times New Roman" w:hAnsi="Times New Roman" w:cs="Times New Roman"/>
          <w:sz w:val="24"/>
        </w:rPr>
        <w:t xml:space="preserve"> д.м.н., доцент, заведующая отделом клинической иммунологии и аллерголо</w:t>
      </w:r>
      <w:r>
        <w:rPr>
          <w:rFonts w:ascii="Times New Roman" w:eastAsia="Times New Roman" w:hAnsi="Times New Roman" w:cs="Times New Roman"/>
          <w:sz w:val="24"/>
        </w:rPr>
        <w:t>гии, врач аллерголог-иммунолог НИИ педиатрии и охраны здоровья детей НКЦ №2 ФГБНУ «РНЦХ им. акад. Б.В. Петровского» Минобрнауки России, доцент кафедры факультетской педиатрии Института материнства и детства ФГАОУ ВО РНИМУ им. Н.И. Пирогова Минздрава России</w:t>
      </w:r>
      <w:r>
        <w:rPr>
          <w:rFonts w:ascii="Times New Roman" w:eastAsia="Times New Roman" w:hAnsi="Times New Roman" w:cs="Times New Roman"/>
          <w:sz w:val="24"/>
        </w:rPr>
        <w:t xml:space="preserve">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Маянский Н.А. - </w:t>
      </w:r>
      <w:r>
        <w:rPr>
          <w:rFonts w:ascii="Times New Roman" w:eastAsia="Times New Roman" w:hAnsi="Times New Roman" w:cs="Times New Roman"/>
          <w:sz w:val="24"/>
        </w:rPr>
        <w:t>д.м.н., профессор РАН, заведующий центром лабораторной диагностики Российской детской клинической больницы Российского национального исследовательского медицинского университета им. Н</w:t>
      </w:r>
      <w:r>
        <w:rPr>
          <w:rFonts w:ascii="Times New Roman" w:eastAsia="Times New Roman" w:hAnsi="Times New Roman" w:cs="Times New Roman"/>
          <w:sz w:val="24"/>
        </w:rPr>
        <w:t xml:space="preserve">.И. Пирогова </w:t>
      </w:r>
    </w:p>
    <w:p w:rsidR="005A3F38" w:rsidRDefault="003114B5">
      <w:pPr>
        <w:spacing w:after="5" w:line="364" w:lineRule="auto"/>
        <w:ind w:left="345" w:right="2" w:firstLine="708"/>
        <w:jc w:val="both"/>
      </w:pPr>
      <w:r>
        <w:rPr>
          <w:rFonts w:ascii="Times New Roman" w:eastAsia="Times New Roman" w:hAnsi="Times New Roman" w:cs="Times New Roman"/>
          <w:b/>
          <w:sz w:val="24"/>
        </w:rPr>
        <w:t>Намазова-Баранова Л.С. -</w:t>
      </w:r>
      <w:r>
        <w:rPr>
          <w:rFonts w:ascii="Times New Roman" w:eastAsia="Times New Roman" w:hAnsi="Times New Roman" w:cs="Times New Roman"/>
          <w:sz w:val="24"/>
        </w:rPr>
        <w:t xml:space="preserve"> акад. РАН, профессор, д.м.н., президент Союза педиатров России; паст-президент EPA/UNEPSA; руководитель НИИ педиатрии и охраны здоровья детей НКЦ №2 ФГБНУ «РНЦХ им. акад. Б.В.Петровского», заведующая кафедрой факульте</w:t>
      </w:r>
      <w:r>
        <w:rPr>
          <w:rFonts w:ascii="Times New Roman" w:eastAsia="Times New Roman" w:hAnsi="Times New Roman" w:cs="Times New Roman"/>
          <w:sz w:val="24"/>
        </w:rPr>
        <w:t xml:space="preserve">тской педиатрии Института материнства и детства ФГАОУ ВО «РНИМУ им. Н.И. Пирогова» Минздрава России (Пироговский Университет), главный внештатный детский специалист по профилактической медицине Минздрава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Новик Г.А. -</w:t>
      </w:r>
      <w:r>
        <w:rPr>
          <w:rFonts w:ascii="Times New Roman" w:eastAsia="Times New Roman" w:hAnsi="Times New Roman" w:cs="Times New Roman"/>
          <w:sz w:val="24"/>
        </w:rPr>
        <w:t xml:space="preserve"> д.м.н., профессор, заведующий к</w:t>
      </w:r>
      <w:r>
        <w:rPr>
          <w:rFonts w:ascii="Times New Roman" w:eastAsia="Times New Roman" w:hAnsi="Times New Roman" w:cs="Times New Roman"/>
          <w:sz w:val="24"/>
        </w:rPr>
        <w:t xml:space="preserve">афедрой Детских болезней им. профессора И. М. Воронцова ФП и ДПО ФГБОУ ВО «Санкт-Петербургский государственный педиатрический медицинский университет» Министерства здравоохранения Российской Федерации </w:t>
      </w:r>
    </w:p>
    <w:p w:rsidR="005A3F38" w:rsidRDefault="003114B5">
      <w:pPr>
        <w:spacing w:after="5" w:line="364" w:lineRule="auto"/>
        <w:ind w:left="345" w:right="2" w:firstLine="708"/>
        <w:jc w:val="both"/>
      </w:pPr>
      <w:r>
        <w:rPr>
          <w:rFonts w:ascii="Times New Roman" w:eastAsia="Times New Roman" w:hAnsi="Times New Roman" w:cs="Times New Roman"/>
          <w:b/>
          <w:sz w:val="24"/>
        </w:rPr>
        <w:t>Овсянников Д.Ю.</w:t>
      </w:r>
      <w:r>
        <w:rPr>
          <w:rFonts w:ascii="Times New Roman" w:eastAsia="Times New Roman" w:hAnsi="Times New Roman" w:cs="Times New Roman"/>
          <w:sz w:val="24"/>
        </w:rPr>
        <w:t xml:space="preserve"> — д.м.н., профессор, заведующий кафедр</w:t>
      </w:r>
      <w:r>
        <w:rPr>
          <w:rFonts w:ascii="Times New Roman" w:eastAsia="Times New Roman" w:hAnsi="Times New Roman" w:cs="Times New Roman"/>
          <w:sz w:val="24"/>
        </w:rPr>
        <w:t xml:space="preserve">ой педиатрии РУДН им. П. Лумумбы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Платонова М.М. – </w:t>
      </w:r>
      <w:r>
        <w:rPr>
          <w:rFonts w:ascii="Times New Roman" w:eastAsia="Times New Roman" w:hAnsi="Times New Roman" w:cs="Times New Roman"/>
          <w:sz w:val="24"/>
        </w:rPr>
        <w:t>к.м.н., старший научный сотрудник НИИ педиатрии и охраны здоровья детей НКЦ №2 ФГБНУ РНЦХ им акад. Б.В.Петровского, врач-пульмонолог</w:t>
      </w:r>
      <w:r>
        <w:rPr>
          <w:rFonts w:ascii="Times New Roman" w:eastAsia="Times New Roman" w:hAnsi="Times New Roman" w:cs="Times New Roman"/>
          <w:b/>
          <w:sz w:val="24"/>
        </w:rPr>
        <w:t xml:space="preserve"> </w:t>
      </w:r>
    </w:p>
    <w:p w:rsidR="005A3F38" w:rsidRDefault="003114B5">
      <w:pPr>
        <w:spacing w:after="113"/>
        <w:ind w:left="1078" w:right="2" w:hanging="10"/>
        <w:jc w:val="both"/>
      </w:pPr>
      <w:r>
        <w:rPr>
          <w:rFonts w:ascii="Times New Roman" w:eastAsia="Times New Roman" w:hAnsi="Times New Roman" w:cs="Times New Roman"/>
          <w:b/>
          <w:sz w:val="24"/>
        </w:rPr>
        <w:t xml:space="preserve">Полякова А.С. - </w:t>
      </w:r>
      <w:r>
        <w:rPr>
          <w:rFonts w:ascii="Times New Roman" w:eastAsia="Times New Roman" w:hAnsi="Times New Roman" w:cs="Times New Roman"/>
          <w:sz w:val="24"/>
        </w:rPr>
        <w:t xml:space="preserve">к.м.н.,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Прометной Д.В. - </w:t>
      </w:r>
      <w:r>
        <w:rPr>
          <w:rFonts w:ascii="Times New Roman" w:eastAsia="Times New Roman" w:hAnsi="Times New Roman" w:cs="Times New Roman"/>
          <w:sz w:val="24"/>
        </w:rPr>
        <w:t xml:space="preserve">д.м.н., руководитель центра анестезиологии-реанимации РДКБ, экспертаналитик управления по реализации функций НМИЦ по педиатрии ФГАОУ ВО «РНИМУ им. Н.И. </w:t>
      </w:r>
    </w:p>
    <w:p w:rsidR="005A3F38" w:rsidRDefault="003114B5">
      <w:pPr>
        <w:spacing w:after="5"/>
        <w:ind w:left="355" w:right="2" w:hanging="10"/>
        <w:jc w:val="both"/>
      </w:pPr>
      <w:r>
        <w:rPr>
          <w:rFonts w:ascii="Times New Roman" w:eastAsia="Times New Roman" w:hAnsi="Times New Roman" w:cs="Times New Roman"/>
          <w:sz w:val="24"/>
        </w:rPr>
        <w:t xml:space="preserve">Пирогова» Минздрава России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Пыталь А.В. – </w:t>
      </w:r>
      <w:r>
        <w:rPr>
          <w:rFonts w:ascii="Times New Roman" w:eastAsia="Times New Roman" w:hAnsi="Times New Roman" w:cs="Times New Roman"/>
          <w:sz w:val="24"/>
        </w:rPr>
        <w:t>врач а</w:t>
      </w:r>
      <w:r>
        <w:rPr>
          <w:rFonts w:ascii="Times New Roman" w:eastAsia="Times New Roman" w:hAnsi="Times New Roman" w:cs="Times New Roman"/>
          <w:sz w:val="24"/>
        </w:rPr>
        <w:t xml:space="preserve">нестезиолог-реаниматолог РДКБ, эксперт-аналитик управления по реализации функций НМИЦ по педиатрии ФГАОУ ВО «РНИМУ им. Н.И. Пирогова» Минздрава России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Ратников В.А. – </w:t>
      </w:r>
      <w:r>
        <w:rPr>
          <w:rFonts w:ascii="Times New Roman" w:eastAsia="Times New Roman" w:hAnsi="Times New Roman" w:cs="Times New Roman"/>
          <w:sz w:val="24"/>
        </w:rPr>
        <w:t xml:space="preserve">и.о. генерального директора ФГБУ </w:t>
      </w:r>
      <w:r>
        <w:rPr>
          <w:rFonts w:ascii="Times New Roman" w:eastAsia="Times New Roman" w:hAnsi="Times New Roman" w:cs="Times New Roman"/>
          <w:sz w:val="24"/>
        </w:rPr>
        <w:t>ФНКЦИБ ФМБА России, главный внештатный специалист ФМБА России по лучевой диагностике, д.м.н., профессор кафедры лучевой диагностики научно-клинического и образовательного центра «Лучевая диагностика и ядерная медицина» медицинского института СПБГУ</w:t>
      </w:r>
      <w:r>
        <w:rPr>
          <w:rFonts w:ascii="Times New Roman" w:eastAsia="Times New Roman" w:hAnsi="Times New Roman" w:cs="Times New Roman"/>
          <w:b/>
          <w:sz w:val="24"/>
        </w:rPr>
        <w:t xml:space="preserve">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Ртищев </w:t>
      </w:r>
      <w:r>
        <w:rPr>
          <w:rFonts w:ascii="Times New Roman" w:eastAsia="Times New Roman" w:hAnsi="Times New Roman" w:cs="Times New Roman"/>
          <w:b/>
          <w:sz w:val="24"/>
        </w:rPr>
        <w:t xml:space="preserve">А.Ю. - </w:t>
      </w:r>
      <w:r>
        <w:rPr>
          <w:rFonts w:ascii="Times New Roman" w:eastAsia="Times New Roman" w:hAnsi="Times New Roman" w:cs="Times New Roman"/>
          <w:sz w:val="24"/>
        </w:rPr>
        <w:t>к.м.н., доцент кафедры инфекционных болезней у детей Института материнства и детства ФГАОУ ВО РНИМУ им. Н.И. Пирогова (Пироговский Университет), врачинфекционист ГБУЗ «Морозовская ДГКБ ДЗМ», главный внештатный специалист по инфекционным болезням у д</w:t>
      </w:r>
      <w:r>
        <w:rPr>
          <w:rFonts w:ascii="Times New Roman" w:eastAsia="Times New Roman" w:hAnsi="Times New Roman" w:cs="Times New Roman"/>
          <w:sz w:val="24"/>
        </w:rPr>
        <w:t xml:space="preserve">етей в ЦАО и ЮВАО города Москвы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Рычкова Л.В. – </w:t>
      </w:r>
      <w:r>
        <w:rPr>
          <w:rFonts w:ascii="Times New Roman" w:eastAsia="Times New Roman" w:hAnsi="Times New Roman" w:cs="Times New Roman"/>
          <w:sz w:val="24"/>
        </w:rPr>
        <w:t>член-</w:t>
      </w:r>
      <w:r>
        <w:rPr>
          <w:rFonts w:ascii="Times New Roman" w:eastAsia="Times New Roman" w:hAnsi="Times New Roman" w:cs="Times New Roman"/>
          <w:sz w:val="24"/>
        </w:rPr>
        <w:t>корреспондент РАН, д.м.н., профессор базовой кафедры медицинской психологии, директор ФГБНУ «Научный центр проблем здоровья семьи и репродукции человека», ФГБОУ ВО «Иркутский государственный университет», секретарь комиссии Научного совета по педиатрии сек</w:t>
      </w:r>
      <w:r>
        <w:rPr>
          <w:rFonts w:ascii="Times New Roman" w:eastAsia="Times New Roman" w:hAnsi="Times New Roman" w:cs="Times New Roman"/>
          <w:sz w:val="24"/>
        </w:rPr>
        <w:t xml:space="preserve">ции клинической медицины Отделения медицинских наук РАН, президент Иркутского областного отделения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Рычкова О.А. </w:t>
      </w:r>
      <w:r>
        <w:rPr>
          <w:rFonts w:ascii="Times New Roman" w:eastAsia="Times New Roman" w:hAnsi="Times New Roman" w:cs="Times New Roman"/>
          <w:sz w:val="24"/>
        </w:rPr>
        <w:t xml:space="preserve">- д.м.н., доцент, зав кафедрой инфекционных болезней, аллергологии и иммунологии ФГБОУ ВО Тюменский ГМУ МЗ РФ, главный </w:t>
      </w:r>
      <w:r>
        <w:rPr>
          <w:rFonts w:ascii="Times New Roman" w:eastAsia="Times New Roman" w:hAnsi="Times New Roman" w:cs="Times New Roman"/>
          <w:sz w:val="24"/>
        </w:rPr>
        <w:t xml:space="preserve">аллерголог-иммунолог ДЗ ТО </w:t>
      </w:r>
    </w:p>
    <w:p w:rsidR="005A3F38" w:rsidRDefault="003114B5">
      <w:pPr>
        <w:spacing w:after="5" w:line="364" w:lineRule="auto"/>
        <w:ind w:left="345" w:right="2" w:firstLine="708"/>
        <w:jc w:val="both"/>
      </w:pPr>
      <w:r>
        <w:rPr>
          <w:rFonts w:ascii="Times New Roman" w:eastAsia="Times New Roman" w:hAnsi="Times New Roman" w:cs="Times New Roman"/>
          <w:b/>
          <w:sz w:val="24"/>
        </w:rPr>
        <w:t>Селимзянова Л.Р. -</w:t>
      </w:r>
      <w:r>
        <w:rPr>
          <w:rFonts w:ascii="Times New Roman" w:eastAsia="Times New Roman" w:hAnsi="Times New Roman" w:cs="Times New Roman"/>
          <w:sz w:val="24"/>
        </w:rPr>
        <w:t xml:space="preserve"> к.м.н., заведующая отделом стандартизации и изучения основ доказательной медицины НИИ педиатрии и охраны здоровья детей НКЦ №2 ФГБНУ «РНЦХ им. акад. Б.В.Петровского», доцент кафедры педиатрии и детской ревмато</w:t>
      </w:r>
      <w:r>
        <w:rPr>
          <w:rFonts w:ascii="Times New Roman" w:eastAsia="Times New Roman" w:hAnsi="Times New Roman" w:cs="Times New Roman"/>
          <w:sz w:val="24"/>
        </w:rPr>
        <w:t>логии ФГАОУ «Первый МГМУ им. И.М. Сеченова» Минздрава России (Сеченовский Университет), доцент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w:t>
      </w:r>
      <w:r>
        <w:rPr>
          <w:rFonts w:ascii="Times New Roman" w:eastAsia="Times New Roman" w:hAnsi="Times New Roman" w:cs="Times New Roman"/>
          <w:sz w:val="24"/>
        </w:rPr>
        <w:t xml:space="preserve">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Солодовникова О.Н.</w:t>
      </w:r>
      <w:r>
        <w:rPr>
          <w:rFonts w:ascii="Times New Roman" w:eastAsia="Times New Roman" w:hAnsi="Times New Roman" w:cs="Times New Roman"/>
          <w:sz w:val="24"/>
        </w:rPr>
        <w:t xml:space="preserve"> - к.м.н., заместитель главного врача по Детству ГБУЗ ММКЦ Коммунарка ДЗМ, врач-педиатр, врач-инфекционист, доцент кафедры поликлинической и социальной педиатрии ИНОПР ФГАОУ ВО РНИМУ им.Н.И.Пирогова (Пироовский Университет) </w:t>
      </w:r>
    </w:p>
    <w:p w:rsidR="005A3F38" w:rsidRDefault="003114B5">
      <w:pPr>
        <w:spacing w:after="5" w:line="364" w:lineRule="auto"/>
        <w:ind w:left="345" w:right="2" w:firstLine="708"/>
        <w:jc w:val="both"/>
      </w:pPr>
      <w:r>
        <w:rPr>
          <w:rFonts w:ascii="Times New Roman" w:eastAsia="Times New Roman" w:hAnsi="Times New Roman" w:cs="Times New Roman"/>
          <w:b/>
          <w:sz w:val="24"/>
        </w:rPr>
        <w:t>Ст</w:t>
      </w:r>
      <w:r>
        <w:rPr>
          <w:rFonts w:ascii="Times New Roman" w:eastAsia="Times New Roman" w:hAnsi="Times New Roman" w:cs="Times New Roman"/>
          <w:b/>
          <w:sz w:val="24"/>
        </w:rPr>
        <w:t>аровойтова Е.В</w:t>
      </w:r>
      <w:r>
        <w:rPr>
          <w:rFonts w:ascii="Times New Roman" w:eastAsia="Times New Roman" w:hAnsi="Times New Roman" w:cs="Times New Roman"/>
          <w:sz w:val="24"/>
        </w:rPr>
        <w:t xml:space="preserve">. - к.м.н., эксперт-аналитик управления по реализации функций НМИЦ по педиатрии ФГАОУ ВО «РНИМУ им. Н.И. Пирогова» Минздрава России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Сычев Д.А.</w:t>
      </w:r>
      <w:r>
        <w:rPr>
          <w:rFonts w:ascii="Times New Roman" w:eastAsia="Times New Roman" w:hAnsi="Times New Roman" w:cs="Times New Roman"/>
          <w:sz w:val="24"/>
        </w:rPr>
        <w:t xml:space="preserve"> - д.м.н., профессор, академик РАН, научный </w:t>
      </w:r>
      <w:r>
        <w:rPr>
          <w:rFonts w:ascii="Times New Roman" w:eastAsia="Times New Roman" w:hAnsi="Times New Roman" w:cs="Times New Roman"/>
          <w:sz w:val="24"/>
        </w:rPr>
        <w:t xml:space="preserve">руководитель центра предиктивной генетики, фармакогенетики и персонализированной терапии ФГБНУ «РНЦХ им. акад. Б.В. </w:t>
      </w:r>
    </w:p>
    <w:p w:rsidR="005A3F38" w:rsidRDefault="003114B5">
      <w:pPr>
        <w:spacing w:after="113"/>
        <w:ind w:left="355" w:right="2" w:hanging="10"/>
        <w:jc w:val="both"/>
      </w:pPr>
      <w:r>
        <w:rPr>
          <w:rFonts w:ascii="Times New Roman" w:eastAsia="Times New Roman" w:hAnsi="Times New Roman" w:cs="Times New Roman"/>
          <w:sz w:val="24"/>
        </w:rPr>
        <w:t xml:space="preserve">Петровского» </w:t>
      </w:r>
    </w:p>
    <w:p w:rsidR="005A3F38" w:rsidRDefault="003114B5">
      <w:pPr>
        <w:spacing w:after="5" w:line="364" w:lineRule="auto"/>
        <w:ind w:left="345" w:right="2" w:firstLine="708"/>
        <w:jc w:val="both"/>
      </w:pPr>
      <w:r>
        <w:rPr>
          <w:rFonts w:ascii="Times New Roman" w:eastAsia="Times New Roman" w:hAnsi="Times New Roman" w:cs="Times New Roman"/>
          <w:b/>
          <w:sz w:val="24"/>
        </w:rPr>
        <w:t>Теновская Т.А. -</w:t>
      </w:r>
      <w:r>
        <w:rPr>
          <w:rFonts w:ascii="Times New Roman" w:eastAsia="Times New Roman" w:hAnsi="Times New Roman" w:cs="Times New Roman"/>
          <w:sz w:val="24"/>
        </w:rPr>
        <w:t xml:space="preserve"> Заместитель главного врача по клинико-экспертной работе ГБУЗ «Морозовская ДГКБ ДЗМ», член Союза педиатров Ро</w:t>
      </w:r>
      <w:r>
        <w:rPr>
          <w:rFonts w:ascii="Times New Roman" w:eastAsia="Times New Roman" w:hAnsi="Times New Roman" w:cs="Times New Roman"/>
          <w:sz w:val="24"/>
        </w:rPr>
        <w:t xml:space="preserve">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Тюрин И.Н.</w:t>
      </w:r>
      <w:r>
        <w:rPr>
          <w:rFonts w:ascii="Times New Roman" w:eastAsia="Times New Roman" w:hAnsi="Times New Roman" w:cs="Times New Roman"/>
          <w:sz w:val="24"/>
        </w:rPr>
        <w:t xml:space="preserve"> – д.м.н., заслуженный врач РФ, главный врач ГБУЗ «Инфекционная клиническая больница №1 ДЗМ», кафедра анестезиологии и реаниматологии ИНОПР ФГАОУ ВО РНИМУ им.Н.И.Пирогова (Пироговский Университет) </w:t>
      </w:r>
    </w:p>
    <w:p w:rsidR="005A3F38" w:rsidRDefault="003114B5">
      <w:pPr>
        <w:spacing w:after="5" w:line="364" w:lineRule="auto"/>
        <w:ind w:left="345" w:right="2" w:firstLine="708"/>
        <w:jc w:val="both"/>
      </w:pPr>
      <w:r>
        <w:rPr>
          <w:rFonts w:ascii="Times New Roman" w:eastAsia="Times New Roman" w:hAnsi="Times New Roman" w:cs="Times New Roman"/>
          <w:b/>
          <w:sz w:val="24"/>
        </w:rPr>
        <w:t>Федосеенко М.В</w:t>
      </w:r>
      <w:r>
        <w:rPr>
          <w:rFonts w:ascii="Times New Roman" w:eastAsia="Times New Roman" w:hAnsi="Times New Roman" w:cs="Times New Roman"/>
          <w:sz w:val="24"/>
        </w:rPr>
        <w:t>. - к.м.н., заведующая отде</w:t>
      </w:r>
      <w:r>
        <w:rPr>
          <w:rFonts w:ascii="Times New Roman" w:eastAsia="Times New Roman" w:hAnsi="Times New Roman" w:cs="Times New Roman"/>
          <w:sz w:val="24"/>
        </w:rPr>
        <w:t>лом разработки научных подходов к иммунизации пациентов с отклонениями в состоянии здоровья и хроническими болезнями, ведущий научный сотрудник, врач-педиатр НИИ педиатрии и охраны здоровья детей НКЦ №2 ФГБНУ «РНЦХ им. акад. Б.В.Петровского», доцент кафедр</w:t>
      </w:r>
      <w:r>
        <w:rPr>
          <w:rFonts w:ascii="Times New Roman" w:eastAsia="Times New Roman" w:hAnsi="Times New Roman" w:cs="Times New Roman"/>
          <w:sz w:val="24"/>
        </w:rPr>
        <w:t xml:space="preserve">ы факультетской педиатрии Института материнства и детства </w:t>
      </w:r>
    </w:p>
    <w:p w:rsidR="005A3F38" w:rsidRDefault="003114B5">
      <w:pPr>
        <w:spacing w:after="5" w:line="364" w:lineRule="auto"/>
        <w:ind w:left="355" w:right="2" w:hanging="10"/>
        <w:jc w:val="both"/>
      </w:pPr>
      <w:r>
        <w:rPr>
          <w:rFonts w:ascii="Times New Roman" w:eastAsia="Times New Roman" w:hAnsi="Times New Roman" w:cs="Times New Roman"/>
          <w:sz w:val="24"/>
        </w:rPr>
        <w:t xml:space="preserve">ФГАОУ ВО «РНИМУ им. Н.И. Пирогова» Минздрава России (Пироговский Университет),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Харькин А.В.</w:t>
      </w:r>
      <w:r>
        <w:rPr>
          <w:rFonts w:ascii="Times New Roman" w:eastAsia="Times New Roman" w:hAnsi="Times New Roman" w:cs="Times New Roman"/>
          <w:sz w:val="24"/>
        </w:rPr>
        <w:t xml:space="preserve"> - д.м.н., эксперт-</w:t>
      </w:r>
      <w:r>
        <w:rPr>
          <w:rFonts w:ascii="Times New Roman" w:eastAsia="Times New Roman" w:hAnsi="Times New Roman" w:cs="Times New Roman"/>
          <w:sz w:val="24"/>
        </w:rPr>
        <w:t xml:space="preserve">аналитик управления по реализации функций национального медицинского исследовательского центра по педиатрии, член Союза педиатров России </w:t>
      </w:r>
    </w:p>
    <w:p w:rsidR="005A3F38" w:rsidRDefault="003114B5">
      <w:pPr>
        <w:spacing w:after="113"/>
        <w:ind w:left="1078" w:right="2" w:hanging="10"/>
        <w:jc w:val="both"/>
      </w:pPr>
      <w:r>
        <w:rPr>
          <w:rFonts w:ascii="Times New Roman" w:eastAsia="Times New Roman" w:hAnsi="Times New Roman" w:cs="Times New Roman"/>
          <w:b/>
          <w:sz w:val="24"/>
        </w:rPr>
        <w:t>Чащина И.Л. -</w:t>
      </w:r>
      <w:r>
        <w:rPr>
          <w:rFonts w:ascii="Times New Roman" w:eastAsia="Times New Roman" w:hAnsi="Times New Roman" w:cs="Times New Roman"/>
          <w:sz w:val="24"/>
        </w:rPr>
        <w:t xml:space="preserve">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 xml:space="preserve">Чемакина Д.С. </w:t>
      </w:r>
      <w:r>
        <w:rPr>
          <w:rFonts w:ascii="Times New Roman" w:eastAsia="Times New Roman" w:hAnsi="Times New Roman" w:cs="Times New Roman"/>
          <w:sz w:val="24"/>
        </w:rPr>
        <w:t xml:space="preserve">- к.м.н., старший научный сотрудник отделом стандартизации и </w:t>
      </w:r>
      <w:r>
        <w:rPr>
          <w:rFonts w:ascii="Times New Roman" w:eastAsia="Times New Roman" w:hAnsi="Times New Roman" w:cs="Times New Roman"/>
          <w:sz w:val="24"/>
        </w:rPr>
        <w:t xml:space="preserve">изучения основ доказательной медицины НИИ педиатрии и охраны здоровья детей НКЦ №2 ФГБНУ «РНЦХ им. акад. Б.В.Петровского», член Союза педиатров России  </w:t>
      </w:r>
    </w:p>
    <w:p w:rsidR="005A3F38" w:rsidRDefault="003114B5">
      <w:pPr>
        <w:spacing w:after="5" w:line="364" w:lineRule="auto"/>
        <w:ind w:left="345" w:right="2" w:firstLine="708"/>
        <w:jc w:val="both"/>
      </w:pPr>
      <w:r>
        <w:rPr>
          <w:rFonts w:ascii="Times New Roman" w:eastAsia="Times New Roman" w:hAnsi="Times New Roman" w:cs="Times New Roman"/>
          <w:b/>
          <w:sz w:val="24"/>
        </w:rPr>
        <w:t>Эфендиева К.Е.</w:t>
      </w:r>
      <w:r>
        <w:rPr>
          <w:rFonts w:ascii="Times New Roman" w:eastAsia="Times New Roman" w:hAnsi="Times New Roman" w:cs="Times New Roman"/>
          <w:sz w:val="24"/>
        </w:rPr>
        <w:t xml:space="preserve"> – к.м.н., доцент, заместитель руководителя по международным связям и образовательной дея</w:t>
      </w:r>
      <w:r>
        <w:rPr>
          <w:rFonts w:ascii="Times New Roman" w:eastAsia="Times New Roman" w:hAnsi="Times New Roman" w:cs="Times New Roman"/>
          <w:sz w:val="24"/>
        </w:rPr>
        <w:t xml:space="preserve">тельности, ведущий научный сотрудник, врач аллерголог-иммунолог НИИ педиатрии и охраны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w:t>
      </w:r>
    </w:p>
    <w:p w:rsidR="005A3F38" w:rsidRDefault="003114B5">
      <w:pPr>
        <w:spacing w:after="142"/>
        <w:ind w:left="355" w:right="2" w:hanging="10"/>
        <w:jc w:val="both"/>
      </w:pPr>
      <w:r>
        <w:rPr>
          <w:rFonts w:ascii="Times New Roman" w:eastAsia="Times New Roman" w:hAnsi="Times New Roman" w:cs="Times New Roman"/>
          <w:sz w:val="24"/>
        </w:rPr>
        <w:t xml:space="preserve">Пирогова» </w:t>
      </w:r>
      <w:r>
        <w:rPr>
          <w:rFonts w:ascii="Times New Roman" w:eastAsia="Times New Roman" w:hAnsi="Times New Roman" w:cs="Times New Roman"/>
          <w:sz w:val="24"/>
        </w:rPr>
        <w:t xml:space="preserve">Минздрава России (Пироговский Университет), член Союза педиатров России </w:t>
      </w:r>
    </w:p>
    <w:p w:rsidR="005A3F38" w:rsidRDefault="003114B5">
      <w:pPr>
        <w:spacing w:after="13"/>
        <w:ind w:left="1068"/>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rsidR="005A3F38" w:rsidRDefault="003114B5">
      <w:pPr>
        <w:spacing w:after="0"/>
        <w:ind w:left="360"/>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r>
      <w:r>
        <w:rPr>
          <w:rFonts w:ascii="Times New Roman" w:eastAsia="Times New Roman" w:hAnsi="Times New Roman" w:cs="Times New Roman"/>
          <w:b/>
          <w:sz w:val="24"/>
        </w:rPr>
        <w:t xml:space="preserve"> </w:t>
      </w:r>
    </w:p>
    <w:p w:rsidR="005A3F38" w:rsidRDefault="003114B5">
      <w:pPr>
        <w:pStyle w:val="Heading1"/>
        <w:spacing w:after="53"/>
        <w:ind w:left="370"/>
      </w:pPr>
      <w:bookmarkStart w:id="41" w:name="_Toc141914"/>
      <w:r>
        <w:t xml:space="preserve">Приложение А2. Методология разработки клинических рекомендаций </w:t>
      </w:r>
      <w:r>
        <w:t xml:space="preserve"> </w:t>
      </w:r>
      <w:bookmarkEnd w:id="41"/>
    </w:p>
    <w:p w:rsidR="005A3F38" w:rsidRDefault="003114B5">
      <w:pPr>
        <w:spacing w:after="0"/>
        <w:ind w:left="1068"/>
      </w:pPr>
      <w:r>
        <w:rPr>
          <w:rFonts w:ascii="Times New Roman" w:eastAsia="Times New Roman" w:hAnsi="Times New Roman" w:cs="Times New Roman"/>
          <w:b/>
          <w:sz w:val="24"/>
        </w:rPr>
        <w:t xml:space="preserve"> </w:t>
      </w:r>
    </w:p>
    <w:p w:rsidR="005A3F38" w:rsidRDefault="003114B5">
      <w:pPr>
        <w:spacing w:after="10" w:line="249" w:lineRule="auto"/>
        <w:ind w:left="1078" w:hanging="10"/>
      </w:pPr>
      <w:r>
        <w:rPr>
          <w:rFonts w:ascii="Times New Roman" w:eastAsia="Times New Roman" w:hAnsi="Times New Roman" w:cs="Times New Roman"/>
          <w:b/>
          <w:sz w:val="24"/>
        </w:rPr>
        <w:t xml:space="preserve">Целевая аудитория данных клинических рекомендаций: </w:t>
      </w:r>
    </w:p>
    <w:p w:rsidR="005A3F38" w:rsidRDefault="003114B5">
      <w:pPr>
        <w:spacing w:after="0"/>
        <w:ind w:left="1068"/>
      </w:pPr>
      <w:r>
        <w:rPr>
          <w:rFonts w:ascii="Times New Roman" w:eastAsia="Times New Roman" w:hAnsi="Times New Roman" w:cs="Times New Roman"/>
          <w:b/>
          <w:sz w:val="24"/>
        </w:rPr>
        <w:t xml:space="preserve">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врачи-педиатры; </w:t>
      </w:r>
    </w:p>
    <w:p w:rsidR="005A3F38" w:rsidRDefault="003114B5">
      <w:pPr>
        <w:numPr>
          <w:ilvl w:val="0"/>
          <w:numId w:val="48"/>
        </w:numPr>
        <w:spacing w:after="5"/>
        <w:ind w:right="2" w:hanging="420"/>
        <w:jc w:val="both"/>
      </w:pPr>
      <w:r>
        <w:rPr>
          <w:rFonts w:ascii="Times New Roman" w:eastAsia="Times New Roman" w:hAnsi="Times New Roman" w:cs="Times New Roman"/>
          <w:sz w:val="24"/>
        </w:rPr>
        <w:t>врачи общей врачебной практики (семей</w:t>
      </w:r>
      <w:r>
        <w:rPr>
          <w:rFonts w:ascii="Times New Roman" w:eastAsia="Times New Roman" w:hAnsi="Times New Roman" w:cs="Times New Roman"/>
          <w:sz w:val="24"/>
        </w:rPr>
        <w:t xml:space="preserve">ные врачи);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врач-педиатр городской (районный);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врач-педиатр участковый;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врач-анестезиолог-реаниматолог;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 скорой помощи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врач-бактериолог;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врач-вирусолог;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врач-дезинфектолог;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 здравпункта;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врач-инфекционист;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 клинической лабораторной диагностики;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врач-клинический фармаколог;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врач-лаборант;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врач-невролог;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врач-паразитолог;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врач-неонатолог;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врач-оториноларинголог;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 по медицинской профилактике;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 по медицинской реабилитации;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 приемного отделения;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врач-эпидемиолог;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фельдшер;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студенты медицинских ВУЗов; </w:t>
      </w:r>
    </w:p>
    <w:p w:rsidR="005A3F38" w:rsidRDefault="003114B5">
      <w:pPr>
        <w:numPr>
          <w:ilvl w:val="0"/>
          <w:numId w:val="48"/>
        </w:numPr>
        <w:spacing w:after="5"/>
        <w:ind w:right="2" w:hanging="420"/>
        <w:jc w:val="both"/>
      </w:pPr>
      <w:r>
        <w:rPr>
          <w:rFonts w:ascii="Times New Roman" w:eastAsia="Times New Roman" w:hAnsi="Times New Roman" w:cs="Times New Roman"/>
          <w:sz w:val="24"/>
        </w:rPr>
        <w:t xml:space="preserve">обучающиеся в ординатуре и аспирантуре. </w:t>
      </w:r>
    </w:p>
    <w:p w:rsidR="005A3F38" w:rsidRDefault="003114B5">
      <w:pPr>
        <w:spacing w:after="0"/>
        <w:ind w:left="1788"/>
      </w:pPr>
      <w:r>
        <w:rPr>
          <w:rFonts w:ascii="Times New Roman" w:eastAsia="Times New Roman" w:hAnsi="Times New Roman" w:cs="Times New Roman"/>
          <w:sz w:val="24"/>
        </w:rPr>
        <w:t xml:space="preserve"> </w:t>
      </w:r>
    </w:p>
    <w:p w:rsidR="005A3F38" w:rsidRDefault="003114B5">
      <w:pPr>
        <w:spacing w:after="0" w:line="249" w:lineRule="auto"/>
        <w:ind w:left="345" w:firstLine="9182"/>
      </w:pPr>
      <w:r>
        <w:rPr>
          <w:rFonts w:ascii="Times New Roman" w:eastAsia="Times New Roman" w:hAnsi="Times New Roman" w:cs="Times New Roman"/>
          <w:b/>
          <w:sz w:val="24"/>
        </w:rPr>
        <w:t xml:space="preserve">Таблица 3.  Шкала оценки уровней достоверности доказательств (УДД) для методов диагностики </w:t>
      </w:r>
    </w:p>
    <w:p w:rsidR="005A3F38" w:rsidRDefault="003114B5">
      <w:pPr>
        <w:spacing w:after="10" w:line="249" w:lineRule="auto"/>
        <w:ind w:left="355" w:hanging="10"/>
      </w:pPr>
      <w:r>
        <w:rPr>
          <w:rFonts w:ascii="Times New Roman" w:eastAsia="Times New Roman" w:hAnsi="Times New Roman" w:cs="Times New Roman"/>
          <w:b/>
          <w:sz w:val="24"/>
        </w:rPr>
        <w:t xml:space="preserve">(диагностических вмешательств) </w:t>
      </w:r>
    </w:p>
    <w:p w:rsidR="005A3F38" w:rsidRDefault="003114B5">
      <w:pPr>
        <w:spacing w:after="0"/>
        <w:ind w:left="360"/>
      </w:pPr>
      <w:r>
        <w:rPr>
          <w:rFonts w:ascii="Times New Roman" w:eastAsia="Times New Roman" w:hAnsi="Times New Roman" w:cs="Times New Roman"/>
          <w:sz w:val="24"/>
        </w:rPr>
        <w:t xml:space="preserve"> </w:t>
      </w:r>
    </w:p>
    <w:tbl>
      <w:tblPr>
        <w:tblStyle w:val="TableGrid"/>
        <w:tblW w:w="9074" w:type="dxa"/>
        <w:tblInd w:w="428" w:type="dxa"/>
        <w:tblCellMar>
          <w:top w:w="162" w:type="dxa"/>
          <w:left w:w="62" w:type="dxa"/>
          <w:bottom w:w="0" w:type="dxa"/>
          <w:right w:w="5" w:type="dxa"/>
        </w:tblCellMar>
        <w:tblLook w:val="04A0" w:firstRow="1" w:lastRow="0" w:firstColumn="1" w:lastColumn="0" w:noHBand="0" w:noVBand="1"/>
      </w:tblPr>
      <w:tblGrid>
        <w:gridCol w:w="624"/>
        <w:gridCol w:w="8450"/>
      </w:tblGrid>
      <w:tr w:rsidR="005A3F38">
        <w:trPr>
          <w:trHeight w:val="492"/>
        </w:trPr>
        <w:tc>
          <w:tcPr>
            <w:tcW w:w="624"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jc w:val="both"/>
            </w:pPr>
            <w:r>
              <w:rPr>
                <w:rFonts w:ascii="Times New Roman" w:eastAsia="Times New Roman" w:hAnsi="Times New Roman" w:cs="Times New Roman"/>
                <w:sz w:val="24"/>
              </w:rPr>
              <w:t xml:space="preserve">УДД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58"/>
              <w:jc w:val="center"/>
            </w:pPr>
            <w:r>
              <w:rPr>
                <w:rFonts w:ascii="Times New Roman" w:eastAsia="Times New Roman" w:hAnsi="Times New Roman" w:cs="Times New Roman"/>
                <w:sz w:val="24"/>
              </w:rPr>
              <w:t xml:space="preserve">Расшифровка </w:t>
            </w:r>
          </w:p>
        </w:tc>
      </w:tr>
      <w:tr w:rsidR="005A3F38">
        <w:trPr>
          <w:trHeight w:val="1042"/>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1.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4"/>
              <w:jc w:val="both"/>
            </w:pPr>
            <w:r>
              <w:rPr>
                <w:rFonts w:ascii="Times New Roman" w:eastAsia="Times New Roman" w:hAnsi="Times New Roman" w:cs="Times New Roman"/>
                <w:sz w:val="24"/>
              </w:rPr>
              <w:t xml:space="preserve">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 </w:t>
            </w:r>
          </w:p>
        </w:tc>
      </w:tr>
      <w:tr w:rsidR="005A3F38">
        <w:trPr>
          <w:trHeight w:val="1318"/>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2.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2"/>
              <w:jc w:val="both"/>
            </w:pPr>
            <w:r>
              <w:rPr>
                <w:rFonts w:ascii="Times New Roman" w:eastAsia="Times New Roman" w:hAnsi="Times New Roman" w:cs="Times New Roman"/>
                <w:sz w:val="24"/>
              </w:rPr>
              <w:t xml:space="preserve">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 </w:t>
            </w:r>
          </w:p>
        </w:tc>
      </w:tr>
      <w:tr w:rsidR="005A3F38">
        <w:trPr>
          <w:trHeight w:val="1318"/>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3.</w:t>
            </w:r>
            <w:r>
              <w:rPr>
                <w:rFonts w:ascii="Times New Roman" w:eastAsia="Times New Roman" w:hAnsi="Times New Roman" w:cs="Times New Roman"/>
                <w:sz w:val="24"/>
              </w:rPr>
              <w:t xml:space="preserve">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1"/>
              <w:jc w:val="both"/>
            </w:pPr>
            <w:r>
              <w:rPr>
                <w:rFonts w:ascii="Times New Roman" w:eastAsia="Times New Roman" w:hAnsi="Times New Roman" w:cs="Times New Roman"/>
                <w:sz w:val="24"/>
              </w:rPr>
              <w:t xml:space="preserve">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 </w:t>
            </w:r>
          </w:p>
        </w:tc>
      </w:tr>
      <w:tr w:rsidR="005A3F38">
        <w:trPr>
          <w:trHeight w:val="490"/>
        </w:trPr>
        <w:tc>
          <w:tcPr>
            <w:tcW w:w="624"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0"/>
              <w:jc w:val="center"/>
            </w:pPr>
            <w:r>
              <w:rPr>
                <w:rFonts w:ascii="Times New Roman" w:eastAsia="Times New Roman" w:hAnsi="Times New Roman" w:cs="Times New Roman"/>
                <w:sz w:val="24"/>
              </w:rPr>
              <w:t xml:space="preserve">4.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 xml:space="preserve">Несравнительные исследования, описание клинического случая </w:t>
            </w:r>
          </w:p>
        </w:tc>
      </w:tr>
      <w:tr w:rsidR="005A3F38">
        <w:trPr>
          <w:trHeight w:val="490"/>
        </w:trPr>
        <w:tc>
          <w:tcPr>
            <w:tcW w:w="624"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0"/>
              <w:jc w:val="center"/>
            </w:pPr>
            <w:r>
              <w:rPr>
                <w:rFonts w:ascii="Times New Roman" w:eastAsia="Times New Roman" w:hAnsi="Times New Roman" w:cs="Times New Roman"/>
                <w:sz w:val="24"/>
              </w:rPr>
              <w:t xml:space="preserve">5.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 xml:space="preserve">Имеется лишь обоснование механизма действия или мнение экспертов </w:t>
            </w:r>
          </w:p>
        </w:tc>
      </w:tr>
    </w:tbl>
    <w:p w:rsidR="005A3F38" w:rsidRDefault="003114B5">
      <w:pPr>
        <w:spacing w:after="0"/>
        <w:ind w:left="360"/>
      </w:pPr>
      <w:r>
        <w:rPr>
          <w:rFonts w:ascii="Times New Roman" w:eastAsia="Times New Roman" w:hAnsi="Times New Roman" w:cs="Times New Roman"/>
          <w:sz w:val="24"/>
        </w:rPr>
        <w:t xml:space="preserve"> </w:t>
      </w:r>
    </w:p>
    <w:p w:rsidR="005A3F38" w:rsidRDefault="003114B5">
      <w:pPr>
        <w:spacing w:after="20" w:line="265" w:lineRule="auto"/>
        <w:ind w:left="10" w:right="-11" w:hanging="10"/>
        <w:jc w:val="right"/>
      </w:pPr>
      <w:r>
        <w:rPr>
          <w:rFonts w:ascii="Times New Roman" w:eastAsia="Times New Roman" w:hAnsi="Times New Roman" w:cs="Times New Roman"/>
          <w:b/>
          <w:sz w:val="24"/>
        </w:rPr>
        <w:t xml:space="preserve">Таблица 4. </w:t>
      </w:r>
    </w:p>
    <w:p w:rsidR="005A3F38" w:rsidRDefault="003114B5">
      <w:pPr>
        <w:spacing w:after="0" w:line="249" w:lineRule="auto"/>
        <w:ind w:left="355" w:hanging="10"/>
      </w:pPr>
      <w:r>
        <w:rPr>
          <w:rFonts w:ascii="Times New Roman" w:eastAsia="Times New Roman" w:hAnsi="Times New Roman" w:cs="Times New Roman"/>
          <w:b/>
          <w:sz w:val="24"/>
        </w:rPr>
        <w:t xml:space="preserve"> Шкала оценки уровней достоверности доказательств (УДД) для методов профилактики, лечения, </w:t>
      </w:r>
      <w:r>
        <w:rPr>
          <w:rFonts w:ascii="Times New Roman" w:eastAsia="Times New Roman" w:hAnsi="Times New Roman" w:cs="Times New Roman"/>
          <w:b/>
          <w:sz w:val="24"/>
        </w:rPr>
        <w:t xml:space="preserve">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 </w:t>
      </w:r>
    </w:p>
    <w:p w:rsidR="005A3F38" w:rsidRDefault="003114B5">
      <w:pPr>
        <w:spacing w:after="0"/>
        <w:ind w:left="360"/>
      </w:pPr>
      <w:r>
        <w:rPr>
          <w:rFonts w:ascii="Times New Roman" w:eastAsia="Times New Roman" w:hAnsi="Times New Roman" w:cs="Times New Roman"/>
          <w:sz w:val="24"/>
        </w:rPr>
        <w:t xml:space="preserve"> </w:t>
      </w:r>
    </w:p>
    <w:tbl>
      <w:tblPr>
        <w:tblStyle w:val="TableGrid"/>
        <w:tblW w:w="9074" w:type="dxa"/>
        <w:tblInd w:w="428" w:type="dxa"/>
        <w:tblCellMar>
          <w:top w:w="162" w:type="dxa"/>
          <w:left w:w="62" w:type="dxa"/>
          <w:bottom w:w="0" w:type="dxa"/>
          <w:right w:w="5" w:type="dxa"/>
        </w:tblCellMar>
        <w:tblLook w:val="04A0" w:firstRow="1" w:lastRow="0" w:firstColumn="1" w:lastColumn="0" w:noHBand="0" w:noVBand="1"/>
      </w:tblPr>
      <w:tblGrid>
        <w:gridCol w:w="624"/>
        <w:gridCol w:w="8450"/>
      </w:tblGrid>
      <w:tr w:rsidR="005A3F38">
        <w:trPr>
          <w:trHeight w:val="492"/>
        </w:trPr>
        <w:tc>
          <w:tcPr>
            <w:tcW w:w="624"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jc w:val="both"/>
            </w:pPr>
            <w:r>
              <w:rPr>
                <w:rFonts w:ascii="Times New Roman" w:eastAsia="Times New Roman" w:hAnsi="Times New Roman" w:cs="Times New Roman"/>
                <w:sz w:val="24"/>
              </w:rPr>
              <w:t xml:space="preserve">УДД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58"/>
              <w:jc w:val="center"/>
            </w:pPr>
            <w:r>
              <w:rPr>
                <w:rFonts w:ascii="Times New Roman" w:eastAsia="Times New Roman" w:hAnsi="Times New Roman" w:cs="Times New Roman"/>
                <w:sz w:val="24"/>
              </w:rPr>
              <w:t xml:space="preserve">Расшифровка </w:t>
            </w:r>
          </w:p>
        </w:tc>
      </w:tr>
      <w:tr w:rsidR="005A3F38">
        <w:trPr>
          <w:trHeight w:val="766"/>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1.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Систематический обзор рандомизированных клинических исследований с применение</w:t>
            </w:r>
            <w:r>
              <w:rPr>
                <w:rFonts w:ascii="Times New Roman" w:eastAsia="Times New Roman" w:hAnsi="Times New Roman" w:cs="Times New Roman"/>
                <w:sz w:val="24"/>
              </w:rPr>
              <w:t xml:space="preserve">м мета-анализа </w:t>
            </w:r>
          </w:p>
        </w:tc>
      </w:tr>
      <w:tr w:rsidR="005A3F38">
        <w:trPr>
          <w:trHeight w:val="1042"/>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2.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3"/>
              <w:jc w:val="both"/>
            </w:pPr>
            <w:r>
              <w:rPr>
                <w:rFonts w:ascii="Times New Roman" w:eastAsia="Times New Roman" w:hAnsi="Times New Roman" w:cs="Times New Roman"/>
                <w:sz w:val="24"/>
              </w:rPr>
              <w:t xml:space="preserve">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 </w:t>
            </w:r>
          </w:p>
        </w:tc>
      </w:tr>
      <w:tr w:rsidR="005A3F38">
        <w:trPr>
          <w:trHeight w:val="766"/>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3.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 xml:space="preserve">Нерандомизированные сравнительные исследования, в том числе когортные исследования </w:t>
            </w:r>
          </w:p>
        </w:tc>
      </w:tr>
      <w:tr w:rsidR="005A3F38">
        <w:trPr>
          <w:trHeight w:val="766"/>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4.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jc w:val="both"/>
            </w:pPr>
            <w:r>
              <w:rPr>
                <w:rFonts w:ascii="Times New Roman" w:eastAsia="Times New Roman" w:hAnsi="Times New Roman" w:cs="Times New Roman"/>
                <w:sz w:val="24"/>
              </w:rPr>
              <w:t xml:space="preserve">Несравнительные исследования, описание клинического случая или серии случаев, исследование "случай-контроль" </w:t>
            </w:r>
          </w:p>
        </w:tc>
      </w:tr>
      <w:tr w:rsidR="005A3F38">
        <w:trPr>
          <w:trHeight w:val="766"/>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60"/>
              <w:jc w:val="center"/>
            </w:pPr>
            <w:r>
              <w:rPr>
                <w:rFonts w:ascii="Times New Roman" w:eastAsia="Times New Roman" w:hAnsi="Times New Roman" w:cs="Times New Roman"/>
                <w:sz w:val="24"/>
              </w:rPr>
              <w:t xml:space="preserve">5.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jc w:val="both"/>
            </w:pPr>
            <w:r>
              <w:rPr>
                <w:rFonts w:ascii="Times New Roman" w:eastAsia="Times New Roman" w:hAnsi="Times New Roman" w:cs="Times New Roman"/>
                <w:sz w:val="24"/>
              </w:rPr>
              <w:t xml:space="preserve">Имеется лишь обоснование механизма действия вмешательства (доклинические исследования) или мнение экспертов </w:t>
            </w:r>
          </w:p>
        </w:tc>
      </w:tr>
    </w:tbl>
    <w:p w:rsidR="005A3F38" w:rsidRDefault="003114B5">
      <w:pPr>
        <w:spacing w:after="0"/>
        <w:ind w:left="413"/>
        <w:jc w:val="center"/>
      </w:pPr>
      <w:r>
        <w:rPr>
          <w:rFonts w:ascii="Times New Roman" w:eastAsia="Times New Roman" w:hAnsi="Times New Roman" w:cs="Times New Roman"/>
          <w:b/>
          <w:sz w:val="24"/>
        </w:rPr>
        <w:t xml:space="preserve"> </w:t>
      </w:r>
    </w:p>
    <w:p w:rsidR="005A3F38" w:rsidRDefault="003114B5">
      <w:pPr>
        <w:spacing w:after="0" w:line="249" w:lineRule="auto"/>
        <w:ind w:left="345" w:firstLine="9182"/>
      </w:pPr>
      <w:r>
        <w:rPr>
          <w:rFonts w:ascii="Times New Roman" w:eastAsia="Times New Roman" w:hAnsi="Times New Roman" w:cs="Times New Roman"/>
          <w:b/>
          <w:sz w:val="24"/>
        </w:rPr>
        <w:t xml:space="preserve">Таблица 5.  Шкала оценки уровней убедительности рекомендаций (УУР) для методов профилактики, диагностики, лечения, </w:t>
      </w:r>
      <w:r>
        <w:rPr>
          <w:rFonts w:ascii="Times New Roman" w:eastAsia="Times New Roman" w:hAnsi="Times New Roman" w:cs="Times New Roman"/>
          <w:b/>
          <w:sz w:val="24"/>
        </w:rPr>
        <w:t xml:space="preserve">медицинской реабилитации, в том числе основанных на использовании природных </w:t>
      </w:r>
      <w:r>
        <w:rPr>
          <w:rFonts w:ascii="Times New Roman" w:eastAsia="Times New Roman" w:hAnsi="Times New Roman" w:cs="Times New Roman"/>
          <w:b/>
          <w:sz w:val="24"/>
        </w:rPr>
        <w:tab/>
        <w:t xml:space="preserve">лечебных </w:t>
      </w:r>
      <w:r>
        <w:rPr>
          <w:rFonts w:ascii="Times New Roman" w:eastAsia="Times New Roman" w:hAnsi="Times New Roman" w:cs="Times New Roman"/>
          <w:b/>
          <w:sz w:val="24"/>
        </w:rPr>
        <w:tab/>
        <w:t xml:space="preserve">факторов </w:t>
      </w:r>
      <w:r>
        <w:rPr>
          <w:rFonts w:ascii="Times New Roman" w:eastAsia="Times New Roman" w:hAnsi="Times New Roman" w:cs="Times New Roman"/>
          <w:b/>
          <w:sz w:val="24"/>
        </w:rPr>
        <w:tab/>
        <w:t xml:space="preserve">(профилактических, </w:t>
      </w:r>
      <w:r>
        <w:rPr>
          <w:rFonts w:ascii="Times New Roman" w:eastAsia="Times New Roman" w:hAnsi="Times New Roman" w:cs="Times New Roman"/>
          <w:b/>
          <w:sz w:val="24"/>
        </w:rPr>
        <w:tab/>
        <w:t xml:space="preserve">лечебных, </w:t>
      </w:r>
      <w:r>
        <w:rPr>
          <w:rFonts w:ascii="Times New Roman" w:eastAsia="Times New Roman" w:hAnsi="Times New Roman" w:cs="Times New Roman"/>
          <w:b/>
          <w:sz w:val="24"/>
        </w:rPr>
        <w:tab/>
        <w:t xml:space="preserve">реабилитационных вмешательств) </w:t>
      </w:r>
    </w:p>
    <w:p w:rsidR="005A3F38" w:rsidRDefault="003114B5">
      <w:pPr>
        <w:spacing w:after="0"/>
        <w:ind w:left="360"/>
      </w:pPr>
      <w:r>
        <w:rPr>
          <w:rFonts w:ascii="Times New Roman" w:eastAsia="Times New Roman" w:hAnsi="Times New Roman" w:cs="Times New Roman"/>
          <w:sz w:val="24"/>
        </w:rPr>
        <w:t xml:space="preserve"> </w:t>
      </w:r>
    </w:p>
    <w:tbl>
      <w:tblPr>
        <w:tblStyle w:val="TableGrid"/>
        <w:tblW w:w="9074" w:type="dxa"/>
        <w:tblInd w:w="428" w:type="dxa"/>
        <w:tblCellMar>
          <w:top w:w="162" w:type="dxa"/>
          <w:left w:w="62" w:type="dxa"/>
          <w:bottom w:w="0" w:type="dxa"/>
          <w:right w:w="8" w:type="dxa"/>
        </w:tblCellMar>
        <w:tblLook w:val="04A0" w:firstRow="1" w:lastRow="0" w:firstColumn="1" w:lastColumn="0" w:noHBand="0" w:noVBand="1"/>
      </w:tblPr>
      <w:tblGrid>
        <w:gridCol w:w="624"/>
        <w:gridCol w:w="8450"/>
      </w:tblGrid>
      <w:tr w:rsidR="005A3F38">
        <w:trPr>
          <w:trHeight w:val="492"/>
        </w:trPr>
        <w:tc>
          <w:tcPr>
            <w:tcW w:w="624"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12"/>
              <w:jc w:val="both"/>
            </w:pPr>
            <w:r>
              <w:rPr>
                <w:rFonts w:ascii="Times New Roman" w:eastAsia="Times New Roman" w:hAnsi="Times New Roman" w:cs="Times New Roman"/>
                <w:sz w:val="24"/>
              </w:rPr>
              <w:t xml:space="preserve">УУР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54"/>
              <w:jc w:val="center"/>
            </w:pPr>
            <w:r>
              <w:rPr>
                <w:rFonts w:ascii="Times New Roman" w:eastAsia="Times New Roman" w:hAnsi="Times New Roman" w:cs="Times New Roman"/>
                <w:sz w:val="24"/>
              </w:rPr>
              <w:t xml:space="preserve">Расшифровка </w:t>
            </w:r>
          </w:p>
        </w:tc>
      </w:tr>
      <w:tr w:rsidR="005A3F38">
        <w:trPr>
          <w:trHeight w:val="1318"/>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63"/>
            </w:pPr>
            <w:r>
              <w:rPr>
                <w:rFonts w:ascii="Times New Roman" w:eastAsia="Times New Roman" w:hAnsi="Times New Roman" w:cs="Times New Roman"/>
                <w:sz w:val="24"/>
              </w:rPr>
              <w:t xml:space="preserve">A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58"/>
              <w:jc w:val="both"/>
            </w:pPr>
            <w:r>
              <w:rPr>
                <w:rFonts w:ascii="Times New Roman" w:eastAsia="Times New Roman" w:hAnsi="Times New Roman" w:cs="Times New Roman"/>
                <w:sz w:val="24"/>
              </w:rP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5A3F38">
        <w:trPr>
          <w:trHeight w:val="1318"/>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57"/>
              <w:jc w:val="center"/>
            </w:pPr>
            <w:r>
              <w:rPr>
                <w:rFonts w:ascii="Times New Roman" w:eastAsia="Times New Roman" w:hAnsi="Times New Roman" w:cs="Times New Roman"/>
                <w:sz w:val="24"/>
              </w:rPr>
              <w:t xml:space="preserve">B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58"/>
              <w:jc w:val="both"/>
            </w:pPr>
            <w:r>
              <w:rPr>
                <w:rFonts w:ascii="Times New Roman" w:eastAsia="Times New Roman" w:hAnsi="Times New Roman" w:cs="Times New Roman"/>
                <w:sz w:val="24"/>
              </w:rP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 </w:t>
            </w:r>
          </w:p>
        </w:tc>
      </w:tr>
      <w:tr w:rsidR="005A3F38">
        <w:trPr>
          <w:trHeight w:val="1318"/>
        </w:trPr>
        <w:tc>
          <w:tcPr>
            <w:tcW w:w="62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57"/>
              <w:jc w:val="center"/>
            </w:pPr>
            <w:r>
              <w:rPr>
                <w:rFonts w:ascii="Times New Roman" w:eastAsia="Times New Roman" w:hAnsi="Times New Roman" w:cs="Times New Roman"/>
                <w:sz w:val="24"/>
              </w:rPr>
              <w:t xml:space="preserve">C </w:t>
            </w:r>
          </w:p>
        </w:tc>
        <w:tc>
          <w:tcPr>
            <w:tcW w:w="845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right="60"/>
              <w:jc w:val="both"/>
            </w:pPr>
            <w:r>
              <w:rPr>
                <w:rFonts w:ascii="Times New Roman" w:eastAsia="Times New Roman" w:hAnsi="Times New Roman" w:cs="Times New Roman"/>
                <w:sz w:val="24"/>
              </w:rPr>
              <w:t>Слаб</w:t>
            </w:r>
            <w:r>
              <w:rPr>
                <w:rFonts w:ascii="Times New Roman" w:eastAsia="Times New Roman" w:hAnsi="Times New Roman" w:cs="Times New Roman"/>
                <w:sz w:val="24"/>
              </w:rPr>
              <w:t xml:space="preserve">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 </w:t>
            </w:r>
          </w:p>
        </w:tc>
      </w:tr>
    </w:tbl>
    <w:p w:rsidR="005A3F38" w:rsidRDefault="003114B5">
      <w:pPr>
        <w:spacing w:after="0"/>
        <w:ind w:left="360"/>
      </w:pPr>
      <w:r>
        <w:rPr>
          <w:rFonts w:ascii="Times New Roman" w:eastAsia="Times New Roman" w:hAnsi="Times New Roman" w:cs="Times New Roman"/>
          <w:sz w:val="24"/>
        </w:rPr>
        <w:t xml:space="preserve"> </w:t>
      </w:r>
    </w:p>
    <w:p w:rsidR="005A3F38" w:rsidRDefault="003114B5">
      <w:pPr>
        <w:spacing w:after="0"/>
        <w:ind w:left="680"/>
      </w:pPr>
      <w:r>
        <w:rPr>
          <w:rFonts w:ascii="Times New Roman" w:eastAsia="Times New Roman" w:hAnsi="Times New Roman" w:cs="Times New Roman"/>
          <w:b/>
          <w:sz w:val="24"/>
        </w:rPr>
        <w:t xml:space="preserve"> </w:t>
      </w:r>
    </w:p>
    <w:p w:rsidR="005A3F38" w:rsidRDefault="003114B5">
      <w:pPr>
        <w:spacing w:after="76" w:line="239" w:lineRule="auto"/>
        <w:ind w:left="345" w:right="-3" w:firstLine="309"/>
        <w:jc w:val="both"/>
      </w:pPr>
      <w:r>
        <w:rPr>
          <w:rFonts w:ascii="Times New Roman" w:eastAsia="Times New Roman" w:hAnsi="Times New Roman" w:cs="Times New Roman"/>
          <w:b/>
          <w:sz w:val="24"/>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w:t>
      </w:r>
      <w:r>
        <w:rPr>
          <w:rFonts w:ascii="Times New Roman" w:eastAsia="Times New Roman" w:hAnsi="Times New Roman" w:cs="Times New Roman"/>
          <w:b/>
          <w:sz w:val="24"/>
        </w:rPr>
        <w:t>литации конкретных заболеваний, наличии обоснованных дополнений/замечаний к ранее утверждённым КР, но не чаще 1 раза в 6 месяцев.</w:t>
      </w:r>
      <w:r>
        <w:rPr>
          <w:rFonts w:ascii="Times New Roman" w:eastAsia="Times New Roman" w:hAnsi="Times New Roman" w:cs="Times New Roman"/>
          <w:sz w:val="24"/>
        </w:rPr>
        <w:t xml:space="preserve"> </w:t>
      </w:r>
    </w:p>
    <w:p w:rsidR="005A3F38" w:rsidRDefault="003114B5">
      <w:pPr>
        <w:spacing w:after="0"/>
        <w:ind w:left="36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5A3F38" w:rsidRDefault="003114B5">
      <w:pPr>
        <w:pStyle w:val="Heading1"/>
        <w:ind w:left="370"/>
      </w:pPr>
      <w:bookmarkStart w:id="42" w:name="_Toc141915"/>
      <w: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w:t>
      </w:r>
      <w:r>
        <w:t xml:space="preserve"> </w:t>
      </w:r>
      <w:r>
        <w:t>лекарственного препарата</w:t>
      </w:r>
      <w:r>
        <w:t xml:space="preserve"> </w:t>
      </w:r>
      <w:bookmarkEnd w:id="42"/>
    </w:p>
    <w:p w:rsidR="005A3F38" w:rsidRDefault="003114B5">
      <w:pPr>
        <w:spacing w:after="0"/>
        <w:ind w:left="360"/>
      </w:pPr>
      <w:r>
        <w:rPr>
          <w:rFonts w:ascii="Times New Roman" w:eastAsia="Times New Roman" w:hAnsi="Times New Roman" w:cs="Times New Roman"/>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Порядки оказания медицинской помощи:  </w:t>
      </w:r>
    </w:p>
    <w:p w:rsidR="005A3F38" w:rsidRDefault="003114B5">
      <w:pPr>
        <w:numPr>
          <w:ilvl w:val="0"/>
          <w:numId w:val="49"/>
        </w:numPr>
        <w:spacing w:after="5" w:line="364" w:lineRule="auto"/>
        <w:ind w:right="2" w:hanging="10"/>
        <w:jc w:val="both"/>
      </w:pPr>
      <w:r>
        <w:rPr>
          <w:rFonts w:ascii="Times New Roman" w:eastAsia="Times New Roman" w:hAnsi="Times New Roman" w:cs="Times New Roman"/>
          <w:sz w:val="24"/>
        </w:rPr>
        <w:t>Приказ Минз</w:t>
      </w:r>
      <w:r>
        <w:rPr>
          <w:rFonts w:ascii="Times New Roman" w:eastAsia="Times New Roman" w:hAnsi="Times New Roman" w:cs="Times New Roman"/>
          <w:sz w:val="24"/>
        </w:rPr>
        <w:t xml:space="preserve">драва России от 20.02.2026 N 120н "Об утверждении Порядка оказания медицинской помощи по профилю "педиатрия"  </w:t>
      </w:r>
    </w:p>
    <w:p w:rsidR="005A3F38" w:rsidRDefault="003114B5">
      <w:pPr>
        <w:numPr>
          <w:ilvl w:val="0"/>
          <w:numId w:val="49"/>
        </w:numPr>
        <w:spacing w:after="5" w:line="364" w:lineRule="auto"/>
        <w:ind w:right="2" w:hanging="10"/>
        <w:jc w:val="both"/>
      </w:pPr>
      <w:r>
        <w:rPr>
          <w:rFonts w:ascii="Times New Roman" w:eastAsia="Times New Roman" w:hAnsi="Times New Roman" w:cs="Times New Roman"/>
          <w:sz w:val="24"/>
        </w:rPr>
        <w:t xml:space="preserve">Приказ Министерства здравоохранения и социального развития РФ от от 05.05.2012 №521н «Об утверждении Порядка оказания медицинской помощи детям с </w:t>
      </w:r>
      <w:r>
        <w:rPr>
          <w:rFonts w:ascii="Times New Roman" w:eastAsia="Times New Roman" w:hAnsi="Times New Roman" w:cs="Times New Roman"/>
          <w:sz w:val="24"/>
        </w:rPr>
        <w:t xml:space="preserve">инфекционными заболеваниями»  </w:t>
      </w:r>
    </w:p>
    <w:p w:rsidR="005A3F38" w:rsidRDefault="003114B5">
      <w:pPr>
        <w:spacing w:after="115"/>
        <w:ind w:left="1080"/>
      </w:pPr>
      <w:r>
        <w:rPr>
          <w:rFonts w:ascii="Times New Roman" w:eastAsia="Times New Roman" w:hAnsi="Times New Roman" w:cs="Times New Roman"/>
          <w:sz w:val="24"/>
        </w:rPr>
        <w:t xml:space="preserve"> </w:t>
      </w:r>
    </w:p>
    <w:p w:rsidR="005A3F38" w:rsidRDefault="003114B5">
      <w:pPr>
        <w:spacing w:after="5" w:line="364" w:lineRule="auto"/>
        <w:ind w:left="355" w:right="2" w:hanging="10"/>
        <w:jc w:val="both"/>
      </w:pPr>
      <w:r>
        <w:rPr>
          <w:rFonts w:ascii="Times New Roman" w:eastAsia="Times New Roman" w:hAnsi="Times New Roman" w:cs="Times New Roman"/>
          <w:b/>
          <w:sz w:val="24"/>
        </w:rPr>
        <w:t xml:space="preserve">Критерии оценки качества медицинской помощи: </w:t>
      </w:r>
      <w:r>
        <w:rPr>
          <w:rFonts w:ascii="Times New Roman" w:eastAsia="Times New Roman" w:hAnsi="Times New Roman" w:cs="Times New Roman"/>
          <w:sz w:val="24"/>
        </w:rPr>
        <w:t xml:space="preserve">Приказ Минздрава России №203н от 14.04.2025 «Об утверждении критериев оценки качества медицинской помощи» </w:t>
      </w:r>
    </w:p>
    <w:p w:rsidR="005A3F38" w:rsidRDefault="003114B5">
      <w:pPr>
        <w:spacing w:after="115"/>
        <w:ind w:left="360"/>
      </w:pPr>
      <w:r>
        <w:rPr>
          <w:rFonts w:ascii="Times New Roman" w:eastAsia="Times New Roman" w:hAnsi="Times New Roman" w:cs="Times New Roman"/>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Прочие документы, использованные при подготовке клинических рекоменда</w:t>
      </w:r>
      <w:r>
        <w:rPr>
          <w:rFonts w:ascii="Times New Roman" w:eastAsia="Times New Roman" w:hAnsi="Times New Roman" w:cs="Times New Roman"/>
          <w:b/>
          <w:sz w:val="24"/>
        </w:rPr>
        <w:t xml:space="preserve">ций: </w:t>
      </w:r>
    </w:p>
    <w:p w:rsidR="005A3F38" w:rsidRDefault="003114B5">
      <w:pPr>
        <w:numPr>
          <w:ilvl w:val="0"/>
          <w:numId w:val="50"/>
        </w:numPr>
        <w:spacing w:after="5" w:line="238" w:lineRule="auto"/>
        <w:ind w:right="2" w:hanging="360"/>
        <w:jc w:val="both"/>
      </w:pPr>
      <w:r>
        <w:rPr>
          <w:rFonts w:ascii="Times New Roman" w:eastAsia="Times New Roman" w:hAnsi="Times New Roman" w:cs="Times New Roman"/>
          <w:sz w:val="24"/>
        </w:rPr>
        <w:t xml:space="preserve">Федеральный закон от 21 ноября 2011 г. № 323-ФЗ «Об основах охраны здоровья граждан в Российской Федерации»; </w:t>
      </w:r>
    </w:p>
    <w:p w:rsidR="005A3F38" w:rsidRDefault="003114B5">
      <w:pPr>
        <w:numPr>
          <w:ilvl w:val="0"/>
          <w:numId w:val="50"/>
        </w:numPr>
        <w:spacing w:after="5" w:line="238" w:lineRule="auto"/>
        <w:ind w:right="2" w:hanging="360"/>
        <w:jc w:val="both"/>
      </w:pPr>
      <w:r>
        <w:rPr>
          <w:rFonts w:ascii="Times New Roman" w:eastAsia="Times New Roman" w:hAnsi="Times New Roman" w:cs="Times New Roman"/>
          <w:sz w:val="24"/>
        </w:rPr>
        <w:t xml:space="preserve">Федеральный закон Российской Федерации от 29 ноября 2010 г. №326-ФЗ «Об обязательном медицинском страховании в Российской Федерации»; </w:t>
      </w:r>
    </w:p>
    <w:p w:rsidR="005A3F38" w:rsidRDefault="003114B5">
      <w:pPr>
        <w:numPr>
          <w:ilvl w:val="0"/>
          <w:numId w:val="50"/>
        </w:numPr>
        <w:spacing w:after="5" w:line="238" w:lineRule="auto"/>
        <w:ind w:right="2" w:hanging="360"/>
        <w:jc w:val="both"/>
      </w:pPr>
      <w:r>
        <w:rPr>
          <w:rFonts w:ascii="Times New Roman" w:eastAsia="Times New Roman" w:hAnsi="Times New Roman" w:cs="Times New Roman"/>
          <w:sz w:val="24"/>
        </w:rPr>
        <w:t>Федер</w:t>
      </w:r>
      <w:r>
        <w:rPr>
          <w:rFonts w:ascii="Times New Roman" w:eastAsia="Times New Roman" w:hAnsi="Times New Roman" w:cs="Times New Roman"/>
          <w:sz w:val="24"/>
        </w:rPr>
        <w:t xml:space="preserve">альный закон Российской Федерации от 30 марта 1999 №52-ФЗ «О санитарноэпидемиологическом благополучии населения»; </w:t>
      </w:r>
    </w:p>
    <w:p w:rsidR="005A3F38" w:rsidRDefault="003114B5">
      <w:pPr>
        <w:numPr>
          <w:ilvl w:val="0"/>
          <w:numId w:val="50"/>
        </w:numPr>
        <w:spacing w:after="5" w:line="364" w:lineRule="auto"/>
        <w:ind w:right="2" w:hanging="360"/>
        <w:jc w:val="both"/>
      </w:pPr>
      <w:r>
        <w:rPr>
          <w:rFonts w:ascii="Times New Roman" w:eastAsia="Times New Roman" w:hAnsi="Times New Roman" w:cs="Times New Roman"/>
          <w:sz w:val="24"/>
        </w:rPr>
        <w:t>Постановление Главного государственного санитарного врача РФ от 28.01.2021 №4 «Об утверждении санитарных правил и норм СанПиН 3.3686-21 «Сани</w:t>
      </w:r>
      <w:r>
        <w:rPr>
          <w:rFonts w:ascii="Times New Roman" w:eastAsia="Times New Roman" w:hAnsi="Times New Roman" w:cs="Times New Roman"/>
          <w:sz w:val="24"/>
        </w:rPr>
        <w:t xml:space="preserve">тарно- эпидемиологические требования по профилактике инфекционных болезней» (вместе с «СанПиН 3.3686-21. </w:t>
      </w:r>
    </w:p>
    <w:p w:rsidR="005A3F38" w:rsidRDefault="003114B5">
      <w:pPr>
        <w:spacing w:after="117"/>
        <w:ind w:left="10" w:right="-1" w:hanging="10"/>
        <w:jc w:val="right"/>
      </w:pPr>
      <w:r>
        <w:rPr>
          <w:rFonts w:ascii="Times New Roman" w:eastAsia="Times New Roman" w:hAnsi="Times New Roman" w:cs="Times New Roman"/>
          <w:sz w:val="24"/>
        </w:rPr>
        <w:t xml:space="preserve">Санитарные правила и нормы...») (Зарегистрировано в Минюсте России 15.02.2021 № 62500); </w:t>
      </w:r>
    </w:p>
    <w:p w:rsidR="005A3F38" w:rsidRDefault="003114B5">
      <w:pPr>
        <w:numPr>
          <w:ilvl w:val="0"/>
          <w:numId w:val="50"/>
        </w:numPr>
        <w:spacing w:after="5" w:line="364" w:lineRule="auto"/>
        <w:ind w:right="2" w:hanging="360"/>
        <w:jc w:val="both"/>
      </w:pPr>
      <w:r>
        <w:rPr>
          <w:rFonts w:ascii="Times New Roman" w:eastAsia="Times New Roman" w:hAnsi="Times New Roman" w:cs="Times New Roman"/>
          <w:sz w:val="24"/>
        </w:rPr>
        <w:t xml:space="preserve">Приказ Министерства здравоохранения РФ от 2 мая 2023 г. № 205н «Об утверждении Номенклатуры должностей медицинских работников и фармацевтических работников»; </w:t>
      </w:r>
    </w:p>
    <w:p w:rsidR="005A3F38" w:rsidRDefault="003114B5">
      <w:pPr>
        <w:numPr>
          <w:ilvl w:val="0"/>
          <w:numId w:val="50"/>
        </w:numPr>
        <w:spacing w:after="5" w:line="364" w:lineRule="auto"/>
        <w:ind w:right="2" w:hanging="360"/>
        <w:jc w:val="both"/>
      </w:pPr>
      <w:r>
        <w:rPr>
          <w:rFonts w:ascii="Times New Roman" w:eastAsia="Times New Roman" w:hAnsi="Times New Roman" w:cs="Times New Roman"/>
          <w:sz w:val="24"/>
        </w:rPr>
        <w:t>Приказ Минздравсоцразвития России от 23.07.2010 №541н «Об утверждении Единого квалификационного с</w:t>
      </w:r>
      <w:r>
        <w:rPr>
          <w:rFonts w:ascii="Times New Roman" w:eastAsia="Times New Roman" w:hAnsi="Times New Roman" w:cs="Times New Roman"/>
          <w:sz w:val="24"/>
        </w:rPr>
        <w:t xml:space="preserve">правочника должностей руководителей, специалистов и служащих, раздел «Квалификационные характеристики должностей работников в сфере здравоохранения» (Зарегистрировано в Минюсте России 25.08.2010 №18247).  </w:t>
      </w:r>
    </w:p>
    <w:p w:rsidR="005A3F38" w:rsidRDefault="003114B5">
      <w:pPr>
        <w:numPr>
          <w:ilvl w:val="0"/>
          <w:numId w:val="50"/>
        </w:numPr>
        <w:spacing w:after="5" w:line="364" w:lineRule="auto"/>
        <w:ind w:right="2" w:hanging="360"/>
        <w:jc w:val="both"/>
      </w:pPr>
      <w:r>
        <w:rPr>
          <w:rFonts w:ascii="Times New Roman" w:eastAsia="Times New Roman" w:hAnsi="Times New Roman" w:cs="Times New Roman"/>
          <w:sz w:val="24"/>
        </w:rPr>
        <w:t>Федеральный закон от 25.12.2018 №489-ФЗ «О внесени</w:t>
      </w:r>
      <w:r>
        <w:rPr>
          <w:rFonts w:ascii="Times New Roman" w:eastAsia="Times New Roman" w:hAnsi="Times New Roman" w:cs="Times New Roman"/>
          <w:sz w:val="24"/>
        </w:rPr>
        <w:t xml:space="preserve">и изменений в статью 40 Федерального закона "Об обязательном медицинском страховании в Российской Федерации" и Федеральный закон "Об основах охраны здоровья граждан в Российской Федерации" по вопросам клинических рекомендаций». </w:t>
      </w:r>
    </w:p>
    <w:p w:rsidR="005A3F38" w:rsidRDefault="003114B5">
      <w:pPr>
        <w:numPr>
          <w:ilvl w:val="0"/>
          <w:numId w:val="50"/>
        </w:numPr>
        <w:spacing w:after="5" w:line="364" w:lineRule="auto"/>
        <w:ind w:right="2" w:hanging="360"/>
        <w:jc w:val="both"/>
      </w:pPr>
      <w:r>
        <w:rPr>
          <w:rFonts w:ascii="Times New Roman" w:eastAsia="Times New Roman" w:hAnsi="Times New Roman" w:cs="Times New Roman"/>
          <w:sz w:val="24"/>
        </w:rPr>
        <w:t>Приказ Минздрава России № 1</w:t>
      </w:r>
      <w:r>
        <w:rPr>
          <w:rFonts w:ascii="Times New Roman" w:eastAsia="Times New Roman" w:hAnsi="Times New Roman" w:cs="Times New Roman"/>
          <w:sz w:val="24"/>
        </w:rPr>
        <w:t>03н от 28.02.2019 г.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w:t>
      </w:r>
      <w:r>
        <w:rPr>
          <w:rFonts w:ascii="Times New Roman" w:eastAsia="Times New Roman" w:hAnsi="Times New Roman" w:cs="Times New Roman"/>
          <w:sz w:val="24"/>
        </w:rPr>
        <w:t xml:space="preserve">. </w:t>
      </w:r>
    </w:p>
    <w:p w:rsidR="005A3F38" w:rsidRDefault="003114B5">
      <w:pPr>
        <w:numPr>
          <w:ilvl w:val="0"/>
          <w:numId w:val="50"/>
        </w:numPr>
        <w:spacing w:after="123"/>
        <w:ind w:right="2" w:hanging="360"/>
        <w:jc w:val="both"/>
      </w:pPr>
      <w:r>
        <w:rPr>
          <w:rFonts w:ascii="Times New Roman" w:eastAsia="Times New Roman" w:hAnsi="Times New Roman" w:cs="Times New Roman"/>
          <w:sz w:val="24"/>
        </w:rPr>
        <w:t xml:space="preserve">Приказ Минздрава России от 13.10.2017 №804н "Об утверждении номенклатуры медицинских услуг". </w:t>
      </w:r>
    </w:p>
    <w:p w:rsidR="005A3F38" w:rsidRDefault="003114B5">
      <w:pPr>
        <w:numPr>
          <w:ilvl w:val="0"/>
          <w:numId w:val="50"/>
        </w:numPr>
        <w:spacing w:after="5" w:line="364" w:lineRule="auto"/>
        <w:ind w:right="2" w:hanging="360"/>
        <w:jc w:val="both"/>
      </w:pPr>
      <w:r>
        <w:rPr>
          <w:rFonts w:ascii="Times New Roman" w:eastAsia="Times New Roman" w:hAnsi="Times New Roman" w:cs="Times New Roman"/>
          <w:sz w:val="24"/>
        </w:rPr>
        <w:t>Приказ Министерства здравоохранения РФ от 24.11.2021 г. №1094н «Об утверждении порядка назначения лекарственных препаратов, форм рецептурных бланков на лекарст</w:t>
      </w:r>
      <w:r>
        <w:rPr>
          <w:rFonts w:ascii="Times New Roman" w:eastAsia="Times New Roman" w:hAnsi="Times New Roman" w:cs="Times New Roman"/>
          <w:sz w:val="24"/>
        </w:rPr>
        <w:t>венные препараты, порядка оформления указанных бланков, их учета и хранения,</w:t>
      </w: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w:t>
      </w:r>
      <w:r>
        <w:rPr>
          <w:rFonts w:ascii="Times New Roman" w:eastAsia="Times New Roman" w:hAnsi="Times New Roman" w:cs="Times New Roman"/>
          <w:sz w:val="24"/>
        </w:rPr>
        <w:t xml:space="preserve">оформления бланков рецептов, в том числе в форме электронных документов» </w:t>
      </w:r>
    </w:p>
    <w:p w:rsidR="005A3F38" w:rsidRDefault="003114B5">
      <w:pPr>
        <w:numPr>
          <w:ilvl w:val="0"/>
          <w:numId w:val="50"/>
        </w:numPr>
        <w:spacing w:after="112"/>
        <w:ind w:right="2" w:hanging="360"/>
        <w:jc w:val="both"/>
      </w:pPr>
      <w:r>
        <w:rPr>
          <w:rFonts w:ascii="Times New Roman" w:eastAsia="Times New Roman" w:hAnsi="Times New Roman" w:cs="Times New Roman"/>
          <w:sz w:val="24"/>
        </w:rPr>
        <w:t xml:space="preserve">Государственный реестр лекарственных средств: https://grls.rosminzdrav.ru </w:t>
      </w:r>
    </w:p>
    <w:p w:rsidR="005A3F38" w:rsidRDefault="003114B5">
      <w:pPr>
        <w:spacing w:after="144"/>
        <w:ind w:left="1080"/>
      </w:pPr>
      <w:r>
        <w:rPr>
          <w:rFonts w:ascii="Times New Roman" w:eastAsia="Times New Roman" w:hAnsi="Times New Roman" w:cs="Times New Roman"/>
          <w:sz w:val="24"/>
        </w:rPr>
        <w:t xml:space="preserve"> </w:t>
      </w:r>
    </w:p>
    <w:p w:rsidR="005A3F38" w:rsidRDefault="003114B5">
      <w:pPr>
        <w:spacing w:after="0"/>
        <w:ind w:left="36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br w:type="page"/>
      </w:r>
    </w:p>
    <w:p w:rsidR="005A3F38" w:rsidRDefault="003114B5">
      <w:pPr>
        <w:spacing w:after="153"/>
        <w:ind w:left="1080"/>
      </w:pPr>
      <w:r>
        <w:rPr>
          <w:rFonts w:ascii="Times New Roman" w:eastAsia="Times New Roman" w:hAnsi="Times New Roman" w:cs="Times New Roman"/>
          <w:sz w:val="24"/>
        </w:rPr>
        <w:t xml:space="preserve"> </w:t>
      </w:r>
    </w:p>
    <w:p w:rsidR="005A3F38" w:rsidRDefault="003114B5">
      <w:pPr>
        <w:pStyle w:val="Heading1"/>
        <w:ind w:left="370"/>
      </w:pPr>
      <w:bookmarkStart w:id="43" w:name="_Toc141916"/>
      <w:r>
        <w:t>Приложение А3.1</w:t>
      </w:r>
      <w:r>
        <w:t xml:space="preserve">. </w:t>
      </w:r>
      <w:r>
        <w:t>Расшифровка примечаний</w:t>
      </w:r>
      <w:r>
        <w:t xml:space="preserve"> </w:t>
      </w:r>
      <w:bookmarkEnd w:id="43"/>
    </w:p>
    <w:p w:rsidR="005A3F38" w:rsidRDefault="003114B5">
      <w:pPr>
        <w:spacing w:after="0"/>
        <w:ind w:left="360"/>
      </w:pPr>
      <w:r>
        <w:rPr>
          <w:rFonts w:ascii="Times New Roman" w:eastAsia="Times New Roman" w:hAnsi="Times New Roman" w:cs="Times New Roman"/>
          <w:b/>
          <w:sz w:val="24"/>
        </w:rPr>
        <w:t xml:space="preserve"> </w:t>
      </w:r>
    </w:p>
    <w:p w:rsidR="005A3F38" w:rsidRDefault="003114B5">
      <w:pPr>
        <w:spacing w:after="5" w:line="364" w:lineRule="auto"/>
        <w:ind w:left="355" w:right="2" w:hanging="10"/>
        <w:jc w:val="both"/>
      </w:pPr>
      <w:r>
        <w:rPr>
          <w:rFonts w:ascii="Times New Roman" w:eastAsia="Times New Roman" w:hAnsi="Times New Roman" w:cs="Times New Roman"/>
          <w:b/>
          <w:sz w:val="24"/>
        </w:rPr>
        <w:t>…</w:t>
      </w:r>
      <w:r>
        <w:rPr>
          <w:rFonts w:ascii="Times New Roman" w:eastAsia="Times New Roman" w:hAnsi="Times New Roman" w:cs="Times New Roman"/>
          <w:b/>
          <w:sz w:val="24"/>
          <w:vertAlign w:val="superscript"/>
        </w:rPr>
        <w:t>**</w:t>
      </w:r>
      <w:r>
        <w:rPr>
          <w:rFonts w:ascii="Times New Roman" w:eastAsia="Times New Roman" w:hAnsi="Times New Roman" w:cs="Times New Roman"/>
          <w:b/>
          <w:sz w:val="24"/>
        </w:rPr>
        <w:t xml:space="preserve"> – </w:t>
      </w:r>
      <w:r>
        <w:rPr>
          <w:rFonts w:ascii="Times New Roman" w:eastAsia="Times New Roman" w:hAnsi="Times New Roman" w:cs="Times New Roman"/>
          <w:sz w:val="24"/>
        </w:rPr>
        <w:t xml:space="preserve">лекарственный препарат, входящий в Перечень жизненно необходимых и важнейших лекарственных препаратов для медицинского применения (Распоряжение Правительства РФ от 18 декабря 2025 г. N 3867-р, актуальной на момент утверждения Клинических рекомендаций). </w:t>
      </w:r>
    </w:p>
    <w:p w:rsidR="005A3F38" w:rsidRDefault="003114B5">
      <w:pPr>
        <w:spacing w:after="112"/>
        <w:ind w:left="1080"/>
      </w:pPr>
      <w:r>
        <w:rPr>
          <w:rFonts w:ascii="Times New Roman" w:eastAsia="Times New Roman" w:hAnsi="Times New Roman" w:cs="Times New Roman"/>
          <w:sz w:val="24"/>
        </w:rPr>
        <w:t xml:space="preserve"> </w:t>
      </w:r>
    </w:p>
    <w:p w:rsidR="005A3F38" w:rsidRDefault="003114B5">
      <w:pPr>
        <w:spacing w:after="167"/>
        <w:ind w:left="1123"/>
        <w:jc w:val="center"/>
      </w:pPr>
      <w:r>
        <w:rPr>
          <w:rFonts w:ascii="Times New Roman" w:eastAsia="Times New Roman" w:hAnsi="Times New Roman" w:cs="Times New Roman"/>
          <w:b/>
          <w:sz w:val="24"/>
        </w:rPr>
        <w:t xml:space="preserve"> </w:t>
      </w:r>
    </w:p>
    <w:p w:rsidR="005A3F38" w:rsidRDefault="003114B5">
      <w:pPr>
        <w:spacing w:after="0"/>
        <w:ind w:left="360"/>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r>
      <w:r>
        <w:rPr>
          <w:rFonts w:ascii="Times New Roman" w:eastAsia="Times New Roman" w:hAnsi="Times New Roman" w:cs="Times New Roman"/>
          <w:b/>
          <w:sz w:val="28"/>
        </w:rPr>
        <w:t xml:space="preserve"> </w:t>
      </w:r>
    </w:p>
    <w:p w:rsidR="005A3F38" w:rsidRDefault="005A3F38">
      <w:pPr>
        <w:sectPr w:rsidR="005A3F38">
          <w:footerReference w:type="even" r:id="rId231"/>
          <w:footerReference w:type="default" r:id="rId232"/>
          <w:footerReference w:type="first" r:id="rId233"/>
          <w:pgSz w:w="11911" w:h="16841"/>
          <w:pgMar w:top="779" w:right="273" w:bottom="850" w:left="919" w:header="720" w:footer="720" w:gutter="0"/>
          <w:cols w:space="720"/>
        </w:sectPr>
      </w:pPr>
    </w:p>
    <w:p w:rsidR="005A3F38" w:rsidRDefault="003114B5">
      <w:pPr>
        <w:spacing w:after="754"/>
        <w:ind w:left="1683"/>
      </w:pPr>
      <w:r>
        <w:rPr>
          <w:rFonts w:ascii="Times New Roman" w:eastAsia="Times New Roman" w:hAnsi="Times New Roman" w:cs="Times New Roman"/>
          <w:sz w:val="20"/>
        </w:rPr>
        <w:t xml:space="preserve"> </w:t>
      </w:r>
    </w:p>
    <w:p w:rsidR="005A3F38" w:rsidRDefault="003114B5">
      <w:pPr>
        <w:pStyle w:val="Heading1"/>
        <w:spacing w:after="53"/>
        <w:ind w:left="-5"/>
      </w:pPr>
      <w:bookmarkStart w:id="44" w:name="_Toc141917"/>
      <w:r>
        <w:t>Приложение А3.</w:t>
      </w:r>
      <w:r>
        <w:t xml:space="preserve">2 </w:t>
      </w:r>
      <w:r>
        <w:t>Дифференциальная диагностика гриппа и других ОРВИ</w:t>
      </w:r>
      <w:r>
        <w:t xml:space="preserve"> </w:t>
      </w:r>
      <w:bookmarkEnd w:id="44"/>
    </w:p>
    <w:p w:rsidR="005A3F38" w:rsidRDefault="003114B5">
      <w:pPr>
        <w:spacing w:after="115"/>
        <w:ind w:left="768"/>
        <w:jc w:val="center"/>
      </w:pPr>
      <w:r>
        <w:rPr>
          <w:rFonts w:ascii="Times New Roman" w:eastAsia="Times New Roman" w:hAnsi="Times New Roman" w:cs="Times New Roman"/>
          <w:b/>
          <w:sz w:val="24"/>
        </w:rPr>
        <w:t xml:space="preserve"> </w:t>
      </w:r>
    </w:p>
    <w:p w:rsidR="005A3F38" w:rsidRDefault="003114B5">
      <w:pPr>
        <w:spacing w:after="423" w:line="265" w:lineRule="auto"/>
        <w:ind w:left="10" w:right="-11" w:hanging="10"/>
        <w:jc w:val="right"/>
      </w:pPr>
      <w:r>
        <w:rPr>
          <w:rFonts w:ascii="Times New Roman" w:eastAsia="Times New Roman" w:hAnsi="Times New Roman" w:cs="Times New Roman"/>
          <w:b/>
          <w:sz w:val="24"/>
        </w:rPr>
        <w:t xml:space="preserve">Таблица 6.  </w:t>
      </w:r>
    </w:p>
    <w:p w:rsidR="005A3F38" w:rsidRDefault="003114B5">
      <w:pPr>
        <w:spacing w:after="10" w:line="249" w:lineRule="auto"/>
        <w:ind w:left="1249" w:hanging="10"/>
      </w:pPr>
      <w:r>
        <w:rPr>
          <w:rFonts w:ascii="Times New Roman" w:eastAsia="Times New Roman" w:hAnsi="Times New Roman" w:cs="Times New Roman"/>
          <w:b/>
          <w:sz w:val="24"/>
        </w:rPr>
        <w:t>Дифференциальная диагностика гриппа, COVID-19, ОРВИ (письмо</w:t>
      </w:r>
      <w:r>
        <w:rPr>
          <w:rFonts w:ascii="Times New Roman" w:eastAsia="Times New Roman" w:hAnsi="Times New Roman" w:cs="Times New Roman"/>
          <w:b/>
          <w:sz w:val="24"/>
        </w:rPr>
        <w:t xml:space="preserve"> Минздрава России от 02.12.2022 № 30-4/И/1-20714) </w:t>
      </w:r>
    </w:p>
    <w:tbl>
      <w:tblPr>
        <w:tblStyle w:val="TableGrid"/>
        <w:tblW w:w="15425" w:type="dxa"/>
        <w:tblInd w:w="22" w:type="dxa"/>
        <w:tblCellMar>
          <w:top w:w="52" w:type="dxa"/>
          <w:left w:w="2" w:type="dxa"/>
          <w:bottom w:w="0" w:type="dxa"/>
          <w:right w:w="98" w:type="dxa"/>
        </w:tblCellMar>
        <w:tblLook w:val="04A0" w:firstRow="1" w:lastRow="0" w:firstColumn="1" w:lastColumn="0" w:noHBand="0" w:noVBand="1"/>
      </w:tblPr>
      <w:tblGrid>
        <w:gridCol w:w="3120"/>
        <w:gridCol w:w="3401"/>
        <w:gridCol w:w="3262"/>
        <w:gridCol w:w="2693"/>
        <w:gridCol w:w="2948"/>
      </w:tblGrid>
      <w:tr w:rsidR="005A3F38">
        <w:trPr>
          <w:trHeight w:val="37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8"/>
              <w:jc w:val="center"/>
            </w:pPr>
            <w:r>
              <w:rPr>
                <w:rFonts w:ascii="Times New Roman" w:eastAsia="Times New Roman" w:hAnsi="Times New Roman" w:cs="Times New Roman"/>
                <w:b/>
                <w:sz w:val="24"/>
              </w:rPr>
              <w:t xml:space="preserve">Признаки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jc w:val="center"/>
            </w:pPr>
            <w:r>
              <w:rPr>
                <w:rFonts w:ascii="Times New Roman" w:eastAsia="Times New Roman" w:hAnsi="Times New Roman" w:cs="Times New Roman"/>
                <w:b/>
                <w:sz w:val="24"/>
              </w:rPr>
              <w:t xml:space="preserve">Грипп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2"/>
              <w:jc w:val="center"/>
            </w:pPr>
            <w:r>
              <w:rPr>
                <w:rFonts w:ascii="Times New Roman" w:eastAsia="Times New Roman" w:hAnsi="Times New Roman" w:cs="Times New Roman"/>
                <w:b/>
                <w:sz w:val="24"/>
              </w:rPr>
              <w:t xml:space="preserve">COVID-19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2"/>
              <w:jc w:val="center"/>
            </w:pPr>
            <w:r>
              <w:rPr>
                <w:rFonts w:ascii="Times New Roman" w:eastAsia="Times New Roman" w:hAnsi="Times New Roman" w:cs="Times New Roman"/>
                <w:b/>
                <w:sz w:val="24"/>
              </w:rPr>
              <w:t xml:space="preserve">РС-вирус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79"/>
              <w:jc w:val="center"/>
            </w:pPr>
            <w:r>
              <w:rPr>
                <w:rFonts w:ascii="Times New Roman" w:eastAsia="Times New Roman" w:hAnsi="Times New Roman" w:cs="Times New Roman"/>
                <w:b/>
                <w:sz w:val="24"/>
              </w:rPr>
              <w:t xml:space="preserve">ОРВИ, неуточненная </w:t>
            </w:r>
          </w:p>
        </w:tc>
      </w:tr>
      <w:tr w:rsidR="005A3F38">
        <w:trPr>
          <w:trHeight w:val="838"/>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Инкубационный период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остро, 12-48 часов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2-14 дней, чаще 5-7 дней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3-7 дней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right="90"/>
              <w:jc w:val="both"/>
            </w:pPr>
            <w:r>
              <w:rPr>
                <w:rFonts w:ascii="Times New Roman" w:eastAsia="Times New Roman" w:hAnsi="Times New Roman" w:cs="Times New Roman"/>
                <w:sz w:val="24"/>
              </w:rPr>
              <w:t xml:space="preserve">1-13 дней, чаще 2-3 дня (аденовирусная инфекция до 13 дней) </w:t>
            </w:r>
          </w:p>
        </w:tc>
      </w:tr>
      <w:tr w:rsidR="005A3F38">
        <w:trPr>
          <w:trHeight w:val="838"/>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Преимущественное поражение респираторного тракта: </w:t>
            </w:r>
          </w:p>
        </w:tc>
        <w:tc>
          <w:tcPr>
            <w:tcW w:w="3401" w:type="dxa"/>
            <w:tcBorders>
              <w:top w:val="single" w:sz="4" w:space="0" w:color="000000"/>
              <w:left w:val="single" w:sz="4" w:space="0" w:color="000000"/>
              <w:bottom w:val="single" w:sz="4" w:space="0" w:color="000000"/>
              <w:right w:val="nil"/>
            </w:tcBorders>
          </w:tcPr>
          <w:p w:rsidR="005A3F38" w:rsidRDefault="003114B5">
            <w:pPr>
              <w:spacing w:after="0"/>
            </w:pPr>
            <w:r>
              <w:rPr>
                <w:rFonts w:ascii="Times New Roman" w:eastAsia="Times New Roman" w:hAnsi="Times New Roman" w:cs="Times New Roman"/>
                <w:sz w:val="24"/>
              </w:rPr>
              <w:t xml:space="preserve"> </w:t>
            </w:r>
          </w:p>
        </w:tc>
        <w:tc>
          <w:tcPr>
            <w:tcW w:w="3262" w:type="dxa"/>
            <w:tcBorders>
              <w:top w:val="single" w:sz="4" w:space="0" w:color="000000"/>
              <w:left w:val="nil"/>
              <w:bottom w:val="single" w:sz="4" w:space="0" w:color="000000"/>
              <w:right w:val="nil"/>
            </w:tcBorders>
          </w:tcPr>
          <w:p w:rsidR="005A3F38" w:rsidRDefault="005A3F38"/>
        </w:tc>
        <w:tc>
          <w:tcPr>
            <w:tcW w:w="2693" w:type="dxa"/>
            <w:tcBorders>
              <w:top w:val="single" w:sz="4" w:space="0" w:color="000000"/>
              <w:left w:val="nil"/>
              <w:bottom w:val="single" w:sz="4" w:space="0" w:color="000000"/>
              <w:right w:val="nil"/>
            </w:tcBorders>
          </w:tcPr>
          <w:p w:rsidR="005A3F38" w:rsidRDefault="005A3F38"/>
        </w:tc>
        <w:tc>
          <w:tcPr>
            <w:tcW w:w="2948" w:type="dxa"/>
            <w:tcBorders>
              <w:top w:val="single" w:sz="4" w:space="0" w:color="000000"/>
              <w:left w:val="nil"/>
              <w:bottom w:val="single" w:sz="4" w:space="0" w:color="000000"/>
              <w:right w:val="single" w:sz="4" w:space="0" w:color="000000"/>
            </w:tcBorders>
          </w:tcPr>
          <w:p w:rsidR="005A3F38" w:rsidRDefault="005A3F38"/>
        </w:tc>
      </w:tr>
      <w:tr w:rsidR="005A3F38">
        <w:trPr>
          <w:trHeight w:val="1114"/>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430"/>
            </w:pPr>
            <w:r>
              <w:rPr>
                <w:rFonts w:ascii="Times New Roman" w:eastAsia="Times New Roman" w:hAnsi="Times New Roman" w:cs="Times New Roman"/>
                <w:sz w:val="24"/>
              </w:rPr>
              <w:t xml:space="preserve">ринит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right="828"/>
              <w:jc w:val="both"/>
            </w:pPr>
            <w:r>
              <w:rPr>
                <w:rFonts w:ascii="Times New Roman" w:eastAsia="Times New Roman" w:hAnsi="Times New Roman" w:cs="Times New Roman"/>
                <w:sz w:val="24"/>
              </w:rPr>
              <w:t xml:space="preserve">не характерен, редко незначительный, кратковременный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jc w:val="both"/>
            </w:pPr>
            <w:r>
              <w:rPr>
                <w:rFonts w:ascii="Times New Roman" w:eastAsia="Times New Roman" w:hAnsi="Times New Roman" w:cs="Times New Roman"/>
                <w:sz w:val="24"/>
              </w:rPr>
              <w:t xml:space="preserve">умеренный, возможно отсутствие обоняния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right="59"/>
              <w:jc w:val="both"/>
            </w:pPr>
            <w:r>
              <w:rPr>
                <w:rFonts w:ascii="Times New Roman" w:eastAsia="Times New Roman" w:hAnsi="Times New Roman" w:cs="Times New Roman"/>
                <w:sz w:val="24"/>
              </w:rPr>
              <w:t xml:space="preserve">чаще отсутствует, редко скудные серозно- слизистые выделения из носа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right="315"/>
              <w:jc w:val="both"/>
            </w:pPr>
            <w:r>
              <w:rPr>
                <w:rFonts w:ascii="Times New Roman" w:eastAsia="Times New Roman" w:hAnsi="Times New Roman" w:cs="Times New Roman"/>
                <w:sz w:val="24"/>
              </w:rPr>
              <w:t xml:space="preserve">почти всегда, </w:t>
            </w:r>
            <w:r>
              <w:rPr>
                <w:rFonts w:ascii="Times New Roman" w:eastAsia="Times New Roman" w:hAnsi="Times New Roman" w:cs="Times New Roman"/>
                <w:sz w:val="24"/>
              </w:rPr>
              <w:t xml:space="preserve">возможно небольшое снижение обоняние </w:t>
            </w:r>
          </w:p>
        </w:tc>
      </w:tr>
      <w:tr w:rsidR="005A3F38">
        <w:trPr>
          <w:trHeight w:val="38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430"/>
            </w:pPr>
            <w:r>
              <w:rPr>
                <w:rFonts w:ascii="Times New Roman" w:eastAsia="Times New Roman" w:hAnsi="Times New Roman" w:cs="Times New Roman"/>
                <w:sz w:val="24"/>
              </w:rPr>
              <w:t xml:space="preserve">фарингит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часто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Умеренный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умеренный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почти всегда </w:t>
            </w:r>
          </w:p>
        </w:tc>
      </w:tr>
      <w:tr w:rsidR="005A3F38">
        <w:trPr>
          <w:trHeight w:val="425"/>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430"/>
            </w:pPr>
            <w:r>
              <w:rPr>
                <w:rFonts w:ascii="Times New Roman" w:eastAsia="Times New Roman" w:hAnsi="Times New Roman" w:cs="Times New Roman"/>
                <w:sz w:val="24"/>
              </w:rPr>
              <w:t xml:space="preserve">ларингит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возможен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Возможен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нет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часто </w:t>
            </w:r>
          </w:p>
        </w:tc>
      </w:tr>
      <w:tr w:rsidR="005A3F38">
        <w:trPr>
          <w:trHeight w:val="422"/>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430"/>
            </w:pPr>
            <w:r>
              <w:rPr>
                <w:rFonts w:ascii="Times New Roman" w:eastAsia="Times New Roman" w:hAnsi="Times New Roman" w:cs="Times New Roman"/>
                <w:sz w:val="24"/>
              </w:rPr>
              <w:t xml:space="preserve">трахеит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часто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r>
      <w:tr w:rsidR="005A3F38">
        <w:trPr>
          <w:trHeight w:val="838"/>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38" w:lineRule="auto"/>
              <w:ind w:left="430"/>
              <w:jc w:val="both"/>
            </w:pPr>
            <w:r>
              <w:rPr>
                <w:rFonts w:ascii="Times New Roman" w:eastAsia="Times New Roman" w:hAnsi="Times New Roman" w:cs="Times New Roman"/>
                <w:sz w:val="24"/>
              </w:rPr>
              <w:t xml:space="preserve">поражение нижних отделов дыхательных </w:t>
            </w:r>
          </w:p>
          <w:p w:rsidR="005A3F38" w:rsidRDefault="003114B5">
            <w:pPr>
              <w:spacing w:after="0"/>
              <w:ind w:left="430"/>
            </w:pPr>
            <w:r>
              <w:rPr>
                <w:rFonts w:ascii="Times New Roman" w:eastAsia="Times New Roman" w:hAnsi="Times New Roman" w:cs="Times New Roman"/>
                <w:sz w:val="24"/>
              </w:rPr>
              <w:t xml:space="preserve">путей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right="111"/>
              <w:jc w:val="both"/>
            </w:pPr>
            <w:r>
              <w:rPr>
                <w:rFonts w:ascii="Times New Roman" w:eastAsia="Times New Roman" w:hAnsi="Times New Roman" w:cs="Times New Roman"/>
                <w:sz w:val="24"/>
              </w:rPr>
              <w:t>возможна пневмония от 15% при гриппе A (H1N1) до 26</w:t>
            </w:r>
            <w:r>
              <w:rPr>
                <w:rFonts w:ascii="Times New Roman" w:eastAsia="Times New Roman" w:hAnsi="Times New Roman" w:cs="Times New Roman"/>
                <w:sz w:val="24"/>
              </w:rPr>
              <w:t xml:space="preserve">- 30% при гриппе A (H3N2) и В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Часто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jc w:val="both"/>
            </w:pPr>
            <w:r>
              <w:rPr>
                <w:rFonts w:ascii="Times New Roman" w:eastAsia="Times New Roman" w:hAnsi="Times New Roman" w:cs="Times New Roman"/>
                <w:sz w:val="24"/>
              </w:rPr>
              <w:t xml:space="preserve">бронхит, бронхиолит пневмония 25%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редко </w:t>
            </w:r>
          </w:p>
        </w:tc>
      </w:tr>
      <w:tr w:rsidR="005A3F38">
        <w:trPr>
          <w:trHeight w:val="159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Интоксикация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выраженная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Возможна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умеренная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right="499"/>
              <w:jc w:val="both"/>
            </w:pPr>
            <w:r>
              <w:rPr>
                <w:rFonts w:ascii="Times New Roman" w:eastAsia="Times New Roman" w:hAnsi="Times New Roman" w:cs="Times New Roman"/>
                <w:sz w:val="24"/>
              </w:rPr>
              <w:t xml:space="preserve">умеренная, возможно только при тяжелом состоянии и присоединении бактериальной флоры </w:t>
            </w:r>
          </w:p>
        </w:tc>
      </w:tr>
      <w:tr w:rsidR="005A3F38">
        <w:trPr>
          <w:trHeight w:val="37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Лихорадка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sz w:val="24"/>
              </w:rPr>
              <w:t xml:space="preserve">да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Да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умеренная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0"/>
            </w:pPr>
            <w:r>
              <w:rPr>
                <w:rFonts w:ascii="Times New Roman" w:eastAsia="Times New Roman" w:hAnsi="Times New Roman" w:cs="Times New Roman"/>
                <w:sz w:val="24"/>
              </w:rPr>
              <w:t xml:space="preserve">почти </w:t>
            </w:r>
            <w:r>
              <w:rPr>
                <w:rFonts w:ascii="Times New Roman" w:eastAsia="Times New Roman" w:hAnsi="Times New Roman" w:cs="Times New Roman"/>
                <w:sz w:val="24"/>
              </w:rPr>
              <w:t xml:space="preserve">всегда </w:t>
            </w:r>
          </w:p>
        </w:tc>
      </w:tr>
    </w:tbl>
    <w:p w:rsidR="005A3F38" w:rsidRDefault="003114B5">
      <w:pPr>
        <w:spacing w:after="0"/>
        <w:ind w:left="10" w:right="-13" w:hanging="10"/>
        <w:jc w:val="right"/>
      </w:pPr>
      <w:r>
        <w:rPr>
          <w:rFonts w:ascii="Times New Roman" w:eastAsia="Times New Roman" w:hAnsi="Times New Roman" w:cs="Times New Roman"/>
          <w:sz w:val="24"/>
        </w:rPr>
        <w:t xml:space="preserve">83 </w:t>
      </w:r>
    </w:p>
    <w:p w:rsidR="005A3F38" w:rsidRDefault="003114B5">
      <w:pPr>
        <w:spacing w:after="0"/>
        <w:ind w:left="708"/>
      </w:pPr>
      <w:r>
        <w:rPr>
          <w:rFonts w:ascii="Times New Roman" w:eastAsia="Times New Roman" w:hAnsi="Times New Roman" w:cs="Times New Roman"/>
          <w:sz w:val="24"/>
        </w:rPr>
        <w:t xml:space="preserve"> </w:t>
      </w:r>
    </w:p>
    <w:p w:rsidR="005A3F38" w:rsidRDefault="005A3F38">
      <w:pPr>
        <w:sectPr w:rsidR="005A3F38">
          <w:footerReference w:type="even" r:id="rId234"/>
          <w:footerReference w:type="default" r:id="rId235"/>
          <w:footerReference w:type="first" r:id="rId236"/>
          <w:pgSz w:w="16841" w:h="11911" w:orient="landscape"/>
          <w:pgMar w:top="1440" w:right="422" w:bottom="1366" w:left="852" w:header="720" w:footer="720" w:gutter="0"/>
          <w:cols w:space="720"/>
        </w:sectPr>
      </w:pPr>
    </w:p>
    <w:p w:rsidR="005A3F38" w:rsidRDefault="003114B5">
      <w:pPr>
        <w:spacing w:after="0"/>
        <w:ind w:left="975"/>
      </w:pPr>
      <w:r>
        <w:rPr>
          <w:rFonts w:ascii="Times New Roman" w:eastAsia="Times New Roman" w:hAnsi="Times New Roman" w:cs="Times New Roman"/>
          <w:sz w:val="20"/>
        </w:rPr>
        <w:t xml:space="preserve"> </w:t>
      </w:r>
    </w:p>
    <w:tbl>
      <w:tblPr>
        <w:tblStyle w:val="TableGrid"/>
        <w:tblW w:w="15424" w:type="dxa"/>
        <w:tblInd w:w="-703" w:type="dxa"/>
        <w:tblCellMar>
          <w:top w:w="52" w:type="dxa"/>
          <w:left w:w="113" w:type="dxa"/>
          <w:bottom w:w="0" w:type="dxa"/>
          <w:right w:w="103" w:type="dxa"/>
        </w:tblCellMar>
        <w:tblLook w:val="04A0" w:firstRow="1" w:lastRow="0" w:firstColumn="1" w:lastColumn="0" w:noHBand="0" w:noVBand="1"/>
      </w:tblPr>
      <w:tblGrid>
        <w:gridCol w:w="3120"/>
        <w:gridCol w:w="3401"/>
        <w:gridCol w:w="3262"/>
        <w:gridCol w:w="2693"/>
        <w:gridCol w:w="2948"/>
      </w:tblGrid>
      <w:tr w:rsidR="005A3F38">
        <w:trPr>
          <w:trHeight w:val="377"/>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Головная боль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сильная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сильная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умеренная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не характерна </w:t>
            </w:r>
          </w:p>
        </w:tc>
      </w:tr>
      <w:tr w:rsidR="005A3F38">
        <w:trPr>
          <w:trHeight w:val="562"/>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Мышечные и суставные боли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выраженные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редко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редко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нет </w:t>
            </w:r>
          </w:p>
        </w:tc>
      </w:tr>
      <w:tr w:rsidR="005A3F38">
        <w:trPr>
          <w:trHeight w:val="37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Боль в горле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не характерна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возможна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 характерна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часто </w:t>
            </w:r>
          </w:p>
        </w:tc>
      </w:tr>
      <w:tr w:rsidR="005A3F38">
        <w:trPr>
          <w:trHeight w:val="838"/>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Внешний вид больного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лицо гиперемировано</w:t>
            </w:r>
            <w:r>
              <w:rPr>
                <w:rFonts w:ascii="Times New Roman" w:eastAsia="Times New Roman" w:hAnsi="Times New Roman" w:cs="Times New Roman"/>
                <w:sz w:val="24"/>
              </w:rPr>
              <w:t xml:space="preserve">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бледность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jc w:val="both"/>
            </w:pPr>
            <w:r>
              <w:rPr>
                <w:rFonts w:ascii="Times New Roman" w:eastAsia="Times New Roman" w:hAnsi="Times New Roman" w:cs="Times New Roman"/>
                <w:sz w:val="24"/>
              </w:rPr>
              <w:t xml:space="preserve">бледность, может быть цианоз губ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100"/>
              <w:jc w:val="both"/>
            </w:pPr>
            <w:r>
              <w:rPr>
                <w:rFonts w:ascii="Times New Roman" w:eastAsia="Times New Roman" w:hAnsi="Times New Roman" w:cs="Times New Roman"/>
                <w:sz w:val="24"/>
              </w:rPr>
              <w:t xml:space="preserve">бледность, при лихорадке может быть гиперемия лица </w:t>
            </w:r>
          </w:p>
        </w:tc>
      </w:tr>
      <w:tr w:rsidR="005A3F38">
        <w:trPr>
          <w:trHeight w:val="37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Гиперемия конъюнктив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почти всегда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возможна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нет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почти всегда </w:t>
            </w:r>
          </w:p>
        </w:tc>
      </w:tr>
      <w:tr w:rsidR="005A3F38">
        <w:trPr>
          <w:trHeight w:val="838"/>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Кашель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выраженный частый сухой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jc w:val="both"/>
            </w:pPr>
            <w:r>
              <w:rPr>
                <w:rFonts w:ascii="Times New Roman" w:eastAsia="Times New Roman" w:hAnsi="Times New Roman" w:cs="Times New Roman"/>
                <w:sz w:val="24"/>
              </w:rPr>
              <w:t xml:space="preserve">сухой или с небольшим количеством мокроты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приступообразный, иногда обструктивный синдром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сухой </w:t>
            </w:r>
          </w:p>
        </w:tc>
      </w:tr>
      <w:tr w:rsidR="005A3F38">
        <w:trPr>
          <w:trHeight w:val="559"/>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Одышка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нет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да, при тяжелом течении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на 3-4 день одышка, экспираторная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не характерна </w:t>
            </w:r>
          </w:p>
        </w:tc>
      </w:tr>
      <w:tr w:rsidR="005A3F38">
        <w:trPr>
          <w:trHeight w:val="562"/>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Гиперемия конъюнктивы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есть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есть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нет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почти всегда </w:t>
            </w:r>
          </w:p>
        </w:tc>
      </w:tr>
      <w:tr w:rsidR="005A3F38">
        <w:trPr>
          <w:trHeight w:val="562"/>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Увеличение л/узлов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нет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нет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редко шейный, подчелюстной</w:t>
            </w:r>
            <w:r>
              <w:rPr>
                <w:rFonts w:ascii="Times New Roman" w:eastAsia="Times New Roman" w:hAnsi="Times New Roman" w:cs="Times New Roman"/>
                <w:sz w:val="24"/>
              </w:rPr>
              <w:t xml:space="preserve">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часто шейный, подчелюстной </w:t>
            </w:r>
          </w:p>
        </w:tc>
      </w:tr>
      <w:tr w:rsidR="005A3F38">
        <w:trPr>
          <w:trHeight w:val="562"/>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Сыпь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возможны петехии при тяжелом течении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возможно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нет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не характерна </w:t>
            </w:r>
          </w:p>
        </w:tc>
      </w:tr>
      <w:tr w:rsidR="005A3F38">
        <w:trPr>
          <w:trHeight w:val="1111"/>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jc w:val="both"/>
            </w:pPr>
            <w:r>
              <w:rPr>
                <w:rFonts w:ascii="Times New Roman" w:eastAsia="Times New Roman" w:hAnsi="Times New Roman" w:cs="Times New Roman"/>
                <w:sz w:val="24"/>
              </w:rPr>
              <w:t xml:space="preserve">Изменения со стороны нервной системы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jc w:val="both"/>
            </w:pPr>
            <w:r>
              <w:rPr>
                <w:rFonts w:ascii="Times New Roman" w:eastAsia="Times New Roman" w:hAnsi="Times New Roman" w:cs="Times New Roman"/>
                <w:sz w:val="24"/>
              </w:rPr>
              <w:t xml:space="preserve">менингизм, энцефалопатия, астеноневротический синдром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есть, при тяжелом течении. </w:t>
            </w:r>
          </w:p>
          <w:p w:rsidR="005A3F38" w:rsidRDefault="003114B5">
            <w:pPr>
              <w:spacing w:after="0"/>
              <w:ind w:left="2"/>
            </w:pPr>
            <w:r>
              <w:rPr>
                <w:rFonts w:ascii="Times New Roman" w:eastAsia="Times New Roman" w:hAnsi="Times New Roman" w:cs="Times New Roman"/>
                <w:sz w:val="24"/>
              </w:rPr>
              <w:t xml:space="preserve">менингоэнцефалит, астеноневротический синдром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нет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редко менингизм </w:t>
            </w:r>
          </w:p>
        </w:tc>
      </w:tr>
      <w:tr w:rsidR="005A3F38">
        <w:trPr>
          <w:trHeight w:val="931"/>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jc w:val="both"/>
            </w:pPr>
            <w:r>
              <w:rPr>
                <w:rFonts w:ascii="Times New Roman" w:eastAsia="Times New Roman" w:hAnsi="Times New Roman" w:cs="Times New Roman"/>
                <w:sz w:val="24"/>
              </w:rPr>
              <w:t xml:space="preserve">Симптомы поражения ЖКТ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right="220"/>
              <w:jc w:val="both"/>
            </w:pPr>
            <w:r>
              <w:rPr>
                <w:rFonts w:ascii="Times New Roman" w:eastAsia="Times New Roman" w:hAnsi="Times New Roman" w:cs="Times New Roman"/>
                <w:sz w:val="24"/>
              </w:rPr>
              <w:t xml:space="preserve">изредка тошнота, рвота (при тяжелом течении); диарея не характерна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редко диарея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нет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38" w:lineRule="auto"/>
              <w:ind w:left="3"/>
            </w:pPr>
            <w:r>
              <w:rPr>
                <w:rFonts w:ascii="Times New Roman" w:eastAsia="Times New Roman" w:hAnsi="Times New Roman" w:cs="Times New Roman"/>
                <w:sz w:val="24"/>
              </w:rPr>
              <w:t xml:space="preserve">возможна диарея (аденовирус, </w:t>
            </w:r>
          </w:p>
          <w:p w:rsidR="005A3F38" w:rsidRDefault="003114B5">
            <w:pPr>
              <w:spacing w:after="0"/>
              <w:ind w:left="3"/>
            </w:pPr>
            <w:r>
              <w:rPr>
                <w:rFonts w:ascii="Times New Roman" w:eastAsia="Times New Roman" w:hAnsi="Times New Roman" w:cs="Times New Roman"/>
                <w:sz w:val="24"/>
              </w:rPr>
              <w:t xml:space="preserve">ротавирусная инфекция) </w:t>
            </w:r>
          </w:p>
        </w:tc>
      </w:tr>
      <w:tr w:rsidR="005A3F38">
        <w:trPr>
          <w:trHeight w:val="557"/>
        </w:trPr>
        <w:tc>
          <w:tcPr>
            <w:tcW w:w="3120"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Бессимптомное </w:t>
            </w:r>
            <w:r>
              <w:rPr>
                <w:rFonts w:ascii="Times New Roman" w:eastAsia="Times New Roman" w:hAnsi="Times New Roman" w:cs="Times New Roman"/>
                <w:sz w:val="24"/>
              </w:rPr>
              <w:t xml:space="preserve">течение </w:t>
            </w:r>
          </w:p>
        </w:tc>
        <w:tc>
          <w:tcPr>
            <w:tcW w:w="3401"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никогда </w:t>
            </w:r>
          </w:p>
        </w:tc>
        <w:tc>
          <w:tcPr>
            <w:tcW w:w="326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четверть больных </w:t>
            </w:r>
          </w:p>
        </w:tc>
        <w:tc>
          <w:tcPr>
            <w:tcW w:w="2693"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часто </w:t>
            </w:r>
          </w:p>
        </w:tc>
        <w:tc>
          <w:tcPr>
            <w:tcW w:w="29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sz w:val="24"/>
              </w:rPr>
              <w:t xml:space="preserve">часто </w:t>
            </w:r>
          </w:p>
        </w:tc>
      </w:tr>
    </w:tbl>
    <w:p w:rsidR="005A3F38" w:rsidRDefault="003114B5">
      <w:pPr>
        <w:spacing w:after="1267"/>
        <w:ind w:left="60"/>
        <w:jc w:val="center"/>
      </w:pPr>
      <w:r>
        <w:rPr>
          <w:rFonts w:ascii="Times New Roman" w:eastAsia="Times New Roman" w:hAnsi="Times New Roman" w:cs="Times New Roman"/>
          <w:b/>
          <w:sz w:val="24"/>
        </w:rPr>
        <w:t xml:space="preserve"> </w:t>
      </w:r>
    </w:p>
    <w:p w:rsidR="005A3F38" w:rsidRDefault="003114B5">
      <w:pPr>
        <w:spacing w:after="0"/>
        <w:ind w:left="10" w:right="-13" w:hanging="10"/>
        <w:jc w:val="right"/>
      </w:pPr>
      <w:r>
        <w:rPr>
          <w:rFonts w:ascii="Times New Roman" w:eastAsia="Times New Roman" w:hAnsi="Times New Roman" w:cs="Times New Roman"/>
          <w:sz w:val="24"/>
        </w:rPr>
        <w:t xml:space="preserve">85 </w:t>
      </w:r>
    </w:p>
    <w:p w:rsidR="005A3F38" w:rsidRDefault="003114B5">
      <w:pPr>
        <w:spacing w:after="0"/>
      </w:pPr>
      <w:r>
        <w:rPr>
          <w:rFonts w:ascii="Times New Roman" w:eastAsia="Times New Roman" w:hAnsi="Times New Roman" w:cs="Times New Roman"/>
          <w:sz w:val="24"/>
        </w:rPr>
        <w:t xml:space="preserve"> </w:t>
      </w:r>
    </w:p>
    <w:p w:rsidR="005A3F38" w:rsidRDefault="005A3F38">
      <w:pPr>
        <w:sectPr w:rsidR="005A3F38">
          <w:footerReference w:type="even" r:id="rId237"/>
          <w:footerReference w:type="default" r:id="rId238"/>
          <w:footerReference w:type="first" r:id="rId239"/>
          <w:pgSz w:w="16838" w:h="11906" w:orient="landscape"/>
          <w:pgMar w:top="857" w:right="567" w:bottom="1440" w:left="1274" w:header="720" w:footer="720" w:gutter="0"/>
          <w:cols w:space="720"/>
        </w:sectPr>
      </w:pPr>
    </w:p>
    <w:p w:rsidR="005A3F38" w:rsidRDefault="003114B5">
      <w:pPr>
        <w:pStyle w:val="Heading1"/>
        <w:ind w:left="-5"/>
      </w:pPr>
      <w:bookmarkStart w:id="45" w:name="_Toc141918"/>
      <w:r>
        <w:t>Приложение А3.</w:t>
      </w:r>
      <w:r>
        <w:t xml:space="preserve">3. </w:t>
      </w:r>
      <w:r>
        <w:t>Примеры формулировки диагноза</w:t>
      </w:r>
      <w:r>
        <w:t xml:space="preserve"> </w:t>
      </w:r>
      <w:bookmarkEnd w:id="45"/>
    </w:p>
    <w:p w:rsidR="005A3F38" w:rsidRDefault="003114B5">
      <w:pPr>
        <w:spacing w:after="115"/>
        <w:ind w:left="708"/>
      </w:pPr>
      <w:r>
        <w:rPr>
          <w:rFonts w:ascii="Times New Roman" w:eastAsia="Times New Roman" w:hAnsi="Times New Roman" w:cs="Times New Roman"/>
          <w:sz w:val="24"/>
        </w:rPr>
        <w:t xml:space="preserve"> </w:t>
      </w:r>
    </w:p>
    <w:p w:rsidR="005A3F38" w:rsidRDefault="003114B5">
      <w:pPr>
        <w:pStyle w:val="Heading1"/>
        <w:spacing w:after="140" w:line="259" w:lineRule="auto"/>
        <w:ind w:left="718"/>
      </w:pPr>
      <w:bookmarkStart w:id="46" w:name="_Toc141919"/>
      <w:r>
        <w:rPr>
          <w:b w:val="0"/>
          <w:i/>
          <w:sz w:val="24"/>
          <w:u w:val="single" w:color="000000"/>
        </w:rPr>
        <w:t>Примеры формулировки диагнозов</w:t>
      </w:r>
      <w:r>
        <w:rPr>
          <w:b w:val="0"/>
          <w:i/>
          <w:sz w:val="24"/>
        </w:rPr>
        <w:t xml:space="preserve"> </w:t>
      </w:r>
      <w:bookmarkEnd w:id="46"/>
    </w:p>
    <w:p w:rsidR="005A3F38" w:rsidRDefault="003114B5">
      <w:pPr>
        <w:spacing w:after="69"/>
        <w:ind w:left="1760"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i/>
          <w:sz w:val="24"/>
        </w:rPr>
        <w:t xml:space="preserve">Острый назофарингит. </w:t>
      </w:r>
    </w:p>
    <w:p w:rsidR="005A3F38" w:rsidRDefault="003114B5">
      <w:pPr>
        <w:spacing w:after="117"/>
        <w:ind w:left="10" w:right="-1" w:hanging="10"/>
        <w:jc w:val="right"/>
      </w:pPr>
      <w:r>
        <w:rPr>
          <w:rFonts w:ascii="Times New Roman" w:eastAsia="Times New Roman" w:hAnsi="Times New Roman" w:cs="Times New Roman"/>
          <w:sz w:val="24"/>
        </w:rPr>
        <w:t xml:space="preserve">При подтверждении этиологической роли вирусного агента, уточнение выносится в диагноз. </w:t>
      </w:r>
    </w:p>
    <w:p w:rsidR="005A3F38" w:rsidRDefault="003114B5">
      <w:pPr>
        <w:spacing w:after="34" w:line="364" w:lineRule="auto"/>
        <w:ind w:right="2" w:firstLine="708"/>
        <w:jc w:val="both"/>
      </w:pPr>
      <w:r>
        <w:rPr>
          <w:rFonts w:ascii="Times New Roman" w:eastAsia="Times New Roman" w:hAnsi="Times New Roman" w:cs="Times New Roman"/>
          <w:sz w:val="24"/>
        </w:rPr>
        <w:t>В качестве диагноза следует избегать изолированно термина «ОРВИ», используя для уточнения термины «острый назофарингит» или «острый ларингофарингит», или «острый фаринг</w:t>
      </w:r>
      <w:r>
        <w:rPr>
          <w:rFonts w:ascii="Times New Roman" w:eastAsia="Times New Roman" w:hAnsi="Times New Roman" w:cs="Times New Roman"/>
          <w:sz w:val="24"/>
        </w:rPr>
        <w:t>ит», поскольку возбудители ОРВИ вызывают также острый обструктивный ларингит (круп), тонзиллофарингит, бронхит, бронхиолит, что следует указывать в диагнозе. Подробно данные синдромы рассматриваются отдельно (см. Клинические рекомендации по ведению детей с</w:t>
      </w:r>
      <w:r>
        <w:rPr>
          <w:rFonts w:ascii="Times New Roman" w:eastAsia="Times New Roman" w:hAnsi="Times New Roman" w:cs="Times New Roman"/>
          <w:sz w:val="24"/>
        </w:rPr>
        <w:t xml:space="preserve"> острым тонзиллофарингитом, бронхитом, острым бронхиолитом и острым обструктивным ларингитом [крупом], эпиглоттитом). </w:t>
      </w:r>
    </w:p>
    <w:p w:rsidR="005A3F38" w:rsidRDefault="003114B5">
      <w:pPr>
        <w:spacing w:after="148"/>
        <w:ind w:left="708"/>
      </w:pPr>
      <w:r>
        <w:rPr>
          <w:rFonts w:ascii="Times New Roman" w:eastAsia="Times New Roman" w:hAnsi="Times New Roman" w:cs="Times New Roman"/>
          <w:b/>
          <w:sz w:val="28"/>
        </w:rPr>
        <w:t xml:space="preserve"> </w:t>
      </w:r>
    </w:p>
    <w:p w:rsidR="005A3F38" w:rsidRDefault="003114B5">
      <w:pPr>
        <w:spacing w:after="0"/>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r>
      <w:r>
        <w:rPr>
          <w:rFonts w:ascii="Times New Roman" w:eastAsia="Times New Roman" w:hAnsi="Times New Roman" w:cs="Times New Roman"/>
          <w:b/>
          <w:sz w:val="28"/>
        </w:rPr>
        <w:t xml:space="preserve"> </w:t>
      </w:r>
      <w:r>
        <w:br w:type="page"/>
      </w:r>
    </w:p>
    <w:p w:rsidR="005A3F38" w:rsidRDefault="003114B5">
      <w:pPr>
        <w:pStyle w:val="Heading1"/>
        <w:spacing w:after="52"/>
        <w:ind w:left="-5"/>
      </w:pPr>
      <w:bookmarkStart w:id="47" w:name="_Toc141920"/>
      <w:r>
        <w:t xml:space="preserve">Приложение А3.4 Клинические и лабораторные показатели при синдроме </w:t>
      </w:r>
      <w:bookmarkEnd w:id="47"/>
    </w:p>
    <w:p w:rsidR="005A3F38" w:rsidRDefault="003114B5">
      <w:pPr>
        <w:pStyle w:val="Heading1"/>
        <w:spacing w:after="52"/>
        <w:ind w:left="-5"/>
      </w:pPr>
      <w:bookmarkStart w:id="48" w:name="_Toc141921"/>
      <w:r>
        <w:t>системной воспалительной реакции у детей</w:t>
      </w:r>
      <w:r>
        <w:rPr>
          <w:b w:val="0"/>
        </w:rPr>
        <w:t xml:space="preserve"> </w:t>
      </w:r>
      <w:bookmarkEnd w:id="48"/>
    </w:p>
    <w:p w:rsidR="005A3F38" w:rsidRDefault="003114B5">
      <w:pPr>
        <w:spacing w:after="113"/>
        <w:ind w:left="10" w:right="2" w:hanging="10"/>
        <w:jc w:val="both"/>
      </w:pPr>
      <w:r>
        <w:rPr>
          <w:rFonts w:ascii="Times New Roman" w:eastAsia="Times New Roman" w:hAnsi="Times New Roman" w:cs="Times New Roman"/>
          <w:sz w:val="24"/>
        </w:rPr>
        <w:t xml:space="preserve">[342] </w:t>
      </w:r>
    </w:p>
    <w:p w:rsidR="005A3F38" w:rsidRDefault="003114B5">
      <w:pPr>
        <w:spacing w:after="117"/>
      </w:pPr>
      <w:r>
        <w:rPr>
          <w:rFonts w:ascii="Times New Roman" w:eastAsia="Times New Roman" w:hAnsi="Times New Roman" w:cs="Times New Roman"/>
          <w:sz w:val="24"/>
        </w:rPr>
        <w:t xml:space="preserve"> </w:t>
      </w:r>
    </w:p>
    <w:p w:rsidR="005A3F38" w:rsidRDefault="003114B5">
      <w:pPr>
        <w:spacing w:after="5"/>
        <w:ind w:left="216" w:right="214" w:firstLine="8604"/>
        <w:jc w:val="both"/>
      </w:pPr>
      <w:r>
        <w:rPr>
          <w:rFonts w:ascii="Times New Roman" w:eastAsia="Times New Roman" w:hAnsi="Times New Roman" w:cs="Times New Roman"/>
          <w:b/>
          <w:sz w:val="24"/>
        </w:rPr>
        <w:t xml:space="preserve">Таблица 7. </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Изменение частоты дыхания, сердечных сокращений, количества лейкоцитов, систолического артериального давления в зависимости от возраста при синдроме системной воспалительной реакции у детей  </w:t>
      </w:r>
    </w:p>
    <w:tbl>
      <w:tblPr>
        <w:tblStyle w:val="TableGrid"/>
        <w:tblW w:w="10197" w:type="dxa"/>
        <w:tblInd w:w="5" w:type="dxa"/>
        <w:tblCellMar>
          <w:top w:w="35" w:type="dxa"/>
          <w:left w:w="2" w:type="dxa"/>
          <w:bottom w:w="0" w:type="dxa"/>
          <w:right w:w="113" w:type="dxa"/>
        </w:tblCellMar>
        <w:tblLook w:val="04A0" w:firstRow="1" w:lastRow="0" w:firstColumn="1" w:lastColumn="0" w:noHBand="0" w:noVBand="1"/>
      </w:tblPr>
      <w:tblGrid>
        <w:gridCol w:w="1544"/>
        <w:gridCol w:w="1097"/>
        <w:gridCol w:w="1678"/>
        <w:gridCol w:w="1366"/>
        <w:gridCol w:w="2048"/>
        <w:gridCol w:w="2465"/>
      </w:tblGrid>
      <w:tr w:rsidR="005A3F38">
        <w:trPr>
          <w:trHeight w:val="929"/>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b/>
                <w:sz w:val="20"/>
              </w:rPr>
              <w:t xml:space="preserve"> </w:t>
            </w:r>
          </w:p>
          <w:p w:rsidR="005A3F38" w:rsidRDefault="003114B5">
            <w:pPr>
              <w:spacing w:after="0"/>
              <w:ind w:left="116"/>
              <w:jc w:val="center"/>
            </w:pPr>
            <w:r>
              <w:rPr>
                <w:rFonts w:ascii="Times New Roman" w:eastAsia="Times New Roman" w:hAnsi="Times New Roman" w:cs="Times New Roman"/>
                <w:b/>
                <w:sz w:val="20"/>
              </w:rPr>
              <w:t xml:space="preserve">Возраст </w:t>
            </w:r>
          </w:p>
        </w:tc>
        <w:tc>
          <w:tcPr>
            <w:tcW w:w="1097"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5" w:line="237" w:lineRule="auto"/>
              <w:ind w:left="292" w:right="124"/>
              <w:jc w:val="center"/>
            </w:pPr>
            <w:r>
              <w:rPr>
                <w:rFonts w:ascii="Times New Roman" w:eastAsia="Times New Roman" w:hAnsi="Times New Roman" w:cs="Times New Roman"/>
                <w:b/>
                <w:sz w:val="20"/>
              </w:rPr>
              <w:t xml:space="preserve">ЧДД в </w:t>
            </w:r>
          </w:p>
          <w:p w:rsidR="005A3F38" w:rsidRDefault="003114B5">
            <w:pPr>
              <w:spacing w:after="0"/>
              <w:ind w:left="127"/>
              <w:jc w:val="center"/>
            </w:pPr>
            <w:r>
              <w:rPr>
                <w:rFonts w:ascii="Times New Roman" w:eastAsia="Times New Roman" w:hAnsi="Times New Roman" w:cs="Times New Roman"/>
                <w:b/>
                <w:sz w:val="20"/>
              </w:rPr>
              <w:t xml:space="preserve">1 мин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40" w:lineRule="auto"/>
              <w:ind w:left="36"/>
              <w:jc w:val="center"/>
            </w:pPr>
            <w:r>
              <w:rPr>
                <w:rFonts w:ascii="Times New Roman" w:eastAsia="Times New Roman" w:hAnsi="Times New Roman" w:cs="Times New Roman"/>
                <w:b/>
                <w:sz w:val="20"/>
              </w:rPr>
              <w:t xml:space="preserve">Тахикар-дия, ЧСС </w:t>
            </w:r>
          </w:p>
          <w:p w:rsidR="005A3F38" w:rsidRDefault="003114B5">
            <w:pPr>
              <w:spacing w:after="0"/>
              <w:ind w:left="176"/>
              <w:jc w:val="center"/>
            </w:pPr>
            <w:r>
              <w:rPr>
                <w:rFonts w:ascii="Times New Roman" w:eastAsia="Times New Roman" w:hAnsi="Times New Roman" w:cs="Times New Roman"/>
                <w:b/>
                <w:sz w:val="20"/>
              </w:rPr>
              <w:t xml:space="preserve">в 1 мин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40" w:lineRule="auto"/>
              <w:ind w:left="127"/>
              <w:jc w:val="center"/>
            </w:pPr>
            <w:r>
              <w:rPr>
                <w:rFonts w:ascii="Times New Roman" w:eastAsia="Times New Roman" w:hAnsi="Times New Roman" w:cs="Times New Roman"/>
                <w:b/>
                <w:sz w:val="20"/>
              </w:rPr>
              <w:t xml:space="preserve">Бради- </w:t>
            </w:r>
            <w:r>
              <w:rPr>
                <w:rFonts w:ascii="Times New Roman" w:eastAsia="Times New Roman" w:hAnsi="Times New Roman" w:cs="Times New Roman"/>
                <w:b/>
                <w:sz w:val="20"/>
              </w:rPr>
              <w:t xml:space="preserve">кардия,  ЧСС </w:t>
            </w:r>
          </w:p>
          <w:p w:rsidR="005A3F38" w:rsidRDefault="003114B5">
            <w:pPr>
              <w:spacing w:after="0"/>
              <w:ind w:left="123"/>
              <w:jc w:val="center"/>
            </w:pPr>
            <w:r>
              <w:rPr>
                <w:rFonts w:ascii="Times New Roman" w:eastAsia="Times New Roman" w:hAnsi="Times New Roman" w:cs="Times New Roman"/>
                <w:b/>
                <w:sz w:val="20"/>
              </w:rPr>
              <w:t xml:space="preserve">в 1 мин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b/>
                <w:sz w:val="20"/>
              </w:rPr>
              <w:t xml:space="preserve"> </w:t>
            </w:r>
          </w:p>
          <w:p w:rsidR="005A3F38" w:rsidRDefault="003114B5">
            <w:pPr>
              <w:spacing w:after="0"/>
              <w:ind w:left="216" w:right="50"/>
              <w:jc w:val="center"/>
            </w:pPr>
            <w:r>
              <w:rPr>
                <w:rFonts w:ascii="Times New Roman" w:eastAsia="Times New Roman" w:hAnsi="Times New Roman" w:cs="Times New Roman"/>
                <w:b/>
                <w:sz w:val="20"/>
              </w:rPr>
              <w:t>Лейкоциты, ×10</w:t>
            </w:r>
            <w:r>
              <w:rPr>
                <w:rFonts w:ascii="Times New Roman" w:eastAsia="Times New Roman" w:hAnsi="Times New Roman" w:cs="Times New Roman"/>
                <w:b/>
                <w:sz w:val="20"/>
                <w:vertAlign w:val="superscript"/>
              </w:rPr>
              <w:t>9</w:t>
            </w:r>
            <w:r>
              <w:rPr>
                <w:rFonts w:ascii="Times New Roman" w:eastAsia="Times New Roman" w:hAnsi="Times New Roman" w:cs="Times New Roman"/>
                <w:b/>
                <w:sz w:val="20"/>
              </w:rPr>
              <w:t xml:space="preserve">/л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2"/>
              <w:jc w:val="center"/>
            </w:pPr>
            <w:r>
              <w:rPr>
                <w:rFonts w:ascii="Times New Roman" w:eastAsia="Times New Roman" w:hAnsi="Times New Roman" w:cs="Times New Roman"/>
                <w:b/>
                <w:sz w:val="20"/>
              </w:rPr>
              <w:t xml:space="preserve">Систолическое артериальное давление, мм рт. ст. </w:t>
            </w:r>
          </w:p>
        </w:tc>
      </w:tr>
      <w:tr w:rsidR="005A3F38">
        <w:trPr>
          <w:trHeight w:val="240"/>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0"/>
              <w:jc w:val="center"/>
            </w:pPr>
            <w:r>
              <w:rPr>
                <w:rFonts w:ascii="Times New Roman" w:eastAsia="Times New Roman" w:hAnsi="Times New Roman" w:cs="Times New Roman"/>
                <w:sz w:val="20"/>
              </w:rPr>
              <w:t xml:space="preserve">0–7 дней </w:t>
            </w:r>
          </w:p>
        </w:tc>
        <w:tc>
          <w:tcPr>
            <w:tcW w:w="1097"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&gt; 50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&gt; 180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9"/>
              <w:jc w:val="center"/>
            </w:pPr>
            <w:r>
              <w:rPr>
                <w:rFonts w:ascii="Times New Roman" w:eastAsia="Times New Roman" w:hAnsi="Times New Roman" w:cs="Times New Roman"/>
                <w:sz w:val="20"/>
              </w:rPr>
              <w:t xml:space="preserve">&lt; 100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0"/>
              <w:jc w:val="center"/>
            </w:pPr>
            <w:r>
              <w:rPr>
                <w:rFonts w:ascii="Times New Roman" w:eastAsia="Times New Roman" w:hAnsi="Times New Roman" w:cs="Times New Roman"/>
                <w:sz w:val="20"/>
              </w:rPr>
              <w:t xml:space="preserve">&gt; 34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&lt; 65 </w:t>
            </w:r>
          </w:p>
        </w:tc>
      </w:tr>
      <w:tr w:rsidR="005A3F38">
        <w:trPr>
          <w:trHeight w:val="470"/>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524" w:right="100" w:hanging="36"/>
            </w:pPr>
            <w:r>
              <w:rPr>
                <w:rFonts w:ascii="Times New Roman" w:eastAsia="Times New Roman" w:hAnsi="Times New Roman" w:cs="Times New Roman"/>
                <w:sz w:val="20"/>
              </w:rPr>
              <w:t xml:space="preserve">7 дней – 1 месяц </w:t>
            </w:r>
          </w:p>
        </w:tc>
        <w:tc>
          <w:tcPr>
            <w:tcW w:w="1097"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&gt; 40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&gt; 180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9"/>
              <w:jc w:val="center"/>
            </w:pPr>
            <w:r>
              <w:rPr>
                <w:rFonts w:ascii="Times New Roman" w:eastAsia="Times New Roman" w:hAnsi="Times New Roman" w:cs="Times New Roman"/>
                <w:sz w:val="20"/>
              </w:rPr>
              <w:t xml:space="preserve">&lt; 100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7"/>
              <w:jc w:val="center"/>
            </w:pPr>
            <w:r>
              <w:rPr>
                <w:rFonts w:ascii="Times New Roman" w:eastAsia="Times New Roman" w:hAnsi="Times New Roman" w:cs="Times New Roman"/>
                <w:sz w:val="20"/>
              </w:rPr>
              <w:t xml:space="preserve">&gt; 19,5; &lt; 5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&lt; 75 </w:t>
            </w:r>
          </w:p>
        </w:tc>
      </w:tr>
      <w:tr w:rsidR="005A3F38">
        <w:trPr>
          <w:trHeight w:val="471"/>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27" w:right="161"/>
              <w:jc w:val="center"/>
            </w:pPr>
            <w:r>
              <w:rPr>
                <w:rFonts w:ascii="Times New Roman" w:eastAsia="Times New Roman" w:hAnsi="Times New Roman" w:cs="Times New Roman"/>
                <w:sz w:val="20"/>
              </w:rPr>
              <w:t xml:space="preserve">1 месяц – 1 год </w:t>
            </w:r>
          </w:p>
        </w:tc>
        <w:tc>
          <w:tcPr>
            <w:tcW w:w="1097"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&gt; 34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&gt; 180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&lt; 90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7"/>
              <w:jc w:val="center"/>
            </w:pPr>
            <w:r>
              <w:rPr>
                <w:rFonts w:ascii="Times New Roman" w:eastAsia="Times New Roman" w:hAnsi="Times New Roman" w:cs="Times New Roman"/>
                <w:sz w:val="20"/>
              </w:rPr>
              <w:t xml:space="preserve">&gt; 17,5; &lt; 5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&lt; 100 </w:t>
            </w:r>
          </w:p>
        </w:tc>
      </w:tr>
      <w:tr w:rsidR="005A3F38">
        <w:trPr>
          <w:trHeight w:val="240"/>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7"/>
              <w:jc w:val="center"/>
            </w:pPr>
            <w:r>
              <w:rPr>
                <w:rFonts w:ascii="Times New Roman" w:eastAsia="Times New Roman" w:hAnsi="Times New Roman" w:cs="Times New Roman"/>
                <w:sz w:val="20"/>
              </w:rPr>
              <w:t xml:space="preserve">2–5 </w:t>
            </w:r>
            <w:r>
              <w:rPr>
                <w:rFonts w:ascii="Times New Roman" w:eastAsia="Times New Roman" w:hAnsi="Times New Roman" w:cs="Times New Roman"/>
                <w:sz w:val="20"/>
              </w:rPr>
              <w:t xml:space="preserve">лет </w:t>
            </w:r>
          </w:p>
        </w:tc>
        <w:tc>
          <w:tcPr>
            <w:tcW w:w="1097"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&gt; 22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&gt; 140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2"/>
              <w:jc w:val="center"/>
            </w:pPr>
            <w:r>
              <w:rPr>
                <w:rFonts w:ascii="Times New Roman" w:eastAsia="Times New Roman" w:hAnsi="Times New Roman" w:cs="Times New Roman"/>
                <w:sz w:val="20"/>
              </w:rPr>
              <w:t xml:space="preserve">-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7"/>
              <w:jc w:val="center"/>
            </w:pPr>
            <w:r>
              <w:rPr>
                <w:rFonts w:ascii="Times New Roman" w:eastAsia="Times New Roman" w:hAnsi="Times New Roman" w:cs="Times New Roman"/>
                <w:sz w:val="20"/>
              </w:rPr>
              <w:t xml:space="preserve">&gt; 15,5; &lt; 6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&lt; 94 </w:t>
            </w:r>
          </w:p>
        </w:tc>
      </w:tr>
      <w:tr w:rsidR="005A3F38">
        <w:trPr>
          <w:trHeight w:val="240"/>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6–12 лет </w:t>
            </w:r>
          </w:p>
        </w:tc>
        <w:tc>
          <w:tcPr>
            <w:tcW w:w="1097"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&gt; 18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&gt; 130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2"/>
              <w:jc w:val="center"/>
            </w:pPr>
            <w:r>
              <w:rPr>
                <w:rFonts w:ascii="Times New Roman" w:eastAsia="Times New Roman" w:hAnsi="Times New Roman" w:cs="Times New Roman"/>
                <w:sz w:val="20"/>
              </w:rPr>
              <w:t xml:space="preserve">-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0"/>
              <w:jc w:val="center"/>
            </w:pPr>
            <w:r>
              <w:rPr>
                <w:rFonts w:ascii="Times New Roman" w:eastAsia="Times New Roman" w:hAnsi="Times New Roman" w:cs="Times New Roman"/>
                <w:sz w:val="20"/>
              </w:rPr>
              <w:t xml:space="preserve">&gt; 13,5; &lt; 4,5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0"/>
              <w:jc w:val="center"/>
            </w:pPr>
            <w:r>
              <w:rPr>
                <w:rFonts w:ascii="Times New Roman" w:eastAsia="Times New Roman" w:hAnsi="Times New Roman" w:cs="Times New Roman"/>
                <w:sz w:val="20"/>
              </w:rPr>
              <w:t xml:space="preserve">&lt; 105 </w:t>
            </w:r>
          </w:p>
        </w:tc>
      </w:tr>
      <w:tr w:rsidR="005A3F38">
        <w:trPr>
          <w:trHeight w:val="240"/>
        </w:trPr>
        <w:tc>
          <w:tcPr>
            <w:tcW w:w="1544"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13–18 лет </w:t>
            </w:r>
          </w:p>
        </w:tc>
        <w:tc>
          <w:tcPr>
            <w:tcW w:w="1097"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4"/>
              <w:jc w:val="center"/>
            </w:pPr>
            <w:r>
              <w:rPr>
                <w:rFonts w:ascii="Times New Roman" w:eastAsia="Times New Roman" w:hAnsi="Times New Roman" w:cs="Times New Roman"/>
                <w:sz w:val="20"/>
              </w:rPr>
              <w:t xml:space="preserve">&gt; 16 </w:t>
            </w:r>
          </w:p>
        </w:tc>
        <w:tc>
          <w:tcPr>
            <w:tcW w:w="167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&gt; 110 </w:t>
            </w:r>
          </w:p>
        </w:tc>
        <w:tc>
          <w:tcPr>
            <w:tcW w:w="136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7"/>
              <w:jc w:val="center"/>
            </w:pPr>
            <w:r>
              <w:rPr>
                <w:rFonts w:ascii="Times New Roman" w:eastAsia="Times New Roman" w:hAnsi="Times New Roman" w:cs="Times New Roman"/>
                <w:sz w:val="20"/>
              </w:rPr>
              <w:t xml:space="preserve">- </w:t>
            </w:r>
          </w:p>
        </w:tc>
        <w:tc>
          <w:tcPr>
            <w:tcW w:w="204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2"/>
              <w:jc w:val="center"/>
            </w:pPr>
            <w:r>
              <w:rPr>
                <w:rFonts w:ascii="Times New Roman" w:eastAsia="Times New Roman" w:hAnsi="Times New Roman" w:cs="Times New Roman"/>
                <w:sz w:val="20"/>
              </w:rPr>
              <w:t xml:space="preserve">&gt; 11; &lt; 4,5 </w:t>
            </w:r>
          </w:p>
        </w:tc>
        <w:tc>
          <w:tcPr>
            <w:tcW w:w="24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5"/>
              <w:jc w:val="center"/>
            </w:pPr>
            <w:r>
              <w:rPr>
                <w:rFonts w:ascii="Times New Roman" w:eastAsia="Times New Roman" w:hAnsi="Times New Roman" w:cs="Times New Roman"/>
                <w:sz w:val="20"/>
              </w:rPr>
              <w:t xml:space="preserve">&lt; 117 </w:t>
            </w:r>
          </w:p>
        </w:tc>
      </w:tr>
    </w:tbl>
    <w:p w:rsidR="005A3F38" w:rsidRDefault="003114B5">
      <w:pPr>
        <w:spacing w:after="20"/>
        <w:ind w:left="50"/>
        <w:jc w:val="center"/>
      </w:pPr>
      <w:r>
        <w:rPr>
          <w:rFonts w:ascii="Times New Roman" w:eastAsia="Times New Roman" w:hAnsi="Times New Roman" w:cs="Times New Roman"/>
          <w:b/>
          <w:sz w:val="20"/>
        </w:rPr>
        <w:t xml:space="preserve"> </w:t>
      </w:r>
    </w:p>
    <w:p w:rsidR="005A3F38" w:rsidRDefault="003114B5">
      <w:pPr>
        <w:spacing w:after="5" w:line="239" w:lineRule="auto"/>
        <w:ind w:left="139" w:right="134" w:firstLine="8760"/>
        <w:jc w:val="both"/>
      </w:pPr>
      <w:r>
        <w:rPr>
          <w:rFonts w:ascii="Times New Roman" w:eastAsia="Times New Roman" w:hAnsi="Times New Roman" w:cs="Times New Roman"/>
          <w:b/>
          <w:sz w:val="24"/>
        </w:rPr>
        <w:t xml:space="preserve">Таблица 8. </w:t>
      </w:r>
      <w:r>
        <w:rPr>
          <w:rFonts w:ascii="Times New Roman" w:eastAsia="Times New Roman" w:hAnsi="Times New Roman" w:cs="Times New Roman"/>
          <w:sz w:val="24"/>
        </w:rPr>
        <w:t xml:space="preserve">Лабораторные гематологические и биохимические маркеры синдроме системной воспалительной реакции у детей </w:t>
      </w:r>
      <w:r>
        <w:rPr>
          <w:rFonts w:ascii="Times New Roman" w:eastAsia="Times New Roman" w:hAnsi="Times New Roman" w:cs="Times New Roman"/>
          <w:sz w:val="24"/>
        </w:rPr>
        <w:t xml:space="preserve">и бактериальной инфекции у детей в возрасте старше 1 месяца  </w:t>
      </w:r>
    </w:p>
    <w:p w:rsidR="005A3F38" w:rsidRDefault="003114B5">
      <w:pPr>
        <w:spacing w:after="0"/>
        <w:ind w:left="60"/>
        <w:jc w:val="center"/>
      </w:pPr>
      <w:r>
        <w:rPr>
          <w:rFonts w:ascii="Times New Roman" w:eastAsia="Times New Roman" w:hAnsi="Times New Roman" w:cs="Times New Roman"/>
          <w:b/>
          <w:sz w:val="24"/>
        </w:rPr>
        <w:t xml:space="preserve"> </w:t>
      </w:r>
    </w:p>
    <w:tbl>
      <w:tblPr>
        <w:tblStyle w:val="TableGrid"/>
        <w:tblW w:w="10197" w:type="dxa"/>
        <w:tblInd w:w="5" w:type="dxa"/>
        <w:tblCellMar>
          <w:top w:w="33" w:type="dxa"/>
          <w:left w:w="113" w:type="dxa"/>
          <w:bottom w:w="0" w:type="dxa"/>
          <w:right w:w="115" w:type="dxa"/>
        </w:tblCellMar>
        <w:tblLook w:val="04A0" w:firstRow="1" w:lastRow="0" w:firstColumn="1" w:lastColumn="0" w:noHBand="0" w:noVBand="1"/>
      </w:tblPr>
      <w:tblGrid>
        <w:gridCol w:w="3402"/>
        <w:gridCol w:w="2830"/>
        <w:gridCol w:w="3965"/>
      </w:tblGrid>
      <w:tr w:rsidR="005A3F38">
        <w:trPr>
          <w:trHeight w:val="470"/>
        </w:trPr>
        <w:tc>
          <w:tcPr>
            <w:tcW w:w="3402"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524"/>
            </w:pPr>
            <w:r>
              <w:rPr>
                <w:rFonts w:ascii="Times New Roman" w:eastAsia="Times New Roman" w:hAnsi="Times New Roman" w:cs="Times New Roman"/>
                <w:b/>
                <w:sz w:val="20"/>
              </w:rPr>
              <w:t xml:space="preserve">Маркер </w:t>
            </w:r>
          </w:p>
        </w:tc>
        <w:tc>
          <w:tcPr>
            <w:tcW w:w="2830"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11"/>
              <w:jc w:val="center"/>
            </w:pPr>
            <w:r>
              <w:rPr>
                <w:rFonts w:ascii="Times New Roman" w:eastAsia="Times New Roman" w:hAnsi="Times New Roman" w:cs="Times New Roman"/>
                <w:b/>
                <w:sz w:val="20"/>
              </w:rPr>
              <w:t xml:space="preserve">Возраст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310"/>
            </w:pPr>
            <w:r>
              <w:rPr>
                <w:rFonts w:ascii="Times New Roman" w:eastAsia="Times New Roman" w:hAnsi="Times New Roman" w:cs="Times New Roman"/>
                <w:b/>
                <w:sz w:val="20"/>
              </w:rPr>
              <w:t xml:space="preserve">Пороговое значение (cut-off) </w:t>
            </w:r>
          </w:p>
        </w:tc>
      </w:tr>
      <w:tr w:rsidR="005A3F38">
        <w:trPr>
          <w:trHeight w:val="240"/>
        </w:trPr>
        <w:tc>
          <w:tcPr>
            <w:tcW w:w="3402" w:type="dxa"/>
            <w:vMerge w:val="restart"/>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Лейкоцитоз </w:t>
            </w:r>
          </w:p>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7"/>
              <w:jc w:val="center"/>
            </w:pPr>
            <w:r>
              <w:rPr>
                <w:rFonts w:ascii="Times New Roman" w:eastAsia="Times New Roman" w:hAnsi="Times New Roman" w:cs="Times New Roman"/>
                <w:sz w:val="20"/>
              </w:rPr>
              <w:t xml:space="preserve">1 месяц – 1 год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
              <w:jc w:val="center"/>
            </w:pPr>
            <w:r>
              <w:rPr>
                <w:rFonts w:ascii="Times New Roman" w:eastAsia="Times New Roman" w:hAnsi="Times New Roman" w:cs="Times New Roman"/>
                <w:sz w:val="20"/>
              </w:rPr>
              <w:t>&gt; 17,7×10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0" w:type="auto"/>
            <w:vMerge/>
            <w:tcBorders>
              <w:top w:val="nil"/>
              <w:left w:val="single" w:sz="4" w:space="0" w:color="000000"/>
              <w:bottom w:val="nil"/>
              <w:right w:val="single" w:sz="4" w:space="0" w:color="000000"/>
            </w:tcBorders>
          </w:tcPr>
          <w:p w:rsidR="005A3F38" w:rsidRDefault="005A3F38"/>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0"/>
              <w:jc w:val="center"/>
            </w:pPr>
            <w:r>
              <w:rPr>
                <w:rFonts w:ascii="Times New Roman" w:eastAsia="Times New Roman" w:hAnsi="Times New Roman" w:cs="Times New Roman"/>
                <w:sz w:val="20"/>
              </w:rPr>
              <w:t xml:space="preserve">2–5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
              <w:jc w:val="center"/>
            </w:pPr>
            <w:r>
              <w:rPr>
                <w:rFonts w:ascii="Times New Roman" w:eastAsia="Times New Roman" w:hAnsi="Times New Roman" w:cs="Times New Roman"/>
                <w:sz w:val="20"/>
              </w:rPr>
              <w:t>&gt; 15,5×10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0" w:type="auto"/>
            <w:vMerge/>
            <w:tcBorders>
              <w:top w:val="nil"/>
              <w:left w:val="single" w:sz="4" w:space="0" w:color="000000"/>
              <w:bottom w:val="nil"/>
              <w:right w:val="single" w:sz="4" w:space="0" w:color="000000"/>
            </w:tcBorders>
          </w:tcPr>
          <w:p w:rsidR="005A3F38" w:rsidRDefault="005A3F38"/>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0"/>
              <w:jc w:val="center"/>
            </w:pPr>
            <w:r>
              <w:rPr>
                <w:rFonts w:ascii="Times New Roman" w:eastAsia="Times New Roman" w:hAnsi="Times New Roman" w:cs="Times New Roman"/>
                <w:sz w:val="20"/>
              </w:rPr>
              <w:t xml:space="preserve">6–12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
              <w:jc w:val="center"/>
            </w:pPr>
            <w:r>
              <w:rPr>
                <w:rFonts w:ascii="Times New Roman" w:eastAsia="Times New Roman" w:hAnsi="Times New Roman" w:cs="Times New Roman"/>
                <w:sz w:val="20"/>
              </w:rPr>
              <w:t>&gt; 13,5×10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0" w:type="auto"/>
            <w:vMerge/>
            <w:tcBorders>
              <w:top w:val="nil"/>
              <w:left w:val="single" w:sz="4" w:space="0" w:color="000000"/>
              <w:bottom w:val="single" w:sz="4" w:space="0" w:color="000000"/>
              <w:right w:val="single" w:sz="4" w:space="0" w:color="000000"/>
            </w:tcBorders>
          </w:tcPr>
          <w:p w:rsidR="005A3F38" w:rsidRDefault="005A3F38"/>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5"/>
              <w:jc w:val="center"/>
            </w:pPr>
            <w:r>
              <w:rPr>
                <w:rFonts w:ascii="Times New Roman" w:eastAsia="Times New Roman" w:hAnsi="Times New Roman" w:cs="Times New Roman"/>
                <w:sz w:val="20"/>
              </w:rPr>
              <w:t xml:space="preserve">13–18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
              <w:jc w:val="center"/>
            </w:pPr>
            <w:r>
              <w:rPr>
                <w:rFonts w:ascii="Times New Roman" w:eastAsia="Times New Roman" w:hAnsi="Times New Roman" w:cs="Times New Roman"/>
                <w:sz w:val="20"/>
              </w:rPr>
              <w:t>&gt; 11×10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3402" w:type="dxa"/>
            <w:vMerge w:val="restart"/>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Лейкопения </w:t>
            </w:r>
          </w:p>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7"/>
              <w:jc w:val="center"/>
            </w:pPr>
            <w:r>
              <w:rPr>
                <w:rFonts w:ascii="Times New Roman" w:eastAsia="Times New Roman" w:hAnsi="Times New Roman" w:cs="Times New Roman"/>
                <w:sz w:val="20"/>
              </w:rPr>
              <w:t xml:space="preserve">1 месяц – 1 </w:t>
            </w:r>
            <w:r>
              <w:rPr>
                <w:rFonts w:ascii="Times New Roman" w:eastAsia="Times New Roman" w:hAnsi="Times New Roman" w:cs="Times New Roman"/>
                <w:sz w:val="20"/>
              </w:rPr>
              <w:t xml:space="preserve">год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
              <w:jc w:val="center"/>
            </w:pPr>
            <w:r>
              <w:rPr>
                <w:rFonts w:ascii="Times New Roman" w:eastAsia="Times New Roman" w:hAnsi="Times New Roman" w:cs="Times New Roman"/>
                <w:sz w:val="20"/>
              </w:rPr>
              <w:t>&lt; 5×10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0" w:type="auto"/>
            <w:vMerge/>
            <w:tcBorders>
              <w:top w:val="nil"/>
              <w:left w:val="single" w:sz="4" w:space="0" w:color="000000"/>
              <w:bottom w:val="nil"/>
              <w:right w:val="single" w:sz="4" w:space="0" w:color="000000"/>
            </w:tcBorders>
          </w:tcPr>
          <w:p w:rsidR="005A3F38" w:rsidRDefault="005A3F38"/>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0"/>
              <w:jc w:val="center"/>
            </w:pPr>
            <w:r>
              <w:rPr>
                <w:rFonts w:ascii="Times New Roman" w:eastAsia="Times New Roman" w:hAnsi="Times New Roman" w:cs="Times New Roman"/>
                <w:sz w:val="20"/>
              </w:rPr>
              <w:t xml:space="preserve">2–5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8"/>
              <w:jc w:val="center"/>
            </w:pPr>
            <w:r>
              <w:rPr>
                <w:rFonts w:ascii="Times New Roman" w:eastAsia="Times New Roman" w:hAnsi="Times New Roman" w:cs="Times New Roman"/>
                <w:sz w:val="20"/>
              </w:rPr>
              <w:t>&lt; 6×10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0" w:type="auto"/>
            <w:vMerge/>
            <w:tcBorders>
              <w:top w:val="nil"/>
              <w:left w:val="single" w:sz="4" w:space="0" w:color="000000"/>
              <w:bottom w:val="single" w:sz="4" w:space="0" w:color="000000"/>
              <w:right w:val="single" w:sz="4" w:space="0" w:color="000000"/>
            </w:tcBorders>
          </w:tcPr>
          <w:p w:rsidR="005A3F38" w:rsidRDefault="005A3F38"/>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7"/>
              <w:jc w:val="center"/>
            </w:pPr>
            <w:r>
              <w:rPr>
                <w:rFonts w:ascii="Times New Roman" w:eastAsia="Times New Roman" w:hAnsi="Times New Roman" w:cs="Times New Roman"/>
                <w:sz w:val="20"/>
              </w:rPr>
              <w:t xml:space="preserve">6–18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
              <w:jc w:val="center"/>
            </w:pPr>
            <w:r>
              <w:rPr>
                <w:rFonts w:ascii="Times New Roman" w:eastAsia="Times New Roman" w:hAnsi="Times New Roman" w:cs="Times New Roman"/>
                <w:sz w:val="20"/>
              </w:rPr>
              <w:t>&lt; 4,5×10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3402"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Нейтрофилез </w:t>
            </w:r>
          </w:p>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2"/>
              <w:jc w:val="center"/>
            </w:pPr>
            <w:r>
              <w:rPr>
                <w:rFonts w:ascii="Times New Roman" w:eastAsia="Times New Roman" w:hAnsi="Times New Roman" w:cs="Times New Roman"/>
                <w:sz w:val="20"/>
              </w:rPr>
              <w:t xml:space="preserve">1 месяц – 18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
              <w:jc w:val="center"/>
            </w:pPr>
            <w:r>
              <w:rPr>
                <w:rFonts w:ascii="Times New Roman" w:eastAsia="Times New Roman" w:hAnsi="Times New Roman" w:cs="Times New Roman"/>
                <w:sz w:val="20"/>
              </w:rPr>
              <w:t>&gt; 7,73–10×10</w:t>
            </w:r>
            <w:r>
              <w:rPr>
                <w:rFonts w:ascii="Times New Roman" w:eastAsia="Times New Roman" w:hAnsi="Times New Roman" w:cs="Times New Roman"/>
                <w:sz w:val="20"/>
                <w:vertAlign w:val="superscript"/>
              </w:rPr>
              <w:t>9</w:t>
            </w:r>
            <w:r>
              <w:rPr>
                <w:rFonts w:ascii="Times New Roman" w:eastAsia="Times New Roman" w:hAnsi="Times New Roman" w:cs="Times New Roman"/>
                <w:sz w:val="20"/>
              </w:rPr>
              <w:t xml:space="preserve">/л </w:t>
            </w:r>
          </w:p>
        </w:tc>
      </w:tr>
      <w:tr w:rsidR="005A3F38">
        <w:trPr>
          <w:trHeight w:val="240"/>
        </w:trPr>
        <w:tc>
          <w:tcPr>
            <w:tcW w:w="3402"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С-реактивный белок </w:t>
            </w:r>
          </w:p>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2"/>
              <w:jc w:val="center"/>
            </w:pPr>
            <w:r>
              <w:rPr>
                <w:rFonts w:ascii="Times New Roman" w:eastAsia="Times New Roman" w:hAnsi="Times New Roman" w:cs="Times New Roman"/>
                <w:sz w:val="20"/>
              </w:rPr>
              <w:t xml:space="preserve">1 месяц – 18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
              <w:jc w:val="center"/>
            </w:pPr>
            <w:r>
              <w:rPr>
                <w:rFonts w:ascii="Times New Roman" w:eastAsia="Times New Roman" w:hAnsi="Times New Roman" w:cs="Times New Roman"/>
                <w:sz w:val="20"/>
              </w:rPr>
              <w:t xml:space="preserve">&gt; 30–37 мг/л </w:t>
            </w:r>
          </w:p>
        </w:tc>
      </w:tr>
      <w:tr w:rsidR="005A3F38">
        <w:trPr>
          <w:trHeight w:val="240"/>
        </w:trPr>
        <w:tc>
          <w:tcPr>
            <w:tcW w:w="3402"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Прокальцитонин </w:t>
            </w:r>
          </w:p>
        </w:tc>
        <w:tc>
          <w:tcPr>
            <w:tcW w:w="2830"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2"/>
              <w:jc w:val="center"/>
            </w:pPr>
            <w:r>
              <w:rPr>
                <w:rFonts w:ascii="Times New Roman" w:eastAsia="Times New Roman" w:hAnsi="Times New Roman" w:cs="Times New Roman"/>
                <w:sz w:val="20"/>
              </w:rPr>
              <w:t xml:space="preserve">1 месяц – 18 лет </w:t>
            </w:r>
          </w:p>
        </w:tc>
        <w:tc>
          <w:tcPr>
            <w:tcW w:w="3965"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1"/>
              <w:jc w:val="center"/>
            </w:pPr>
            <w:r>
              <w:rPr>
                <w:rFonts w:ascii="Times New Roman" w:eastAsia="Times New Roman" w:hAnsi="Times New Roman" w:cs="Times New Roman"/>
                <w:sz w:val="20"/>
              </w:rPr>
              <w:t xml:space="preserve">&gt; 0,5–0,95 нг/мл </w:t>
            </w:r>
          </w:p>
        </w:tc>
      </w:tr>
    </w:tbl>
    <w:p w:rsidR="005A3F38" w:rsidRDefault="003114B5">
      <w:pPr>
        <w:spacing w:after="112"/>
      </w:pPr>
      <w:r>
        <w:rPr>
          <w:rFonts w:ascii="Times New Roman" w:eastAsia="Times New Roman" w:hAnsi="Times New Roman" w:cs="Times New Roman"/>
          <w:i/>
          <w:sz w:val="24"/>
        </w:rPr>
        <w:t xml:space="preserve"> </w:t>
      </w:r>
    </w:p>
    <w:p w:rsidR="005A3F38" w:rsidRDefault="003114B5">
      <w:pPr>
        <w:spacing w:after="115"/>
      </w:pPr>
      <w:r>
        <w:rPr>
          <w:rFonts w:ascii="Times New Roman" w:eastAsia="Times New Roman" w:hAnsi="Times New Roman" w:cs="Times New Roman"/>
          <w:i/>
          <w:sz w:val="24"/>
        </w:rPr>
        <w:t xml:space="preserve"> </w:t>
      </w:r>
    </w:p>
    <w:p w:rsidR="005A3F38" w:rsidRDefault="003114B5">
      <w:pPr>
        <w:spacing w:after="112"/>
      </w:pPr>
      <w:r>
        <w:rPr>
          <w:rFonts w:ascii="Times New Roman" w:eastAsia="Times New Roman" w:hAnsi="Times New Roman" w:cs="Times New Roman"/>
          <w:i/>
          <w:sz w:val="24"/>
        </w:rPr>
        <w:t xml:space="preserve"> </w:t>
      </w:r>
    </w:p>
    <w:p w:rsidR="005A3F38" w:rsidRDefault="003114B5">
      <w:pPr>
        <w:spacing w:after="170"/>
        <w:ind w:left="708"/>
      </w:pPr>
      <w:r>
        <w:rPr>
          <w:rFonts w:ascii="Times New Roman" w:eastAsia="Times New Roman" w:hAnsi="Times New Roman" w:cs="Times New Roman"/>
          <w:sz w:val="24"/>
        </w:rPr>
        <w:t xml:space="preserve"> </w:t>
      </w:r>
    </w:p>
    <w:p w:rsidR="005A3F38" w:rsidRDefault="003114B5">
      <w:pPr>
        <w:spacing w:after="0"/>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r>
      <w:r>
        <w:rPr>
          <w:rFonts w:ascii="Times New Roman" w:eastAsia="Times New Roman" w:hAnsi="Times New Roman" w:cs="Times New Roman"/>
          <w:b/>
          <w:sz w:val="28"/>
        </w:rPr>
        <w:t xml:space="preserve"> </w:t>
      </w:r>
    </w:p>
    <w:p w:rsidR="005A3F38" w:rsidRDefault="003114B5">
      <w:pPr>
        <w:pStyle w:val="Heading1"/>
        <w:spacing w:after="50"/>
        <w:ind w:left="-5"/>
      </w:pPr>
      <w:bookmarkStart w:id="49" w:name="_Toc141922"/>
      <w:r>
        <w:t>Приложение А3.</w:t>
      </w:r>
      <w:r>
        <w:t xml:space="preserve">5 </w:t>
      </w:r>
      <w:r>
        <w:t>Противовирусная и иммуномодулирующая терапия</w:t>
      </w:r>
      <w:r>
        <w:rPr>
          <w:b w:val="0"/>
        </w:rPr>
        <w:t xml:space="preserve"> </w:t>
      </w:r>
      <w:bookmarkEnd w:id="49"/>
    </w:p>
    <w:p w:rsidR="005A3F38" w:rsidRDefault="003114B5">
      <w:pPr>
        <w:spacing w:after="115"/>
      </w:pPr>
      <w:r>
        <w:rPr>
          <w:rFonts w:ascii="Times New Roman" w:eastAsia="Times New Roman" w:hAnsi="Times New Roman" w:cs="Times New Roman"/>
          <w:b/>
          <w:sz w:val="24"/>
        </w:rPr>
        <w:t xml:space="preserve"> </w:t>
      </w:r>
    </w:p>
    <w:p w:rsidR="005A3F38" w:rsidRDefault="003114B5">
      <w:pPr>
        <w:numPr>
          <w:ilvl w:val="0"/>
          <w:numId w:val="51"/>
        </w:numPr>
        <w:spacing w:after="112"/>
        <w:ind w:right="2"/>
        <w:jc w:val="both"/>
      </w:pPr>
      <w:r>
        <w:rPr>
          <w:rFonts w:ascii="Times New Roman" w:eastAsia="Times New Roman" w:hAnsi="Times New Roman" w:cs="Times New Roman"/>
          <w:sz w:val="24"/>
        </w:rPr>
        <w:t xml:space="preserve">Азоксимера бромид** [283, 284, 285]. </w:t>
      </w:r>
    </w:p>
    <w:p w:rsidR="005A3F38" w:rsidRDefault="003114B5">
      <w:pPr>
        <w:numPr>
          <w:ilvl w:val="0"/>
          <w:numId w:val="51"/>
        </w:numPr>
        <w:spacing w:after="115"/>
        <w:ind w:right="2"/>
        <w:jc w:val="both"/>
      </w:pPr>
      <w:r>
        <w:rPr>
          <w:rFonts w:ascii="Times New Roman" w:eastAsia="Times New Roman" w:hAnsi="Times New Roman" w:cs="Times New Roman"/>
          <w:sz w:val="24"/>
        </w:rPr>
        <w:t xml:space="preserve">Альфа-глутамил-триптофан+Аскорбиновая кислота+Бендазол [286]. </w:t>
      </w:r>
    </w:p>
    <w:p w:rsidR="005A3F38" w:rsidRDefault="003114B5">
      <w:pPr>
        <w:numPr>
          <w:ilvl w:val="0"/>
          <w:numId w:val="51"/>
        </w:numPr>
        <w:spacing w:after="112"/>
        <w:ind w:right="2"/>
        <w:jc w:val="both"/>
      </w:pPr>
      <w:r>
        <w:rPr>
          <w:rFonts w:ascii="Times New Roman" w:eastAsia="Times New Roman" w:hAnsi="Times New Roman" w:cs="Times New Roman"/>
          <w:sz w:val="24"/>
        </w:rPr>
        <w:t xml:space="preserve">Имидазолилэтанамид пентандиовой кислоты** [287, 288, 289]. </w:t>
      </w:r>
    </w:p>
    <w:p w:rsidR="005A3F38" w:rsidRDefault="003114B5">
      <w:pPr>
        <w:numPr>
          <w:ilvl w:val="0"/>
          <w:numId w:val="51"/>
        </w:numPr>
        <w:spacing w:after="128" w:line="249" w:lineRule="auto"/>
        <w:ind w:right="2"/>
        <w:jc w:val="both"/>
      </w:pPr>
      <w:r>
        <w:rPr>
          <w:rFonts w:ascii="Times New Roman" w:eastAsia="Times New Roman" w:hAnsi="Times New Roman" w:cs="Times New Roman"/>
          <w:sz w:val="24"/>
        </w:rPr>
        <w:t xml:space="preserve">Инозин пранобекс [290, 291, 292, 293, 294]. </w:t>
      </w:r>
    </w:p>
    <w:p w:rsidR="005A3F38" w:rsidRDefault="003114B5">
      <w:pPr>
        <w:numPr>
          <w:ilvl w:val="0"/>
          <w:numId w:val="51"/>
        </w:numPr>
        <w:spacing w:after="2" w:line="356" w:lineRule="auto"/>
        <w:ind w:right="2"/>
        <w:jc w:val="both"/>
      </w:pPr>
      <w:r>
        <w:rPr>
          <w:rFonts w:ascii="Times New Roman" w:eastAsia="Times New Roman" w:hAnsi="Times New Roman" w:cs="Times New Roman"/>
          <w:color w:val="222222"/>
          <w:sz w:val="24"/>
        </w:rPr>
        <w:t>Ин</w:t>
      </w:r>
      <w:r>
        <w:rPr>
          <w:rFonts w:ascii="Times New Roman" w:eastAsia="Times New Roman" w:hAnsi="Times New Roman" w:cs="Times New Roman"/>
          <w:color w:val="222222"/>
          <w:sz w:val="24"/>
        </w:rPr>
        <w:t xml:space="preserve">терферон-альфа 2b (топические формы) [178, 179, 180, 181, 182, 183, 184, 185, 186, 187, 188, 189, 190, 191, 295, 296]. </w:t>
      </w:r>
    </w:p>
    <w:p w:rsidR="005A3F38" w:rsidRDefault="003114B5">
      <w:pPr>
        <w:numPr>
          <w:ilvl w:val="0"/>
          <w:numId w:val="51"/>
        </w:numPr>
        <w:spacing w:after="128" w:line="249" w:lineRule="auto"/>
        <w:ind w:right="2"/>
        <w:jc w:val="both"/>
      </w:pPr>
      <w:r>
        <w:rPr>
          <w:rFonts w:ascii="Times New Roman" w:eastAsia="Times New Roman" w:hAnsi="Times New Roman" w:cs="Times New Roman"/>
          <w:sz w:val="24"/>
        </w:rPr>
        <w:t xml:space="preserve">Кагоцел - таблетки по 12 мг [121, 122, 123, 125, 127, 128, 130, 297, 298, 299]. </w:t>
      </w:r>
    </w:p>
    <w:p w:rsidR="005A3F38" w:rsidRDefault="003114B5">
      <w:pPr>
        <w:numPr>
          <w:ilvl w:val="0"/>
          <w:numId w:val="51"/>
        </w:numPr>
        <w:spacing w:after="115"/>
        <w:ind w:right="2"/>
        <w:jc w:val="both"/>
      </w:pPr>
      <w:r>
        <w:rPr>
          <w:rFonts w:ascii="Times New Roman" w:eastAsia="Times New Roman" w:hAnsi="Times New Roman" w:cs="Times New Roman"/>
          <w:sz w:val="24"/>
        </w:rPr>
        <w:t>Меглюмина акридонацетат (таблетки) [300, 301, 302, 303,</w:t>
      </w:r>
      <w:r>
        <w:rPr>
          <w:rFonts w:ascii="Times New Roman" w:eastAsia="Times New Roman" w:hAnsi="Times New Roman" w:cs="Times New Roman"/>
          <w:sz w:val="24"/>
        </w:rPr>
        <w:t xml:space="preserve"> 304]. </w:t>
      </w:r>
    </w:p>
    <w:p w:rsidR="005A3F38" w:rsidRDefault="003114B5">
      <w:pPr>
        <w:numPr>
          <w:ilvl w:val="0"/>
          <w:numId w:val="51"/>
        </w:numPr>
        <w:spacing w:after="112"/>
        <w:ind w:right="2"/>
        <w:jc w:val="both"/>
      </w:pPr>
      <w:r>
        <w:rPr>
          <w:rFonts w:ascii="Times New Roman" w:eastAsia="Times New Roman" w:hAnsi="Times New Roman" w:cs="Times New Roman"/>
          <w:sz w:val="24"/>
        </w:rPr>
        <w:t xml:space="preserve">Меглюмина натрия сукцинат** (р-р для инфузий) [305]. </w:t>
      </w:r>
    </w:p>
    <w:p w:rsidR="005A3F38" w:rsidRDefault="003114B5">
      <w:pPr>
        <w:numPr>
          <w:ilvl w:val="0"/>
          <w:numId w:val="51"/>
        </w:numPr>
        <w:spacing w:after="128" w:line="249" w:lineRule="auto"/>
        <w:ind w:right="2"/>
        <w:jc w:val="both"/>
      </w:pPr>
      <w:r>
        <w:rPr>
          <w:rFonts w:ascii="Times New Roman" w:eastAsia="Times New Roman" w:hAnsi="Times New Roman" w:cs="Times New Roman"/>
          <w:sz w:val="24"/>
        </w:rPr>
        <w:t xml:space="preserve">Риамиловир [306, 307, 308].  </w:t>
      </w:r>
    </w:p>
    <w:p w:rsidR="005A3F38" w:rsidRDefault="003114B5">
      <w:pPr>
        <w:numPr>
          <w:ilvl w:val="0"/>
          <w:numId w:val="51"/>
        </w:numPr>
        <w:spacing w:after="128" w:line="249" w:lineRule="auto"/>
        <w:ind w:right="2"/>
        <w:jc w:val="both"/>
      </w:pPr>
      <w:r>
        <w:rPr>
          <w:rFonts w:ascii="Times New Roman" w:eastAsia="Times New Roman" w:hAnsi="Times New Roman" w:cs="Times New Roman"/>
          <w:sz w:val="24"/>
        </w:rPr>
        <w:t xml:space="preserve">Тилорон** [309, 310, 311.]. </w:t>
      </w:r>
    </w:p>
    <w:p w:rsidR="005A3F38" w:rsidRDefault="003114B5">
      <w:pPr>
        <w:numPr>
          <w:ilvl w:val="0"/>
          <w:numId w:val="51"/>
        </w:numPr>
        <w:spacing w:after="115"/>
        <w:ind w:right="2"/>
        <w:jc w:val="both"/>
      </w:pPr>
      <w:r>
        <w:rPr>
          <w:rFonts w:ascii="Times New Roman" w:eastAsia="Times New Roman" w:hAnsi="Times New Roman" w:cs="Times New Roman"/>
          <w:sz w:val="24"/>
        </w:rPr>
        <w:t xml:space="preserve">Энисамия йодид [312]. </w:t>
      </w:r>
    </w:p>
    <w:p w:rsidR="005A3F38" w:rsidRDefault="003114B5">
      <w:pPr>
        <w:spacing w:after="112"/>
      </w:pPr>
      <w:r>
        <w:rPr>
          <w:rFonts w:ascii="Times New Roman" w:eastAsia="Times New Roman" w:hAnsi="Times New Roman" w:cs="Times New Roman"/>
          <w:i/>
          <w:sz w:val="24"/>
        </w:rPr>
        <w:t xml:space="preserve"> </w:t>
      </w:r>
    </w:p>
    <w:p w:rsidR="005A3F38" w:rsidRDefault="003114B5">
      <w:pPr>
        <w:spacing w:after="127" w:line="249" w:lineRule="auto"/>
        <w:ind w:left="10" w:hanging="10"/>
      </w:pPr>
      <w:r>
        <w:rPr>
          <w:rFonts w:ascii="Times New Roman" w:eastAsia="Times New Roman" w:hAnsi="Times New Roman" w:cs="Times New Roman"/>
          <w:b/>
          <w:sz w:val="24"/>
        </w:rPr>
        <w:t xml:space="preserve">Иные лекарственные средства </w:t>
      </w:r>
    </w:p>
    <w:p w:rsidR="005A3F38" w:rsidRDefault="003114B5">
      <w:pPr>
        <w:pStyle w:val="Heading4"/>
        <w:spacing w:after="114" w:line="259" w:lineRule="auto"/>
        <w:ind w:left="10"/>
        <w:jc w:val="left"/>
      </w:pPr>
      <w:r>
        <w:rPr>
          <w:i/>
        </w:rPr>
        <w:t>Аффинно очищенные антитела в микродозах</w:t>
      </w:r>
      <w:r>
        <w:rPr>
          <w:i/>
          <w:u w:val="none"/>
        </w:rPr>
        <w:t xml:space="preserve"> </w:t>
      </w:r>
    </w:p>
    <w:p w:rsidR="005A3F38" w:rsidRDefault="003114B5">
      <w:pPr>
        <w:numPr>
          <w:ilvl w:val="0"/>
          <w:numId w:val="52"/>
        </w:numPr>
        <w:spacing w:after="115"/>
        <w:ind w:right="644" w:hanging="139"/>
        <w:jc w:val="both"/>
      </w:pPr>
      <w:r>
        <w:rPr>
          <w:rFonts w:ascii="Times New Roman" w:eastAsia="Times New Roman" w:hAnsi="Times New Roman" w:cs="Times New Roman"/>
          <w:sz w:val="24"/>
        </w:rPr>
        <w:t xml:space="preserve">Антитела к гамма-интерферону аффинно </w:t>
      </w:r>
      <w:r>
        <w:rPr>
          <w:rFonts w:ascii="Times New Roman" w:eastAsia="Times New Roman" w:hAnsi="Times New Roman" w:cs="Times New Roman"/>
          <w:sz w:val="24"/>
        </w:rPr>
        <w:t xml:space="preserve">очищенные (анаферон) [164, 313]. </w:t>
      </w:r>
    </w:p>
    <w:p w:rsidR="005A3F38" w:rsidRDefault="003114B5">
      <w:pPr>
        <w:numPr>
          <w:ilvl w:val="0"/>
          <w:numId w:val="52"/>
        </w:numPr>
        <w:spacing w:after="5" w:line="364" w:lineRule="auto"/>
        <w:ind w:right="644" w:hanging="139"/>
        <w:jc w:val="both"/>
      </w:pPr>
      <w:r>
        <w:rPr>
          <w:rFonts w:ascii="Times New Roman" w:eastAsia="Times New Roman" w:hAnsi="Times New Roman" w:cs="Times New Roman"/>
          <w:sz w:val="24"/>
        </w:rPr>
        <w:t>Рафамин (антитела к гамма интерферону человека аффинно очищенные, антитела к CD4 аффинно очищенные, антитела к β2-микроглобулину МНС класса I аффинноочищенные, антитела к β1-домену МНС класса II аффинно очищенные) [164, 31</w:t>
      </w:r>
      <w:r>
        <w:rPr>
          <w:rFonts w:ascii="Times New Roman" w:eastAsia="Times New Roman" w:hAnsi="Times New Roman" w:cs="Times New Roman"/>
          <w:sz w:val="24"/>
        </w:rPr>
        <w:t xml:space="preserve">4]. </w:t>
      </w:r>
    </w:p>
    <w:p w:rsidR="005A3F38" w:rsidRDefault="003114B5">
      <w:pPr>
        <w:numPr>
          <w:ilvl w:val="0"/>
          <w:numId w:val="52"/>
        </w:numPr>
        <w:spacing w:after="31" w:line="364" w:lineRule="auto"/>
        <w:ind w:right="644" w:hanging="139"/>
        <w:jc w:val="both"/>
      </w:pPr>
      <w:r>
        <w:rPr>
          <w:rFonts w:ascii="Times New Roman" w:eastAsia="Times New Roman" w:hAnsi="Times New Roman" w:cs="Times New Roman"/>
          <w:sz w:val="24"/>
        </w:rPr>
        <w:t>Антитела к гамма-интерферону аффинно очищенные, антитела к гистамину аффинно очищенные, антитела к CD4 афинно очищенные (эргоферон) [142, 143, 144, 164, 315] -</w:t>
      </w:r>
      <w:r>
        <w:rPr>
          <w:rFonts w:ascii="Times New Roman" w:eastAsia="Times New Roman" w:hAnsi="Times New Roman" w:cs="Times New Roman"/>
          <w:color w:val="2C2D2E"/>
          <w:sz w:val="24"/>
        </w:rPr>
        <w:t xml:space="preserve"> Эуфорбиум композитум </w:t>
      </w:r>
      <w:r>
        <w:rPr>
          <w:rFonts w:ascii="Times New Roman" w:eastAsia="Times New Roman" w:hAnsi="Times New Roman" w:cs="Times New Roman"/>
          <w:sz w:val="24"/>
        </w:rPr>
        <w:t xml:space="preserve">[316, 317, 318, 319]. </w:t>
      </w:r>
    </w:p>
    <w:p w:rsidR="005A3F38" w:rsidRDefault="003114B5">
      <w:pPr>
        <w:spacing w:after="172"/>
      </w:pPr>
      <w:r>
        <w:rPr>
          <w:rFonts w:ascii="Times New Roman" w:eastAsia="Times New Roman" w:hAnsi="Times New Roman" w:cs="Times New Roman"/>
          <w:b/>
          <w:sz w:val="28"/>
        </w:rPr>
        <w:t xml:space="preserve"> </w:t>
      </w:r>
    </w:p>
    <w:p w:rsidR="005A3F38" w:rsidRDefault="003114B5">
      <w:pPr>
        <w:spacing w:after="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5A3F38" w:rsidRDefault="003114B5">
      <w:pPr>
        <w:spacing w:after="131"/>
        <w:ind w:left="708"/>
      </w:pPr>
      <w:r>
        <w:rPr>
          <w:rFonts w:ascii="Times New Roman" w:eastAsia="Times New Roman" w:hAnsi="Times New Roman" w:cs="Times New Roman"/>
          <w:b/>
          <w:sz w:val="28"/>
        </w:rPr>
        <w:t xml:space="preserve"> </w:t>
      </w:r>
    </w:p>
    <w:p w:rsidR="005A3F38" w:rsidRDefault="003114B5">
      <w:pPr>
        <w:pStyle w:val="Heading1"/>
        <w:ind w:left="-5"/>
      </w:pPr>
      <w:bookmarkStart w:id="50" w:name="_Toc141923"/>
      <w:r>
        <w:t>Приложение Б. Алгоритмы действий врача</w:t>
      </w:r>
      <w:r>
        <w:t xml:space="preserve"> </w:t>
      </w:r>
      <w:bookmarkEnd w:id="50"/>
    </w:p>
    <w:p w:rsidR="005A3F38" w:rsidRDefault="003114B5">
      <w:pPr>
        <w:spacing w:after="0"/>
      </w:pPr>
      <w:r>
        <w:rPr>
          <w:rFonts w:ascii="Times New Roman" w:eastAsia="Times New Roman" w:hAnsi="Times New Roman" w:cs="Times New Roman"/>
          <w:b/>
          <w:sz w:val="28"/>
        </w:rPr>
        <w:t xml:space="preserve"> </w:t>
      </w:r>
    </w:p>
    <w:p w:rsidR="005A3F38" w:rsidRDefault="003114B5">
      <w:pPr>
        <w:pStyle w:val="Heading1"/>
        <w:ind w:left="-5"/>
      </w:pPr>
      <w:bookmarkStart w:id="51" w:name="_Toc141924"/>
      <w:r>
        <w:t>Приложение Б1. Алгоритм</w:t>
      </w:r>
      <w:r>
        <w:t>-</w:t>
      </w:r>
      <w:r>
        <w:t>схема ведения пациента с ОРВИ</w:t>
      </w:r>
      <w:r>
        <w:t xml:space="preserve"> </w:t>
      </w:r>
      <w:bookmarkEnd w:id="51"/>
    </w:p>
    <w:p w:rsidR="005A3F38" w:rsidRDefault="003114B5">
      <w:pPr>
        <w:spacing w:after="14"/>
      </w:pPr>
      <w:r>
        <w:rPr>
          <w:rFonts w:ascii="Times New Roman" w:eastAsia="Times New Roman" w:hAnsi="Times New Roman" w:cs="Times New Roman"/>
          <w:b/>
          <w:sz w:val="24"/>
        </w:rPr>
        <w:t xml:space="preserve"> </w:t>
      </w:r>
    </w:p>
    <w:p w:rsidR="005A3F38" w:rsidRDefault="003114B5">
      <w:pPr>
        <w:spacing w:after="0"/>
      </w:pPr>
      <w:r>
        <w:rPr>
          <w:rFonts w:ascii="Times New Roman" w:eastAsia="Times New Roman" w:hAnsi="Times New Roman" w:cs="Times New Roman"/>
          <w:b/>
          <w:sz w:val="28"/>
        </w:rPr>
        <w:t xml:space="preserve"> </w:t>
      </w:r>
    </w:p>
    <w:p w:rsidR="005A3F38" w:rsidRDefault="003114B5">
      <w:pPr>
        <w:spacing w:after="0"/>
      </w:pPr>
      <w:r>
        <w:rPr>
          <w:rFonts w:ascii="Times New Roman" w:eastAsia="Times New Roman" w:hAnsi="Times New Roman" w:cs="Times New Roman"/>
          <w:b/>
          <w:sz w:val="24"/>
        </w:rPr>
        <w:t xml:space="preserve"> </w:t>
      </w:r>
    </w:p>
    <w:p w:rsidR="005A3F38" w:rsidRDefault="003114B5">
      <w:pPr>
        <w:spacing w:after="0"/>
      </w:pPr>
      <w:r>
        <w:rPr>
          <w:rFonts w:ascii="Times New Roman" w:eastAsia="Times New Roman" w:hAnsi="Times New Roman" w:cs="Times New Roman"/>
          <w:b/>
          <w:sz w:val="24"/>
        </w:rPr>
        <w:t xml:space="preserve"> </w:t>
      </w:r>
    </w:p>
    <w:p w:rsidR="005A3F38" w:rsidRDefault="003114B5">
      <w:pPr>
        <w:spacing w:after="19"/>
        <w:ind w:left="-709"/>
      </w:pPr>
      <w:r>
        <w:rPr>
          <w:noProof/>
        </w:rPr>
        <mc:AlternateContent>
          <mc:Choice Requires="wpg">
            <w:drawing>
              <wp:inline distT="0" distB="0" distL="0" distR="0">
                <wp:extent cx="6651876" cy="6489827"/>
                <wp:effectExtent l="0" t="0" r="0" b="0"/>
                <wp:docPr id="132388" name="Group 132388"/>
                <wp:cNvGraphicFramePr/>
                <a:graphic xmlns:a="http://schemas.openxmlformats.org/drawingml/2006/main">
                  <a:graphicData uri="http://schemas.microsoft.com/office/word/2010/wordprocessingGroup">
                    <wpg:wgp>
                      <wpg:cNvGrpSpPr/>
                      <wpg:grpSpPr>
                        <a:xfrm>
                          <a:off x="0" y="0"/>
                          <a:ext cx="6651876" cy="6489827"/>
                          <a:chOff x="0" y="0"/>
                          <a:chExt cx="6651876" cy="6489827"/>
                        </a:xfrm>
                      </wpg:grpSpPr>
                      <wps:wsp>
                        <wps:cNvPr id="19033" name="Rectangle 19033"/>
                        <wps:cNvSpPr/>
                        <wps:spPr>
                          <a:xfrm>
                            <a:off x="1059813" y="1771054"/>
                            <a:ext cx="304038"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9032" name="Rectangle 19032"/>
                        <wps:cNvSpPr/>
                        <wps:spPr>
                          <a:xfrm>
                            <a:off x="450212" y="1771054"/>
                            <a:ext cx="760095"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22" name="Rectangle 18922"/>
                        <wps:cNvSpPr/>
                        <wps:spPr>
                          <a:xfrm>
                            <a:off x="1288667" y="1771054"/>
                            <a:ext cx="428896" cy="181116"/>
                          </a:xfrm>
                          <a:prstGeom prst="rect">
                            <a:avLst/>
                          </a:prstGeom>
                          <a:ln>
                            <a:noFill/>
                          </a:ln>
                        </wps:spPr>
                        <wps:txbx>
                          <w:txbxContent>
                            <w:p w:rsidR="005A3F38" w:rsidRDefault="003114B5">
                              <w:r>
                                <w:rPr>
                                  <w:rFonts w:ascii="Times New Roman" w:eastAsia="Times New Roman" w:hAnsi="Times New Roman" w:cs="Times New Roman"/>
                                  <w:b/>
                                  <w:sz w:val="24"/>
                                </w:rPr>
                                <w:t>НЕТ</w:t>
                              </w:r>
                            </w:p>
                          </w:txbxContent>
                        </wps:txbx>
                        <wps:bodyPr horzOverflow="overflow" vert="horz" lIns="0" tIns="0" rIns="0" bIns="0" rtlCol="0">
                          <a:noAutofit/>
                        </wps:bodyPr>
                      </wps:wsp>
                      <wps:wsp>
                        <wps:cNvPr id="18923" name="Rectangle 18923"/>
                        <wps:cNvSpPr/>
                        <wps:spPr>
                          <a:xfrm>
                            <a:off x="1610231" y="177105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24" name="Rectangle 18924"/>
                        <wps:cNvSpPr/>
                        <wps:spPr>
                          <a:xfrm>
                            <a:off x="450212" y="194631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25" name="Rectangle 18925"/>
                        <wps:cNvSpPr/>
                        <wps:spPr>
                          <a:xfrm>
                            <a:off x="450212" y="212157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26" name="Rectangle 18926"/>
                        <wps:cNvSpPr/>
                        <wps:spPr>
                          <a:xfrm>
                            <a:off x="450212" y="229683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27" name="Rectangle 18927"/>
                        <wps:cNvSpPr/>
                        <wps:spPr>
                          <a:xfrm>
                            <a:off x="450212" y="247209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28" name="Rectangle 18928"/>
                        <wps:cNvSpPr/>
                        <wps:spPr>
                          <a:xfrm>
                            <a:off x="2797808" y="2472094"/>
                            <a:ext cx="286201" cy="181116"/>
                          </a:xfrm>
                          <a:prstGeom prst="rect">
                            <a:avLst/>
                          </a:prstGeom>
                          <a:ln>
                            <a:noFill/>
                          </a:ln>
                        </wps:spPr>
                        <wps:txbx>
                          <w:txbxContent>
                            <w:p w:rsidR="005A3F38" w:rsidRDefault="003114B5">
                              <w:r>
                                <w:rPr>
                                  <w:rFonts w:ascii="Times New Roman" w:eastAsia="Times New Roman" w:hAnsi="Times New Roman" w:cs="Times New Roman"/>
                                  <w:b/>
                                  <w:sz w:val="24"/>
                                </w:rPr>
                                <w:t>ДА</w:t>
                              </w:r>
                            </w:p>
                          </w:txbxContent>
                        </wps:txbx>
                        <wps:bodyPr horzOverflow="overflow" vert="horz" lIns="0" tIns="0" rIns="0" bIns="0" rtlCol="0">
                          <a:noAutofit/>
                        </wps:bodyPr>
                      </wps:wsp>
                      <wps:wsp>
                        <wps:cNvPr id="18929" name="Rectangle 18929"/>
                        <wps:cNvSpPr/>
                        <wps:spPr>
                          <a:xfrm>
                            <a:off x="3012691" y="247209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30" name="Rectangle 18930"/>
                        <wps:cNvSpPr/>
                        <wps:spPr>
                          <a:xfrm>
                            <a:off x="450212" y="264735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31" name="Rectangle 18931"/>
                        <wps:cNvSpPr/>
                        <wps:spPr>
                          <a:xfrm>
                            <a:off x="450212" y="282261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32" name="Rectangle 18932"/>
                        <wps:cNvSpPr/>
                        <wps:spPr>
                          <a:xfrm>
                            <a:off x="450212" y="299787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33" name="Rectangle 18933"/>
                        <wps:cNvSpPr/>
                        <wps:spPr>
                          <a:xfrm>
                            <a:off x="450212" y="3173134"/>
                            <a:ext cx="4307206"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34" name="Rectangle 18934"/>
                        <wps:cNvSpPr/>
                        <wps:spPr>
                          <a:xfrm>
                            <a:off x="3689347" y="3173134"/>
                            <a:ext cx="428896" cy="181116"/>
                          </a:xfrm>
                          <a:prstGeom prst="rect">
                            <a:avLst/>
                          </a:prstGeom>
                          <a:ln>
                            <a:noFill/>
                          </a:ln>
                        </wps:spPr>
                        <wps:txbx>
                          <w:txbxContent>
                            <w:p w:rsidR="005A3F38" w:rsidRDefault="003114B5">
                              <w:r>
                                <w:rPr>
                                  <w:rFonts w:ascii="Times New Roman" w:eastAsia="Times New Roman" w:hAnsi="Times New Roman" w:cs="Times New Roman"/>
                                  <w:b/>
                                  <w:sz w:val="24"/>
                                </w:rPr>
                                <w:t>НЕТ</w:t>
                              </w:r>
                            </w:p>
                          </w:txbxContent>
                        </wps:txbx>
                        <wps:bodyPr horzOverflow="overflow" vert="horz" lIns="0" tIns="0" rIns="0" bIns="0" rtlCol="0">
                          <a:noAutofit/>
                        </wps:bodyPr>
                      </wps:wsp>
                      <wps:wsp>
                        <wps:cNvPr id="18935" name="Rectangle 18935"/>
                        <wps:cNvSpPr/>
                        <wps:spPr>
                          <a:xfrm>
                            <a:off x="4010912" y="3173134"/>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40" name="Rectangle 18940"/>
                        <wps:cNvSpPr/>
                        <wps:spPr>
                          <a:xfrm>
                            <a:off x="4168138" y="3871972"/>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8943" name="Rectangle 18943"/>
                        <wps:cNvSpPr/>
                        <wps:spPr>
                          <a:xfrm>
                            <a:off x="2797808" y="4224948"/>
                            <a:ext cx="286201" cy="181116"/>
                          </a:xfrm>
                          <a:prstGeom prst="rect">
                            <a:avLst/>
                          </a:prstGeom>
                          <a:ln>
                            <a:noFill/>
                          </a:ln>
                        </wps:spPr>
                        <wps:txbx>
                          <w:txbxContent>
                            <w:p w:rsidR="005A3F38" w:rsidRDefault="003114B5">
                              <w:r>
                                <w:rPr>
                                  <w:rFonts w:ascii="Times New Roman" w:eastAsia="Times New Roman" w:hAnsi="Times New Roman" w:cs="Times New Roman"/>
                                  <w:b/>
                                  <w:sz w:val="24"/>
                                </w:rPr>
                                <w:t>ДА</w:t>
                              </w:r>
                            </w:p>
                          </w:txbxContent>
                        </wps:txbx>
                        <wps:bodyPr horzOverflow="overflow" vert="horz" lIns="0" tIns="0" rIns="0" bIns="0" rtlCol="0">
                          <a:noAutofit/>
                        </wps:bodyPr>
                      </wps:wsp>
                      <wps:wsp>
                        <wps:cNvPr id="18944" name="Rectangle 18944"/>
                        <wps:cNvSpPr/>
                        <wps:spPr>
                          <a:xfrm>
                            <a:off x="3012691" y="4224948"/>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48" name="Rectangle 18948"/>
                        <wps:cNvSpPr/>
                        <wps:spPr>
                          <a:xfrm>
                            <a:off x="5050533" y="4750728"/>
                            <a:ext cx="428896" cy="181116"/>
                          </a:xfrm>
                          <a:prstGeom prst="rect">
                            <a:avLst/>
                          </a:prstGeom>
                          <a:ln>
                            <a:noFill/>
                          </a:ln>
                        </wps:spPr>
                        <wps:txbx>
                          <w:txbxContent>
                            <w:p w:rsidR="005A3F38" w:rsidRDefault="003114B5">
                              <w:r>
                                <w:rPr>
                                  <w:rFonts w:ascii="Times New Roman" w:eastAsia="Times New Roman" w:hAnsi="Times New Roman" w:cs="Times New Roman"/>
                                  <w:b/>
                                  <w:sz w:val="24"/>
                                </w:rPr>
                                <w:t>НЕТ</w:t>
                              </w:r>
                            </w:p>
                          </w:txbxContent>
                        </wps:txbx>
                        <wps:bodyPr horzOverflow="overflow" vert="horz" lIns="0" tIns="0" rIns="0" bIns="0" rtlCol="0">
                          <a:noAutofit/>
                        </wps:bodyPr>
                      </wps:wsp>
                      <wps:wsp>
                        <wps:cNvPr id="18949" name="Rectangle 18949"/>
                        <wps:cNvSpPr/>
                        <wps:spPr>
                          <a:xfrm>
                            <a:off x="5372098" y="4750728"/>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52" name="Rectangle 18952"/>
                        <wps:cNvSpPr/>
                        <wps:spPr>
                          <a:xfrm>
                            <a:off x="4940806" y="5101249"/>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56" name="Rectangle 18956"/>
                        <wps:cNvSpPr/>
                        <wps:spPr>
                          <a:xfrm>
                            <a:off x="4532374" y="5627028"/>
                            <a:ext cx="286201" cy="181116"/>
                          </a:xfrm>
                          <a:prstGeom prst="rect">
                            <a:avLst/>
                          </a:prstGeom>
                          <a:ln>
                            <a:noFill/>
                          </a:ln>
                        </wps:spPr>
                        <wps:txbx>
                          <w:txbxContent>
                            <w:p w:rsidR="005A3F38" w:rsidRDefault="003114B5">
                              <w:r>
                                <w:rPr>
                                  <w:rFonts w:ascii="Times New Roman" w:eastAsia="Times New Roman" w:hAnsi="Times New Roman" w:cs="Times New Roman"/>
                                  <w:b/>
                                  <w:sz w:val="24"/>
                                </w:rPr>
                                <w:t>ДА</w:t>
                              </w:r>
                            </w:p>
                          </w:txbxContent>
                        </wps:txbx>
                        <wps:bodyPr horzOverflow="overflow" vert="horz" lIns="0" tIns="0" rIns="0" bIns="0" rtlCol="0">
                          <a:noAutofit/>
                        </wps:bodyPr>
                      </wps:wsp>
                      <wps:wsp>
                        <wps:cNvPr id="18957" name="Rectangle 18957"/>
                        <wps:cNvSpPr/>
                        <wps:spPr>
                          <a:xfrm>
                            <a:off x="4747258" y="5627028"/>
                            <a:ext cx="50673" cy="181116"/>
                          </a:xfrm>
                          <a:prstGeom prst="rect">
                            <a:avLst/>
                          </a:prstGeom>
                          <a:ln>
                            <a:noFill/>
                          </a:ln>
                        </wps:spPr>
                        <wps:txbx>
                          <w:txbxContent>
                            <w:p w:rsidR="005A3F38" w:rsidRDefault="003114B5">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18968" name="Shape 18968"/>
                        <wps:cNvSpPr/>
                        <wps:spPr>
                          <a:xfrm>
                            <a:off x="1434463" y="953643"/>
                            <a:ext cx="2113915" cy="367665"/>
                          </a:xfrm>
                          <a:custGeom>
                            <a:avLst/>
                            <a:gdLst/>
                            <a:ahLst/>
                            <a:cxnLst/>
                            <a:rect l="0" t="0" r="0" b="0"/>
                            <a:pathLst>
                              <a:path w="2113915" h="367665">
                                <a:moveTo>
                                  <a:pt x="0" y="367665"/>
                                </a:moveTo>
                                <a:lnTo>
                                  <a:pt x="2113915" y="367665"/>
                                </a:lnTo>
                                <a:lnTo>
                                  <a:pt x="211391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969" name="Rectangle 18969"/>
                        <wps:cNvSpPr/>
                        <wps:spPr>
                          <a:xfrm>
                            <a:off x="2300603" y="1039745"/>
                            <a:ext cx="1156561" cy="184382"/>
                          </a:xfrm>
                          <a:prstGeom prst="rect">
                            <a:avLst/>
                          </a:prstGeom>
                          <a:ln>
                            <a:noFill/>
                          </a:ln>
                        </wps:spPr>
                        <wps:txbx>
                          <w:txbxContent>
                            <w:p w:rsidR="005A3F38" w:rsidRDefault="003114B5">
                              <w:r>
                                <w:rPr>
                                  <w:rFonts w:ascii="Times New Roman" w:eastAsia="Times New Roman" w:hAnsi="Times New Roman" w:cs="Times New Roman"/>
                                  <w:sz w:val="24"/>
                                </w:rPr>
                                <w:t xml:space="preserve">Диагностика </w:t>
                              </w:r>
                            </w:p>
                          </w:txbxContent>
                        </wps:txbx>
                        <wps:bodyPr horzOverflow="overflow" vert="horz" lIns="0" tIns="0" rIns="0" bIns="0" rtlCol="0">
                          <a:noAutofit/>
                        </wps:bodyPr>
                      </wps:wsp>
                      <wps:wsp>
                        <wps:cNvPr id="18970" name="Rectangle 18970"/>
                        <wps:cNvSpPr/>
                        <wps:spPr>
                          <a:xfrm>
                            <a:off x="3169664" y="1039745"/>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8972" name="Shape 18972"/>
                        <wps:cNvSpPr/>
                        <wps:spPr>
                          <a:xfrm>
                            <a:off x="4100192" y="3004566"/>
                            <a:ext cx="1870075" cy="668655"/>
                          </a:xfrm>
                          <a:custGeom>
                            <a:avLst/>
                            <a:gdLst/>
                            <a:ahLst/>
                            <a:cxnLst/>
                            <a:rect l="0" t="0" r="0" b="0"/>
                            <a:pathLst>
                              <a:path w="1870075" h="668655">
                                <a:moveTo>
                                  <a:pt x="0" y="668655"/>
                                </a:moveTo>
                                <a:lnTo>
                                  <a:pt x="1870075" y="668655"/>
                                </a:lnTo>
                                <a:lnTo>
                                  <a:pt x="187007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973" name="Rectangle 18973"/>
                        <wps:cNvSpPr/>
                        <wps:spPr>
                          <a:xfrm>
                            <a:off x="4197094" y="3091430"/>
                            <a:ext cx="922249" cy="184382"/>
                          </a:xfrm>
                          <a:prstGeom prst="rect">
                            <a:avLst/>
                          </a:prstGeom>
                          <a:ln>
                            <a:noFill/>
                          </a:ln>
                        </wps:spPr>
                        <wps:txbx>
                          <w:txbxContent>
                            <w:p w:rsidR="005A3F38" w:rsidRDefault="003114B5">
                              <w:r>
                                <w:rPr>
                                  <w:rFonts w:ascii="Times New Roman" w:eastAsia="Times New Roman" w:hAnsi="Times New Roman" w:cs="Times New Roman"/>
                                  <w:sz w:val="24"/>
                                </w:rPr>
                                <w:t xml:space="preserve">Лечение в </w:t>
                              </w:r>
                            </w:p>
                          </w:txbxContent>
                        </wps:txbx>
                        <wps:bodyPr horzOverflow="overflow" vert="horz" lIns="0" tIns="0" rIns="0" bIns="0" rtlCol="0">
                          <a:noAutofit/>
                        </wps:bodyPr>
                      </wps:wsp>
                      <wps:wsp>
                        <wps:cNvPr id="18974" name="Rectangle 18974"/>
                        <wps:cNvSpPr/>
                        <wps:spPr>
                          <a:xfrm>
                            <a:off x="4197094" y="3266690"/>
                            <a:ext cx="1301485" cy="184382"/>
                          </a:xfrm>
                          <a:prstGeom prst="rect">
                            <a:avLst/>
                          </a:prstGeom>
                          <a:ln>
                            <a:noFill/>
                          </a:ln>
                        </wps:spPr>
                        <wps:txbx>
                          <w:txbxContent>
                            <w:p w:rsidR="005A3F38" w:rsidRDefault="003114B5">
                              <w:r>
                                <w:rPr>
                                  <w:rFonts w:ascii="Times New Roman" w:eastAsia="Times New Roman" w:hAnsi="Times New Roman" w:cs="Times New Roman"/>
                                  <w:sz w:val="24"/>
                                </w:rPr>
                                <w:t xml:space="preserve">амбулаторных </w:t>
                              </w:r>
                            </w:p>
                          </w:txbxContent>
                        </wps:txbx>
                        <wps:bodyPr horzOverflow="overflow" vert="horz" lIns="0" tIns="0" rIns="0" bIns="0" rtlCol="0">
                          <a:noAutofit/>
                        </wps:bodyPr>
                      </wps:wsp>
                      <wps:wsp>
                        <wps:cNvPr id="18975" name="Rectangle 18975"/>
                        <wps:cNvSpPr/>
                        <wps:spPr>
                          <a:xfrm>
                            <a:off x="4197094" y="3441950"/>
                            <a:ext cx="792323" cy="184382"/>
                          </a:xfrm>
                          <a:prstGeom prst="rect">
                            <a:avLst/>
                          </a:prstGeom>
                          <a:ln>
                            <a:noFill/>
                          </a:ln>
                        </wps:spPr>
                        <wps:txbx>
                          <w:txbxContent>
                            <w:p w:rsidR="005A3F38" w:rsidRDefault="003114B5">
                              <w:r>
                                <w:rPr>
                                  <w:rFonts w:ascii="Times New Roman" w:eastAsia="Times New Roman" w:hAnsi="Times New Roman" w:cs="Times New Roman"/>
                                  <w:sz w:val="24"/>
                                </w:rPr>
                                <w:t>условиях</w:t>
                              </w:r>
                            </w:p>
                          </w:txbxContent>
                        </wps:txbx>
                        <wps:bodyPr horzOverflow="overflow" vert="horz" lIns="0" tIns="0" rIns="0" bIns="0" rtlCol="0">
                          <a:noAutofit/>
                        </wps:bodyPr>
                      </wps:wsp>
                      <wps:wsp>
                        <wps:cNvPr id="18976" name="Rectangle 18976"/>
                        <wps:cNvSpPr/>
                        <wps:spPr>
                          <a:xfrm>
                            <a:off x="4792977" y="3441950"/>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8978" name="Shape 18978"/>
                        <wps:cNvSpPr/>
                        <wps:spPr>
                          <a:xfrm>
                            <a:off x="0" y="1678178"/>
                            <a:ext cx="1247140" cy="573405"/>
                          </a:xfrm>
                          <a:custGeom>
                            <a:avLst/>
                            <a:gdLst/>
                            <a:ahLst/>
                            <a:cxnLst/>
                            <a:rect l="0" t="0" r="0" b="0"/>
                            <a:pathLst>
                              <a:path w="1247140" h="573405">
                                <a:moveTo>
                                  <a:pt x="0" y="573405"/>
                                </a:moveTo>
                                <a:lnTo>
                                  <a:pt x="1247140" y="573405"/>
                                </a:lnTo>
                                <a:lnTo>
                                  <a:pt x="124714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979" name="Rectangle 18979"/>
                        <wps:cNvSpPr/>
                        <wps:spPr>
                          <a:xfrm>
                            <a:off x="95120" y="1765550"/>
                            <a:ext cx="1270068" cy="184382"/>
                          </a:xfrm>
                          <a:prstGeom prst="rect">
                            <a:avLst/>
                          </a:prstGeom>
                          <a:ln>
                            <a:noFill/>
                          </a:ln>
                        </wps:spPr>
                        <wps:txbx>
                          <w:txbxContent>
                            <w:p w:rsidR="005A3F38" w:rsidRDefault="003114B5">
                              <w:r>
                                <w:rPr>
                                  <w:rFonts w:ascii="Times New Roman" w:eastAsia="Times New Roman" w:hAnsi="Times New Roman" w:cs="Times New Roman"/>
                                  <w:sz w:val="24"/>
                                </w:rPr>
                                <w:t xml:space="preserve">Консультация </w:t>
                              </w:r>
                            </w:p>
                          </w:txbxContent>
                        </wps:txbx>
                        <wps:bodyPr horzOverflow="overflow" vert="horz" lIns="0" tIns="0" rIns="0" bIns="0" rtlCol="0">
                          <a:noAutofit/>
                        </wps:bodyPr>
                      </wps:wsp>
                      <wps:wsp>
                        <wps:cNvPr id="18980" name="Rectangle 18980"/>
                        <wps:cNvSpPr/>
                        <wps:spPr>
                          <a:xfrm>
                            <a:off x="95120" y="2027679"/>
                            <a:ext cx="1073660" cy="184382"/>
                          </a:xfrm>
                          <a:prstGeom prst="rect">
                            <a:avLst/>
                          </a:prstGeom>
                          <a:ln>
                            <a:noFill/>
                          </a:ln>
                        </wps:spPr>
                        <wps:txbx>
                          <w:txbxContent>
                            <w:p w:rsidR="005A3F38" w:rsidRDefault="003114B5">
                              <w:r>
                                <w:rPr>
                                  <w:rFonts w:ascii="Times New Roman" w:eastAsia="Times New Roman" w:hAnsi="Times New Roman" w:cs="Times New Roman"/>
                                  <w:sz w:val="24"/>
                                </w:rPr>
                                <w:t>специалиста</w:t>
                              </w:r>
                            </w:p>
                          </w:txbxContent>
                        </wps:txbx>
                        <wps:bodyPr horzOverflow="overflow" vert="horz" lIns="0" tIns="0" rIns="0" bIns="0" rtlCol="0">
                          <a:noAutofit/>
                        </wps:bodyPr>
                      </wps:wsp>
                      <wps:wsp>
                        <wps:cNvPr id="18981" name="Rectangle 18981"/>
                        <wps:cNvSpPr/>
                        <wps:spPr>
                          <a:xfrm>
                            <a:off x="903145" y="2027679"/>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8983" name="Shape 18983"/>
                        <wps:cNvSpPr/>
                        <wps:spPr>
                          <a:xfrm>
                            <a:off x="1756408" y="4724654"/>
                            <a:ext cx="1303655" cy="520065"/>
                          </a:xfrm>
                          <a:custGeom>
                            <a:avLst/>
                            <a:gdLst/>
                            <a:ahLst/>
                            <a:cxnLst/>
                            <a:rect l="0" t="0" r="0" b="0"/>
                            <a:pathLst>
                              <a:path w="1303655" h="520065">
                                <a:moveTo>
                                  <a:pt x="0" y="520065"/>
                                </a:moveTo>
                                <a:lnTo>
                                  <a:pt x="1303655" y="520065"/>
                                </a:lnTo>
                                <a:lnTo>
                                  <a:pt x="130365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984" name="Rectangle 18984"/>
                        <wps:cNvSpPr/>
                        <wps:spPr>
                          <a:xfrm>
                            <a:off x="2305175" y="4812280"/>
                            <a:ext cx="922249" cy="184382"/>
                          </a:xfrm>
                          <a:prstGeom prst="rect">
                            <a:avLst/>
                          </a:prstGeom>
                          <a:ln>
                            <a:noFill/>
                          </a:ln>
                        </wps:spPr>
                        <wps:txbx>
                          <w:txbxContent>
                            <w:p w:rsidR="005A3F38" w:rsidRDefault="003114B5">
                              <w:r>
                                <w:rPr>
                                  <w:rFonts w:ascii="Times New Roman" w:eastAsia="Times New Roman" w:hAnsi="Times New Roman" w:cs="Times New Roman"/>
                                  <w:sz w:val="24"/>
                                </w:rPr>
                                <w:t xml:space="preserve">Лечение в </w:t>
                              </w:r>
                            </w:p>
                          </w:txbxContent>
                        </wps:txbx>
                        <wps:bodyPr horzOverflow="overflow" vert="horz" lIns="0" tIns="0" rIns="0" bIns="0" rtlCol="0">
                          <a:noAutofit/>
                        </wps:bodyPr>
                      </wps:wsp>
                      <wps:wsp>
                        <wps:cNvPr id="18985" name="Rectangle 18985"/>
                        <wps:cNvSpPr/>
                        <wps:spPr>
                          <a:xfrm>
                            <a:off x="2041522" y="4987541"/>
                            <a:ext cx="977178" cy="184382"/>
                          </a:xfrm>
                          <a:prstGeom prst="rect">
                            <a:avLst/>
                          </a:prstGeom>
                          <a:ln>
                            <a:noFill/>
                          </a:ln>
                        </wps:spPr>
                        <wps:txbx>
                          <w:txbxContent>
                            <w:p w:rsidR="005A3F38" w:rsidRDefault="003114B5">
                              <w:r>
                                <w:rPr>
                                  <w:rFonts w:ascii="Times New Roman" w:eastAsia="Times New Roman" w:hAnsi="Times New Roman" w:cs="Times New Roman"/>
                                  <w:sz w:val="24"/>
                                </w:rPr>
                                <w:t>стационаре</w:t>
                              </w:r>
                            </w:p>
                          </w:txbxContent>
                        </wps:txbx>
                        <wps:bodyPr horzOverflow="overflow" vert="horz" lIns="0" tIns="0" rIns="0" bIns="0" rtlCol="0">
                          <a:noAutofit/>
                        </wps:bodyPr>
                      </wps:wsp>
                      <wps:wsp>
                        <wps:cNvPr id="18986" name="Rectangle 18986"/>
                        <wps:cNvSpPr/>
                        <wps:spPr>
                          <a:xfrm>
                            <a:off x="2776472" y="4987541"/>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8988" name="Shape 18988"/>
                        <wps:cNvSpPr/>
                        <wps:spPr>
                          <a:xfrm>
                            <a:off x="2539997" y="427990"/>
                            <a:ext cx="76200" cy="525780"/>
                          </a:xfrm>
                          <a:custGeom>
                            <a:avLst/>
                            <a:gdLst/>
                            <a:ahLst/>
                            <a:cxnLst/>
                            <a:rect l="0" t="0" r="0" b="0"/>
                            <a:pathLst>
                              <a:path w="76200" h="525780">
                                <a:moveTo>
                                  <a:pt x="33401" y="0"/>
                                </a:moveTo>
                                <a:lnTo>
                                  <a:pt x="42926" y="0"/>
                                </a:lnTo>
                                <a:lnTo>
                                  <a:pt x="42926" y="449580"/>
                                </a:lnTo>
                                <a:lnTo>
                                  <a:pt x="76200" y="449580"/>
                                </a:lnTo>
                                <a:lnTo>
                                  <a:pt x="38100" y="525780"/>
                                </a:lnTo>
                                <a:lnTo>
                                  <a:pt x="0" y="449580"/>
                                </a:lnTo>
                                <a:lnTo>
                                  <a:pt x="33401" y="449580"/>
                                </a:lnTo>
                                <a:lnTo>
                                  <a:pt x="3340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89" name="Shape 18989"/>
                        <wps:cNvSpPr/>
                        <wps:spPr>
                          <a:xfrm>
                            <a:off x="1229357" y="1925193"/>
                            <a:ext cx="455930" cy="76200"/>
                          </a:xfrm>
                          <a:custGeom>
                            <a:avLst/>
                            <a:gdLst/>
                            <a:ahLst/>
                            <a:cxnLst/>
                            <a:rect l="0" t="0" r="0" b="0"/>
                            <a:pathLst>
                              <a:path w="455930" h="76200">
                                <a:moveTo>
                                  <a:pt x="76200" y="0"/>
                                </a:moveTo>
                                <a:lnTo>
                                  <a:pt x="76200" y="33274"/>
                                </a:lnTo>
                                <a:lnTo>
                                  <a:pt x="223139" y="33274"/>
                                </a:lnTo>
                                <a:lnTo>
                                  <a:pt x="223139" y="32639"/>
                                </a:lnTo>
                                <a:lnTo>
                                  <a:pt x="455930" y="32639"/>
                                </a:lnTo>
                                <a:lnTo>
                                  <a:pt x="455930" y="42164"/>
                                </a:lnTo>
                                <a:lnTo>
                                  <a:pt x="232664" y="42164"/>
                                </a:lnTo>
                                <a:lnTo>
                                  <a:pt x="232664" y="42799"/>
                                </a:lnTo>
                                <a:lnTo>
                                  <a:pt x="76200" y="42799"/>
                                </a:lnTo>
                                <a:lnTo>
                                  <a:pt x="76200" y="76200"/>
                                </a:lnTo>
                                <a:lnTo>
                                  <a:pt x="0" y="38100"/>
                                </a:lnTo>
                                <a:lnTo>
                                  <a:pt x="762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90" name="Shape 18990"/>
                        <wps:cNvSpPr/>
                        <wps:spPr>
                          <a:xfrm>
                            <a:off x="2539997" y="1321309"/>
                            <a:ext cx="76200" cy="273050"/>
                          </a:xfrm>
                          <a:custGeom>
                            <a:avLst/>
                            <a:gdLst/>
                            <a:ahLst/>
                            <a:cxnLst/>
                            <a:rect l="0" t="0" r="0" b="0"/>
                            <a:pathLst>
                              <a:path w="76200" h="273050">
                                <a:moveTo>
                                  <a:pt x="33401" y="0"/>
                                </a:moveTo>
                                <a:lnTo>
                                  <a:pt x="42926" y="0"/>
                                </a:lnTo>
                                <a:lnTo>
                                  <a:pt x="42926" y="196850"/>
                                </a:lnTo>
                                <a:lnTo>
                                  <a:pt x="76200" y="196850"/>
                                </a:lnTo>
                                <a:lnTo>
                                  <a:pt x="38100" y="273050"/>
                                </a:lnTo>
                                <a:lnTo>
                                  <a:pt x="0" y="196850"/>
                                </a:lnTo>
                                <a:lnTo>
                                  <a:pt x="33401" y="196850"/>
                                </a:lnTo>
                                <a:lnTo>
                                  <a:pt x="3340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91" name="Shape 18991"/>
                        <wps:cNvSpPr/>
                        <wps:spPr>
                          <a:xfrm>
                            <a:off x="2588258" y="2341627"/>
                            <a:ext cx="76200" cy="414020"/>
                          </a:xfrm>
                          <a:custGeom>
                            <a:avLst/>
                            <a:gdLst/>
                            <a:ahLst/>
                            <a:cxnLst/>
                            <a:rect l="0" t="0" r="0" b="0"/>
                            <a:pathLst>
                              <a:path w="76200" h="414020">
                                <a:moveTo>
                                  <a:pt x="33274" y="0"/>
                                </a:moveTo>
                                <a:lnTo>
                                  <a:pt x="42799" y="0"/>
                                </a:lnTo>
                                <a:lnTo>
                                  <a:pt x="42799" y="337820"/>
                                </a:lnTo>
                                <a:lnTo>
                                  <a:pt x="76200" y="337820"/>
                                </a:lnTo>
                                <a:lnTo>
                                  <a:pt x="38100" y="414020"/>
                                </a:lnTo>
                                <a:lnTo>
                                  <a:pt x="0" y="337820"/>
                                </a:lnTo>
                                <a:lnTo>
                                  <a:pt x="33274" y="337820"/>
                                </a:lnTo>
                                <a:lnTo>
                                  <a:pt x="3327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92" name="Shape 18992"/>
                        <wps:cNvSpPr/>
                        <wps:spPr>
                          <a:xfrm>
                            <a:off x="1436368" y="2751836"/>
                            <a:ext cx="2371725" cy="1362075"/>
                          </a:xfrm>
                          <a:custGeom>
                            <a:avLst/>
                            <a:gdLst/>
                            <a:ahLst/>
                            <a:cxnLst/>
                            <a:rect l="0" t="0" r="0" b="0"/>
                            <a:pathLst>
                              <a:path w="2371725" h="1362075">
                                <a:moveTo>
                                  <a:pt x="1185799" y="0"/>
                                </a:moveTo>
                                <a:lnTo>
                                  <a:pt x="2371725" y="681101"/>
                                </a:lnTo>
                                <a:lnTo>
                                  <a:pt x="1185799" y="1362075"/>
                                </a:lnTo>
                                <a:lnTo>
                                  <a:pt x="0" y="681101"/>
                                </a:lnTo>
                                <a:lnTo>
                                  <a:pt x="118579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993" name="Shape 18993"/>
                        <wps:cNvSpPr/>
                        <wps:spPr>
                          <a:xfrm>
                            <a:off x="1436368" y="2751836"/>
                            <a:ext cx="2371725" cy="1362075"/>
                          </a:xfrm>
                          <a:custGeom>
                            <a:avLst/>
                            <a:gdLst/>
                            <a:ahLst/>
                            <a:cxnLst/>
                            <a:rect l="0" t="0" r="0" b="0"/>
                            <a:pathLst>
                              <a:path w="2371725" h="1362075">
                                <a:moveTo>
                                  <a:pt x="0" y="681101"/>
                                </a:moveTo>
                                <a:lnTo>
                                  <a:pt x="1185799" y="0"/>
                                </a:lnTo>
                                <a:lnTo>
                                  <a:pt x="2371725" y="681101"/>
                                </a:lnTo>
                                <a:lnTo>
                                  <a:pt x="1185799" y="1362075"/>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994" name="Rectangle 18994"/>
                        <wps:cNvSpPr/>
                        <wps:spPr>
                          <a:xfrm>
                            <a:off x="2125342" y="3174926"/>
                            <a:ext cx="696827" cy="153037"/>
                          </a:xfrm>
                          <a:prstGeom prst="rect">
                            <a:avLst/>
                          </a:prstGeom>
                          <a:ln>
                            <a:noFill/>
                          </a:ln>
                        </wps:spPr>
                        <wps:txbx>
                          <w:txbxContent>
                            <w:p w:rsidR="005A3F38" w:rsidRDefault="003114B5">
                              <w:r>
                                <w:rPr>
                                  <w:rFonts w:ascii="Times New Roman" w:eastAsia="Times New Roman" w:hAnsi="Times New Roman" w:cs="Times New Roman"/>
                                  <w:sz w:val="20"/>
                                </w:rPr>
                                <w:t xml:space="preserve">Имеются </w:t>
                              </w:r>
                            </w:p>
                          </w:txbxContent>
                        </wps:txbx>
                        <wps:bodyPr horzOverflow="overflow" vert="horz" lIns="0" tIns="0" rIns="0" bIns="0" rtlCol="0">
                          <a:noAutofit/>
                        </wps:bodyPr>
                      </wps:wsp>
                      <wps:wsp>
                        <wps:cNvPr id="24946" name="Rectangle 24946"/>
                        <wps:cNvSpPr/>
                        <wps:spPr>
                          <a:xfrm>
                            <a:off x="2125342" y="3321230"/>
                            <a:ext cx="771523" cy="153037"/>
                          </a:xfrm>
                          <a:prstGeom prst="rect">
                            <a:avLst/>
                          </a:prstGeom>
                          <a:ln>
                            <a:noFill/>
                          </a:ln>
                        </wps:spPr>
                        <wps:txbx>
                          <w:txbxContent>
                            <w:p w:rsidR="005A3F38" w:rsidRDefault="003114B5">
                              <w:r>
                                <w:rPr>
                                  <w:rFonts w:ascii="Times New Roman" w:eastAsia="Times New Roman" w:hAnsi="Times New Roman" w:cs="Times New Roman"/>
                                  <w:sz w:val="20"/>
                                </w:rPr>
                                <w:t xml:space="preserve">показания </w:t>
                              </w:r>
                            </w:p>
                          </w:txbxContent>
                        </wps:txbx>
                        <wps:bodyPr horzOverflow="overflow" vert="horz" lIns="0" tIns="0" rIns="0" bIns="0" rtlCol="0">
                          <a:noAutofit/>
                        </wps:bodyPr>
                      </wps:wsp>
                      <wps:wsp>
                        <wps:cNvPr id="24947" name="Rectangle 24947"/>
                        <wps:cNvSpPr/>
                        <wps:spPr>
                          <a:xfrm>
                            <a:off x="3055944" y="3321230"/>
                            <a:ext cx="124998" cy="153037"/>
                          </a:xfrm>
                          <a:prstGeom prst="rect">
                            <a:avLst/>
                          </a:prstGeom>
                          <a:ln>
                            <a:noFill/>
                          </a:ln>
                        </wps:spPr>
                        <wps:txbx>
                          <w:txbxContent>
                            <w:p w:rsidR="005A3F38" w:rsidRDefault="003114B5">
                              <w:r>
                                <w:rPr>
                                  <w:rFonts w:ascii="Times New Roman" w:eastAsia="Times New Roman" w:hAnsi="Times New Roman" w:cs="Times New Roman"/>
                                  <w:sz w:val="20"/>
                                </w:rPr>
                                <w:t xml:space="preserve">к </w:t>
                              </w:r>
                            </w:p>
                          </w:txbxContent>
                        </wps:txbx>
                        <wps:bodyPr horzOverflow="overflow" vert="horz" lIns="0" tIns="0" rIns="0" bIns="0" rtlCol="0">
                          <a:noAutofit/>
                        </wps:bodyPr>
                      </wps:wsp>
                      <wps:wsp>
                        <wps:cNvPr id="18996" name="Rectangle 18996"/>
                        <wps:cNvSpPr/>
                        <wps:spPr>
                          <a:xfrm>
                            <a:off x="2125342" y="3467534"/>
                            <a:ext cx="1217008" cy="153037"/>
                          </a:xfrm>
                          <a:prstGeom prst="rect">
                            <a:avLst/>
                          </a:prstGeom>
                          <a:ln>
                            <a:noFill/>
                          </a:ln>
                        </wps:spPr>
                        <wps:txbx>
                          <w:txbxContent>
                            <w:p w:rsidR="005A3F38" w:rsidRDefault="003114B5">
                              <w:r>
                                <w:rPr>
                                  <w:rFonts w:ascii="Times New Roman" w:eastAsia="Times New Roman" w:hAnsi="Times New Roman" w:cs="Times New Roman"/>
                                  <w:sz w:val="20"/>
                                </w:rPr>
                                <w:t>госпитализации?</w:t>
                              </w:r>
                            </w:p>
                          </w:txbxContent>
                        </wps:txbx>
                        <wps:bodyPr horzOverflow="overflow" vert="horz" lIns="0" tIns="0" rIns="0" bIns="0" rtlCol="0">
                          <a:noAutofit/>
                        </wps:bodyPr>
                      </wps:wsp>
                      <wps:wsp>
                        <wps:cNvPr id="18997" name="Rectangle 18997"/>
                        <wps:cNvSpPr/>
                        <wps:spPr>
                          <a:xfrm>
                            <a:off x="3043172" y="3467534"/>
                            <a:ext cx="42059" cy="153037"/>
                          </a:xfrm>
                          <a:prstGeom prst="rect">
                            <a:avLst/>
                          </a:prstGeom>
                          <a:ln>
                            <a:noFill/>
                          </a:ln>
                        </wps:spPr>
                        <wps:txbx>
                          <w:txbxContent>
                            <w:p w:rsidR="005A3F38" w:rsidRDefault="003114B5">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8998" name="Shape 18998"/>
                        <wps:cNvSpPr/>
                        <wps:spPr>
                          <a:xfrm>
                            <a:off x="2588258" y="4114420"/>
                            <a:ext cx="76200" cy="614680"/>
                          </a:xfrm>
                          <a:custGeom>
                            <a:avLst/>
                            <a:gdLst/>
                            <a:ahLst/>
                            <a:cxnLst/>
                            <a:rect l="0" t="0" r="0" b="0"/>
                            <a:pathLst>
                              <a:path w="76200" h="614680">
                                <a:moveTo>
                                  <a:pt x="33274" y="0"/>
                                </a:moveTo>
                                <a:lnTo>
                                  <a:pt x="42799" y="0"/>
                                </a:lnTo>
                                <a:lnTo>
                                  <a:pt x="42799" y="538480"/>
                                </a:lnTo>
                                <a:lnTo>
                                  <a:pt x="76200" y="538480"/>
                                </a:lnTo>
                                <a:lnTo>
                                  <a:pt x="38100" y="614680"/>
                                </a:lnTo>
                                <a:lnTo>
                                  <a:pt x="0" y="538480"/>
                                </a:lnTo>
                                <a:lnTo>
                                  <a:pt x="33274" y="538480"/>
                                </a:lnTo>
                                <a:lnTo>
                                  <a:pt x="3327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00" name="Shape 19000"/>
                        <wps:cNvSpPr/>
                        <wps:spPr>
                          <a:xfrm>
                            <a:off x="1416682" y="6109463"/>
                            <a:ext cx="3630295" cy="380364"/>
                          </a:xfrm>
                          <a:custGeom>
                            <a:avLst/>
                            <a:gdLst/>
                            <a:ahLst/>
                            <a:cxnLst/>
                            <a:rect l="0" t="0" r="0" b="0"/>
                            <a:pathLst>
                              <a:path w="3630295" h="380364">
                                <a:moveTo>
                                  <a:pt x="0" y="380364"/>
                                </a:moveTo>
                                <a:lnTo>
                                  <a:pt x="3630295" y="380364"/>
                                </a:lnTo>
                                <a:lnTo>
                                  <a:pt x="363029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9001" name="Rectangle 19001"/>
                        <wps:cNvSpPr/>
                        <wps:spPr>
                          <a:xfrm>
                            <a:off x="2273171" y="6196454"/>
                            <a:ext cx="3195035" cy="184382"/>
                          </a:xfrm>
                          <a:prstGeom prst="rect">
                            <a:avLst/>
                          </a:prstGeom>
                          <a:ln>
                            <a:noFill/>
                          </a:ln>
                        </wps:spPr>
                        <wps:txbx>
                          <w:txbxContent>
                            <w:p w:rsidR="005A3F38" w:rsidRDefault="003114B5">
                              <w:r>
                                <w:rPr>
                                  <w:rFonts w:ascii="Times New Roman" w:eastAsia="Times New Roman" w:hAnsi="Times New Roman" w:cs="Times New Roman"/>
                                  <w:sz w:val="24"/>
                                </w:rPr>
                                <w:t xml:space="preserve">Профилактика повторной инфекции </w:t>
                              </w:r>
                            </w:p>
                          </w:txbxContent>
                        </wps:txbx>
                        <wps:bodyPr horzOverflow="overflow" vert="horz" lIns="0" tIns="0" rIns="0" bIns="0" rtlCol="0">
                          <a:noAutofit/>
                        </wps:bodyPr>
                      </wps:wsp>
                      <wps:wsp>
                        <wps:cNvPr id="19002" name="Rectangle 19002"/>
                        <wps:cNvSpPr/>
                        <wps:spPr>
                          <a:xfrm>
                            <a:off x="4675630" y="6196454"/>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9003" name="Shape 19003"/>
                        <wps:cNvSpPr/>
                        <wps:spPr>
                          <a:xfrm>
                            <a:off x="3060063" y="4885945"/>
                            <a:ext cx="205105" cy="76200"/>
                          </a:xfrm>
                          <a:custGeom>
                            <a:avLst/>
                            <a:gdLst/>
                            <a:ahLst/>
                            <a:cxnLst/>
                            <a:rect l="0" t="0" r="0" b="0"/>
                            <a:pathLst>
                              <a:path w="205105" h="76200">
                                <a:moveTo>
                                  <a:pt x="128905" y="0"/>
                                </a:moveTo>
                                <a:lnTo>
                                  <a:pt x="205105" y="38100"/>
                                </a:lnTo>
                                <a:lnTo>
                                  <a:pt x="128905" y="76200"/>
                                </a:lnTo>
                                <a:lnTo>
                                  <a:pt x="128905" y="42799"/>
                                </a:lnTo>
                                <a:lnTo>
                                  <a:pt x="0" y="42799"/>
                                </a:lnTo>
                                <a:lnTo>
                                  <a:pt x="0" y="33274"/>
                                </a:lnTo>
                                <a:lnTo>
                                  <a:pt x="128905" y="33274"/>
                                </a:lnTo>
                                <a:lnTo>
                                  <a:pt x="12890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05" name="Shape 19005"/>
                        <wps:cNvSpPr/>
                        <wps:spPr>
                          <a:xfrm>
                            <a:off x="5469888" y="4588129"/>
                            <a:ext cx="969010" cy="656590"/>
                          </a:xfrm>
                          <a:custGeom>
                            <a:avLst/>
                            <a:gdLst/>
                            <a:ahLst/>
                            <a:cxnLst/>
                            <a:rect l="0" t="0" r="0" b="0"/>
                            <a:pathLst>
                              <a:path w="969010" h="656590">
                                <a:moveTo>
                                  <a:pt x="0" y="656590"/>
                                </a:moveTo>
                                <a:lnTo>
                                  <a:pt x="969010" y="656590"/>
                                </a:lnTo>
                                <a:lnTo>
                                  <a:pt x="96901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9006" name="Rectangle 19006"/>
                        <wps:cNvSpPr/>
                        <wps:spPr>
                          <a:xfrm>
                            <a:off x="5567170" y="4675121"/>
                            <a:ext cx="990354" cy="184382"/>
                          </a:xfrm>
                          <a:prstGeom prst="rect">
                            <a:avLst/>
                          </a:prstGeom>
                          <a:ln>
                            <a:noFill/>
                          </a:ln>
                        </wps:spPr>
                        <wps:txbx>
                          <w:txbxContent>
                            <w:p w:rsidR="005A3F38" w:rsidRDefault="003114B5">
                              <w:r>
                                <w:rPr>
                                  <w:rFonts w:ascii="Times New Roman" w:eastAsia="Times New Roman" w:hAnsi="Times New Roman" w:cs="Times New Roman"/>
                                  <w:sz w:val="24"/>
                                </w:rPr>
                                <w:t xml:space="preserve">Коррекция </w:t>
                              </w:r>
                            </w:p>
                          </w:txbxContent>
                        </wps:txbx>
                        <wps:bodyPr horzOverflow="overflow" vert="horz" lIns="0" tIns="0" rIns="0" bIns="0" rtlCol="0">
                          <a:noAutofit/>
                        </wps:bodyPr>
                      </wps:wsp>
                      <wps:wsp>
                        <wps:cNvPr id="19007" name="Rectangle 19007"/>
                        <wps:cNvSpPr/>
                        <wps:spPr>
                          <a:xfrm>
                            <a:off x="5567170" y="4938772"/>
                            <a:ext cx="695841" cy="184382"/>
                          </a:xfrm>
                          <a:prstGeom prst="rect">
                            <a:avLst/>
                          </a:prstGeom>
                          <a:ln>
                            <a:noFill/>
                          </a:ln>
                        </wps:spPr>
                        <wps:txbx>
                          <w:txbxContent>
                            <w:p w:rsidR="005A3F38" w:rsidRDefault="003114B5">
                              <w:r>
                                <w:rPr>
                                  <w:rFonts w:ascii="Times New Roman" w:eastAsia="Times New Roman" w:hAnsi="Times New Roman" w:cs="Times New Roman"/>
                                  <w:sz w:val="24"/>
                                </w:rPr>
                                <w:t>терапии</w:t>
                              </w:r>
                            </w:p>
                          </w:txbxContent>
                        </wps:txbx>
                        <wps:bodyPr horzOverflow="overflow" vert="horz" lIns="0" tIns="0" rIns="0" bIns="0" rtlCol="0">
                          <a:noAutofit/>
                        </wps:bodyPr>
                      </wps:wsp>
                      <wps:wsp>
                        <wps:cNvPr id="19008" name="Rectangle 19008"/>
                        <wps:cNvSpPr/>
                        <wps:spPr>
                          <a:xfrm>
                            <a:off x="6090283" y="4938772"/>
                            <a:ext cx="50673" cy="184382"/>
                          </a:xfrm>
                          <a:prstGeom prst="rect">
                            <a:avLst/>
                          </a:prstGeom>
                          <a:ln>
                            <a:noFill/>
                          </a:ln>
                        </wps:spPr>
                        <wps:txbx>
                          <w:txbxContent>
                            <w:p w:rsidR="005A3F38" w:rsidRDefault="003114B5">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9009" name="Shape 19009"/>
                        <wps:cNvSpPr/>
                        <wps:spPr>
                          <a:xfrm>
                            <a:off x="5047613" y="4837685"/>
                            <a:ext cx="421640" cy="76200"/>
                          </a:xfrm>
                          <a:custGeom>
                            <a:avLst/>
                            <a:gdLst/>
                            <a:ahLst/>
                            <a:cxnLst/>
                            <a:rect l="0" t="0" r="0" b="0"/>
                            <a:pathLst>
                              <a:path w="421640" h="76200">
                                <a:moveTo>
                                  <a:pt x="345440" y="0"/>
                                </a:moveTo>
                                <a:lnTo>
                                  <a:pt x="421640" y="38100"/>
                                </a:lnTo>
                                <a:lnTo>
                                  <a:pt x="345440" y="76200"/>
                                </a:lnTo>
                                <a:lnTo>
                                  <a:pt x="345440" y="42799"/>
                                </a:lnTo>
                                <a:lnTo>
                                  <a:pt x="0" y="42799"/>
                                </a:lnTo>
                                <a:lnTo>
                                  <a:pt x="0" y="33274"/>
                                </a:lnTo>
                                <a:lnTo>
                                  <a:pt x="345440" y="33274"/>
                                </a:lnTo>
                                <a:lnTo>
                                  <a:pt x="34544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11" name="Shape 19011"/>
                        <wps:cNvSpPr/>
                        <wps:spPr>
                          <a:xfrm>
                            <a:off x="4140197" y="5648452"/>
                            <a:ext cx="76200" cy="461011"/>
                          </a:xfrm>
                          <a:custGeom>
                            <a:avLst/>
                            <a:gdLst/>
                            <a:ahLst/>
                            <a:cxnLst/>
                            <a:rect l="0" t="0" r="0" b="0"/>
                            <a:pathLst>
                              <a:path w="76200" h="461011">
                                <a:moveTo>
                                  <a:pt x="33401" y="0"/>
                                </a:moveTo>
                                <a:lnTo>
                                  <a:pt x="42926" y="0"/>
                                </a:lnTo>
                                <a:lnTo>
                                  <a:pt x="42926" y="384811"/>
                                </a:lnTo>
                                <a:lnTo>
                                  <a:pt x="76200" y="384811"/>
                                </a:lnTo>
                                <a:lnTo>
                                  <a:pt x="38100" y="461011"/>
                                </a:lnTo>
                                <a:lnTo>
                                  <a:pt x="0" y="384811"/>
                                </a:lnTo>
                                <a:lnTo>
                                  <a:pt x="33401" y="384811"/>
                                </a:lnTo>
                                <a:lnTo>
                                  <a:pt x="3340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3484" name="Shape 143484"/>
                        <wps:cNvSpPr/>
                        <wps:spPr>
                          <a:xfrm>
                            <a:off x="1062353" y="0"/>
                            <a:ext cx="3171190" cy="427990"/>
                          </a:xfrm>
                          <a:custGeom>
                            <a:avLst/>
                            <a:gdLst/>
                            <a:ahLst/>
                            <a:cxnLst/>
                            <a:rect l="0" t="0" r="0" b="0"/>
                            <a:pathLst>
                              <a:path w="3171190" h="427990">
                                <a:moveTo>
                                  <a:pt x="0" y="0"/>
                                </a:moveTo>
                                <a:lnTo>
                                  <a:pt x="3171190" y="0"/>
                                </a:lnTo>
                                <a:lnTo>
                                  <a:pt x="3171190" y="427990"/>
                                </a:lnTo>
                                <a:lnTo>
                                  <a:pt x="0" y="42799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013" name="Shape 19013"/>
                        <wps:cNvSpPr/>
                        <wps:spPr>
                          <a:xfrm>
                            <a:off x="1062353" y="0"/>
                            <a:ext cx="3171190" cy="427990"/>
                          </a:xfrm>
                          <a:custGeom>
                            <a:avLst/>
                            <a:gdLst/>
                            <a:ahLst/>
                            <a:cxnLst/>
                            <a:rect l="0" t="0" r="0" b="0"/>
                            <a:pathLst>
                              <a:path w="3171190" h="427990">
                                <a:moveTo>
                                  <a:pt x="0" y="427990"/>
                                </a:moveTo>
                                <a:lnTo>
                                  <a:pt x="3171190" y="427990"/>
                                </a:lnTo>
                                <a:lnTo>
                                  <a:pt x="317119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9014" name="Rectangle 19014"/>
                        <wps:cNvSpPr/>
                        <wps:spPr>
                          <a:xfrm>
                            <a:off x="1751963" y="83507"/>
                            <a:ext cx="2386342" cy="169632"/>
                          </a:xfrm>
                          <a:prstGeom prst="rect">
                            <a:avLst/>
                          </a:prstGeom>
                          <a:ln>
                            <a:noFill/>
                          </a:ln>
                        </wps:spPr>
                        <wps:txbx>
                          <w:txbxContent>
                            <w:p w:rsidR="005A3F38" w:rsidRDefault="003114B5">
                              <w:r>
                                <w:rPr>
                                  <w:rFonts w:ascii="Times New Roman" w:eastAsia="Times New Roman" w:hAnsi="Times New Roman" w:cs="Times New Roman"/>
                                </w:rPr>
                                <w:t>Пациент с симптомами ОРВИ</w:t>
                              </w:r>
                            </w:p>
                          </w:txbxContent>
                        </wps:txbx>
                        <wps:bodyPr horzOverflow="overflow" vert="horz" lIns="0" tIns="0" rIns="0" bIns="0" rtlCol="0">
                          <a:noAutofit/>
                        </wps:bodyPr>
                      </wps:wsp>
                      <wps:wsp>
                        <wps:cNvPr id="19015" name="Rectangle 19015"/>
                        <wps:cNvSpPr/>
                        <wps:spPr>
                          <a:xfrm>
                            <a:off x="3546091" y="83507"/>
                            <a:ext cx="46619" cy="169632"/>
                          </a:xfrm>
                          <a:prstGeom prst="rect">
                            <a:avLst/>
                          </a:prstGeom>
                          <a:ln>
                            <a:noFill/>
                          </a:ln>
                        </wps:spPr>
                        <wps:txbx>
                          <w:txbxContent>
                            <w:p w:rsidR="005A3F38" w:rsidRDefault="003114B5">
                              <w:r>
                                <w:rPr>
                                  <w:rFonts w:ascii="Times New Roman" w:eastAsia="Times New Roman" w:hAnsi="Times New Roman" w:cs="Times New Roman"/>
                                </w:rPr>
                                <w:t xml:space="preserve"> </w:t>
                              </w:r>
                            </w:p>
                          </w:txbxContent>
                        </wps:txbx>
                        <wps:bodyPr horzOverflow="overflow" vert="horz" lIns="0" tIns="0" rIns="0" bIns="0" rtlCol="0">
                          <a:noAutofit/>
                        </wps:bodyPr>
                      </wps:wsp>
                      <wps:wsp>
                        <wps:cNvPr id="19016" name="Shape 19016"/>
                        <wps:cNvSpPr/>
                        <wps:spPr>
                          <a:xfrm>
                            <a:off x="1636392" y="1594359"/>
                            <a:ext cx="1911985" cy="747395"/>
                          </a:xfrm>
                          <a:custGeom>
                            <a:avLst/>
                            <a:gdLst/>
                            <a:ahLst/>
                            <a:cxnLst/>
                            <a:rect l="0" t="0" r="0" b="0"/>
                            <a:pathLst>
                              <a:path w="1911985" h="747395">
                                <a:moveTo>
                                  <a:pt x="955929" y="0"/>
                                </a:moveTo>
                                <a:lnTo>
                                  <a:pt x="1911985" y="373634"/>
                                </a:lnTo>
                                <a:lnTo>
                                  <a:pt x="955929" y="747395"/>
                                </a:lnTo>
                                <a:lnTo>
                                  <a:pt x="0" y="373634"/>
                                </a:lnTo>
                                <a:lnTo>
                                  <a:pt x="95592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017" name="Shape 19017"/>
                        <wps:cNvSpPr/>
                        <wps:spPr>
                          <a:xfrm>
                            <a:off x="1636392" y="1594359"/>
                            <a:ext cx="1911985" cy="747395"/>
                          </a:xfrm>
                          <a:custGeom>
                            <a:avLst/>
                            <a:gdLst/>
                            <a:ahLst/>
                            <a:cxnLst/>
                            <a:rect l="0" t="0" r="0" b="0"/>
                            <a:pathLst>
                              <a:path w="1911985" h="747395">
                                <a:moveTo>
                                  <a:pt x="0" y="373634"/>
                                </a:moveTo>
                                <a:lnTo>
                                  <a:pt x="955929" y="0"/>
                                </a:lnTo>
                                <a:lnTo>
                                  <a:pt x="1911985" y="373634"/>
                                </a:lnTo>
                                <a:lnTo>
                                  <a:pt x="955929" y="747395"/>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9018" name="Rectangle 19018"/>
                        <wps:cNvSpPr/>
                        <wps:spPr>
                          <a:xfrm>
                            <a:off x="2210687" y="1860548"/>
                            <a:ext cx="570528" cy="138287"/>
                          </a:xfrm>
                          <a:prstGeom prst="rect">
                            <a:avLst/>
                          </a:prstGeom>
                          <a:ln>
                            <a:noFill/>
                          </a:ln>
                        </wps:spPr>
                        <wps:txbx>
                          <w:txbxContent>
                            <w:p w:rsidR="005A3F38" w:rsidRDefault="003114B5">
                              <w:r>
                                <w:rPr>
                                  <w:rFonts w:ascii="Times New Roman" w:eastAsia="Times New Roman" w:hAnsi="Times New Roman" w:cs="Times New Roman"/>
                                  <w:sz w:val="18"/>
                                </w:rPr>
                                <w:t xml:space="preserve">Диагноз </w:t>
                              </w:r>
                            </w:p>
                          </w:txbxContent>
                        </wps:txbx>
                        <wps:bodyPr horzOverflow="overflow" vert="horz" lIns="0" tIns="0" rIns="0" bIns="0" rtlCol="0">
                          <a:noAutofit/>
                        </wps:bodyPr>
                      </wps:wsp>
                      <wps:wsp>
                        <wps:cNvPr id="19019" name="Rectangle 19019"/>
                        <wps:cNvSpPr/>
                        <wps:spPr>
                          <a:xfrm>
                            <a:off x="2210687" y="1993135"/>
                            <a:ext cx="914698" cy="138287"/>
                          </a:xfrm>
                          <a:prstGeom prst="rect">
                            <a:avLst/>
                          </a:prstGeom>
                          <a:ln>
                            <a:noFill/>
                          </a:ln>
                        </wps:spPr>
                        <wps:txbx>
                          <w:txbxContent>
                            <w:p w:rsidR="005A3F38" w:rsidRDefault="003114B5">
                              <w:r>
                                <w:rPr>
                                  <w:rFonts w:ascii="Times New Roman" w:eastAsia="Times New Roman" w:hAnsi="Times New Roman" w:cs="Times New Roman"/>
                                  <w:sz w:val="18"/>
                                </w:rPr>
                                <w:t>подтвержден?</w:t>
                              </w:r>
                            </w:p>
                          </w:txbxContent>
                        </wps:txbx>
                        <wps:bodyPr horzOverflow="overflow" vert="horz" lIns="0" tIns="0" rIns="0" bIns="0" rtlCol="0">
                          <a:noAutofit/>
                        </wps:bodyPr>
                      </wps:wsp>
                      <wps:wsp>
                        <wps:cNvPr id="19020" name="Rectangle 19020"/>
                        <wps:cNvSpPr/>
                        <wps:spPr>
                          <a:xfrm>
                            <a:off x="2899916" y="1993135"/>
                            <a:ext cx="38005" cy="138287"/>
                          </a:xfrm>
                          <a:prstGeom prst="rect">
                            <a:avLst/>
                          </a:prstGeom>
                          <a:ln>
                            <a:noFill/>
                          </a:ln>
                        </wps:spPr>
                        <wps:txbx>
                          <w:txbxContent>
                            <w:p w:rsidR="005A3F38" w:rsidRDefault="003114B5">
                              <w:r>
                                <w:rPr>
                                  <w:rFonts w:ascii="Times New Roman" w:eastAsia="Times New Roman" w:hAnsi="Times New Roman" w:cs="Times New Roman"/>
                                  <w:sz w:val="18"/>
                                </w:rPr>
                                <w:t xml:space="preserve"> </w:t>
                              </w:r>
                            </w:p>
                          </w:txbxContent>
                        </wps:txbx>
                        <wps:bodyPr horzOverflow="overflow" vert="horz" lIns="0" tIns="0" rIns="0" bIns="0" rtlCol="0">
                          <a:noAutofit/>
                        </wps:bodyPr>
                      </wps:wsp>
                      <wps:wsp>
                        <wps:cNvPr id="19021" name="Shape 19021"/>
                        <wps:cNvSpPr/>
                        <wps:spPr>
                          <a:xfrm>
                            <a:off x="3756277" y="3377946"/>
                            <a:ext cx="353441" cy="76200"/>
                          </a:xfrm>
                          <a:custGeom>
                            <a:avLst/>
                            <a:gdLst/>
                            <a:ahLst/>
                            <a:cxnLst/>
                            <a:rect l="0" t="0" r="0" b="0"/>
                            <a:pathLst>
                              <a:path w="353441" h="76200">
                                <a:moveTo>
                                  <a:pt x="277241" y="0"/>
                                </a:moveTo>
                                <a:lnTo>
                                  <a:pt x="353441" y="38100"/>
                                </a:lnTo>
                                <a:lnTo>
                                  <a:pt x="277241" y="76200"/>
                                </a:lnTo>
                                <a:lnTo>
                                  <a:pt x="277241" y="42799"/>
                                </a:lnTo>
                                <a:lnTo>
                                  <a:pt x="0" y="42799"/>
                                </a:lnTo>
                                <a:lnTo>
                                  <a:pt x="0" y="32639"/>
                                </a:lnTo>
                                <a:lnTo>
                                  <a:pt x="56896" y="32639"/>
                                </a:lnTo>
                                <a:lnTo>
                                  <a:pt x="56896" y="33274"/>
                                </a:lnTo>
                                <a:lnTo>
                                  <a:pt x="277241" y="33274"/>
                                </a:lnTo>
                                <a:lnTo>
                                  <a:pt x="27724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22" name="Shape 19022"/>
                        <wps:cNvSpPr/>
                        <wps:spPr>
                          <a:xfrm>
                            <a:off x="3265167" y="4181095"/>
                            <a:ext cx="1866900" cy="1469390"/>
                          </a:xfrm>
                          <a:custGeom>
                            <a:avLst/>
                            <a:gdLst/>
                            <a:ahLst/>
                            <a:cxnLst/>
                            <a:rect l="0" t="0" r="0" b="0"/>
                            <a:pathLst>
                              <a:path w="1866900" h="1469390">
                                <a:moveTo>
                                  <a:pt x="933450" y="0"/>
                                </a:moveTo>
                                <a:lnTo>
                                  <a:pt x="1866900" y="734695"/>
                                </a:lnTo>
                                <a:lnTo>
                                  <a:pt x="933450" y="1469390"/>
                                </a:lnTo>
                                <a:lnTo>
                                  <a:pt x="0" y="734695"/>
                                </a:lnTo>
                                <a:lnTo>
                                  <a:pt x="93345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023" name="Shape 19023"/>
                        <wps:cNvSpPr/>
                        <wps:spPr>
                          <a:xfrm>
                            <a:off x="3265167" y="4181095"/>
                            <a:ext cx="1866900" cy="1469390"/>
                          </a:xfrm>
                          <a:custGeom>
                            <a:avLst/>
                            <a:gdLst/>
                            <a:ahLst/>
                            <a:cxnLst/>
                            <a:rect l="0" t="0" r="0" b="0"/>
                            <a:pathLst>
                              <a:path w="1866900" h="1469390">
                                <a:moveTo>
                                  <a:pt x="0" y="734695"/>
                                </a:moveTo>
                                <a:lnTo>
                                  <a:pt x="933450" y="0"/>
                                </a:lnTo>
                                <a:lnTo>
                                  <a:pt x="1866900" y="734695"/>
                                </a:lnTo>
                                <a:lnTo>
                                  <a:pt x="933450" y="146939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9024" name="Rectangle 19024"/>
                        <wps:cNvSpPr/>
                        <wps:spPr>
                          <a:xfrm>
                            <a:off x="3828032" y="4630600"/>
                            <a:ext cx="635926" cy="153038"/>
                          </a:xfrm>
                          <a:prstGeom prst="rect">
                            <a:avLst/>
                          </a:prstGeom>
                          <a:ln>
                            <a:noFill/>
                          </a:ln>
                        </wps:spPr>
                        <wps:txbx>
                          <w:txbxContent>
                            <w:p w:rsidR="005A3F38" w:rsidRDefault="003114B5">
                              <w:r>
                                <w:rPr>
                                  <w:rFonts w:ascii="Times New Roman" w:eastAsia="Times New Roman" w:hAnsi="Times New Roman" w:cs="Times New Roman"/>
                                  <w:sz w:val="20"/>
                                </w:rPr>
                                <w:t xml:space="preserve">Терапия </w:t>
                              </w:r>
                            </w:p>
                          </w:txbxContent>
                        </wps:txbx>
                        <wps:bodyPr horzOverflow="overflow" vert="horz" lIns="0" tIns="0" rIns="0" bIns="0" rtlCol="0">
                          <a:noAutofit/>
                        </wps:bodyPr>
                      </wps:wsp>
                      <wps:wsp>
                        <wps:cNvPr id="19025" name="Rectangle 19025"/>
                        <wps:cNvSpPr/>
                        <wps:spPr>
                          <a:xfrm>
                            <a:off x="3828032" y="4850056"/>
                            <a:ext cx="929159" cy="153038"/>
                          </a:xfrm>
                          <a:prstGeom prst="rect">
                            <a:avLst/>
                          </a:prstGeom>
                          <a:ln>
                            <a:noFill/>
                          </a:ln>
                        </wps:spPr>
                        <wps:txbx>
                          <w:txbxContent>
                            <w:p w:rsidR="005A3F38" w:rsidRDefault="003114B5">
                              <w:r>
                                <w:rPr>
                                  <w:rFonts w:ascii="Times New Roman" w:eastAsia="Times New Roman" w:hAnsi="Times New Roman" w:cs="Times New Roman"/>
                                  <w:sz w:val="20"/>
                                </w:rPr>
                                <w:t>эффективна?</w:t>
                              </w:r>
                            </w:p>
                          </w:txbxContent>
                        </wps:txbx>
                        <wps:bodyPr horzOverflow="overflow" vert="horz" lIns="0" tIns="0" rIns="0" bIns="0" rtlCol="0">
                          <a:noAutofit/>
                        </wps:bodyPr>
                      </wps:wsp>
                      <wps:wsp>
                        <wps:cNvPr id="19026" name="Rectangle 19026"/>
                        <wps:cNvSpPr/>
                        <wps:spPr>
                          <a:xfrm>
                            <a:off x="4529326" y="4850056"/>
                            <a:ext cx="42058" cy="153038"/>
                          </a:xfrm>
                          <a:prstGeom prst="rect">
                            <a:avLst/>
                          </a:prstGeom>
                          <a:ln>
                            <a:noFill/>
                          </a:ln>
                        </wps:spPr>
                        <wps:txbx>
                          <w:txbxContent>
                            <w:p w:rsidR="005A3F38" w:rsidRDefault="003114B5">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9028" name="Shape 19028"/>
                        <wps:cNvSpPr/>
                        <wps:spPr>
                          <a:xfrm>
                            <a:off x="4142102" y="3673856"/>
                            <a:ext cx="76200" cy="553085"/>
                          </a:xfrm>
                          <a:custGeom>
                            <a:avLst/>
                            <a:gdLst/>
                            <a:ahLst/>
                            <a:cxnLst/>
                            <a:rect l="0" t="0" r="0" b="0"/>
                            <a:pathLst>
                              <a:path w="76200" h="553085">
                                <a:moveTo>
                                  <a:pt x="32639" y="0"/>
                                </a:moveTo>
                                <a:lnTo>
                                  <a:pt x="42164" y="0"/>
                                </a:lnTo>
                                <a:lnTo>
                                  <a:pt x="42164" y="271399"/>
                                </a:lnTo>
                                <a:lnTo>
                                  <a:pt x="42799" y="271399"/>
                                </a:lnTo>
                                <a:lnTo>
                                  <a:pt x="42799" y="476885"/>
                                </a:lnTo>
                                <a:lnTo>
                                  <a:pt x="76200" y="476885"/>
                                </a:lnTo>
                                <a:lnTo>
                                  <a:pt x="38100" y="553085"/>
                                </a:lnTo>
                                <a:lnTo>
                                  <a:pt x="0" y="476885"/>
                                </a:lnTo>
                                <a:lnTo>
                                  <a:pt x="33274" y="476885"/>
                                </a:lnTo>
                                <a:lnTo>
                                  <a:pt x="33274" y="280924"/>
                                </a:lnTo>
                                <a:lnTo>
                                  <a:pt x="32639" y="280924"/>
                                </a:lnTo>
                                <a:lnTo>
                                  <a:pt x="3263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30" name="Shape 19030"/>
                        <wps:cNvSpPr/>
                        <wps:spPr>
                          <a:xfrm>
                            <a:off x="3870322" y="1076452"/>
                            <a:ext cx="2781554" cy="3729101"/>
                          </a:xfrm>
                          <a:custGeom>
                            <a:avLst/>
                            <a:gdLst/>
                            <a:ahLst/>
                            <a:cxnLst/>
                            <a:rect l="0" t="0" r="0" b="0"/>
                            <a:pathLst>
                              <a:path w="2781554" h="3729101">
                                <a:moveTo>
                                  <a:pt x="79375" y="0"/>
                                </a:moveTo>
                                <a:lnTo>
                                  <a:pt x="76426" y="32010"/>
                                </a:lnTo>
                                <a:lnTo>
                                  <a:pt x="2781554" y="33147"/>
                                </a:lnTo>
                                <a:lnTo>
                                  <a:pt x="2781554" y="3729101"/>
                                </a:lnTo>
                                <a:lnTo>
                                  <a:pt x="2772029" y="3729101"/>
                                </a:lnTo>
                                <a:lnTo>
                                  <a:pt x="2772029" y="42670"/>
                                </a:lnTo>
                                <a:lnTo>
                                  <a:pt x="75548" y="41534"/>
                                </a:lnTo>
                                <a:lnTo>
                                  <a:pt x="72390" y="75819"/>
                                </a:lnTo>
                                <a:lnTo>
                                  <a:pt x="0" y="30861"/>
                                </a:lnTo>
                                <a:lnTo>
                                  <a:pt x="793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31" name="Shape 19031"/>
                        <wps:cNvSpPr/>
                        <wps:spPr>
                          <a:xfrm>
                            <a:off x="6438898" y="4805935"/>
                            <a:ext cx="208280" cy="0"/>
                          </a:xfrm>
                          <a:custGeom>
                            <a:avLst/>
                            <a:gdLst/>
                            <a:ahLst/>
                            <a:cxnLst/>
                            <a:rect l="0" t="0" r="0" b="0"/>
                            <a:pathLst>
                              <a:path w="208280">
                                <a:moveTo>
                                  <a:pt x="0" y="0"/>
                                </a:moveTo>
                                <a:lnTo>
                                  <a:pt x="208280"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2388" style="width:523.77pt;height:511.01pt;mso-position-horizontal-relative:char;mso-position-vertical-relative:line" coordsize="66518,64898">
                <v:rect id="Rectangle 19033" style="position:absolute;width:3040;height:1811;left:10598;top:17710;"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9032" style="position:absolute;width:7600;height:1811;left:4502;top:17710;"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22" style="position:absolute;width:4288;height:1811;left:12886;top:17710;" filled="f" stroked="f">
                  <v:textbox inset="0,0,0,0">
                    <w:txbxContent>
                      <w:p>
                        <w:pPr>
                          <w:spacing w:before="0" w:after="160" w:line="259" w:lineRule="auto"/>
                        </w:pPr>
                        <w:r>
                          <w:rPr>
                            <w:rFonts w:cs="Times New Roman" w:hAnsi="Times New Roman" w:eastAsia="Times New Roman" w:ascii="Times New Roman"/>
                            <w:b w:val="1"/>
                            <w:sz w:val="24"/>
                          </w:rPr>
                          <w:t xml:space="preserve">НЕТ</w:t>
                        </w:r>
                      </w:p>
                    </w:txbxContent>
                  </v:textbox>
                </v:rect>
                <v:rect id="Rectangle 18923" style="position:absolute;width:506;height:1811;left:16102;top:17710;"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24" style="position:absolute;width:506;height:1811;left:4502;top:19463;"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25" style="position:absolute;width:506;height:1811;left:4502;top:21215;"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26" style="position:absolute;width:506;height:1811;left:4502;top:22968;"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27" style="position:absolute;width:506;height:1811;left:4502;top:24720;"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28" style="position:absolute;width:2862;height:1811;left:27978;top:24720;" filled="f" stroked="f">
                  <v:textbox inset="0,0,0,0">
                    <w:txbxContent>
                      <w:p>
                        <w:pPr>
                          <w:spacing w:before="0" w:after="160" w:line="259" w:lineRule="auto"/>
                        </w:pPr>
                        <w:r>
                          <w:rPr>
                            <w:rFonts w:cs="Times New Roman" w:hAnsi="Times New Roman" w:eastAsia="Times New Roman" w:ascii="Times New Roman"/>
                            <w:b w:val="1"/>
                            <w:sz w:val="24"/>
                          </w:rPr>
                          <w:t xml:space="preserve">ДА</w:t>
                        </w:r>
                      </w:p>
                    </w:txbxContent>
                  </v:textbox>
                </v:rect>
                <v:rect id="Rectangle 18929" style="position:absolute;width:506;height:1811;left:30126;top:24720;"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30" style="position:absolute;width:506;height:1811;left:4502;top:26473;"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31" style="position:absolute;width:506;height:1811;left:4502;top:28226;"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32" style="position:absolute;width:506;height:1811;left:4502;top:29978;"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33" style="position:absolute;width:43072;height:1811;left:4502;top:31731;"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34" style="position:absolute;width:4288;height:1811;left:36893;top:31731;" filled="f" stroked="f">
                  <v:textbox inset="0,0,0,0">
                    <w:txbxContent>
                      <w:p>
                        <w:pPr>
                          <w:spacing w:before="0" w:after="160" w:line="259" w:lineRule="auto"/>
                        </w:pPr>
                        <w:r>
                          <w:rPr>
                            <w:rFonts w:cs="Times New Roman" w:hAnsi="Times New Roman" w:eastAsia="Times New Roman" w:ascii="Times New Roman"/>
                            <w:b w:val="1"/>
                            <w:sz w:val="24"/>
                          </w:rPr>
                          <w:t xml:space="preserve">НЕТ</w:t>
                        </w:r>
                      </w:p>
                    </w:txbxContent>
                  </v:textbox>
                </v:rect>
                <v:rect id="Rectangle 18935" style="position:absolute;width:506;height:1811;left:40109;top:31731;"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40" style="position:absolute;width:506;height:1843;left:41681;top:38719;"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rect id="Rectangle 18943" style="position:absolute;width:2862;height:1811;left:27978;top:42249;" filled="f" stroked="f">
                  <v:textbox inset="0,0,0,0">
                    <w:txbxContent>
                      <w:p>
                        <w:pPr>
                          <w:spacing w:before="0" w:after="160" w:line="259" w:lineRule="auto"/>
                        </w:pPr>
                        <w:r>
                          <w:rPr>
                            <w:rFonts w:cs="Times New Roman" w:hAnsi="Times New Roman" w:eastAsia="Times New Roman" w:ascii="Times New Roman"/>
                            <w:b w:val="1"/>
                            <w:sz w:val="24"/>
                          </w:rPr>
                          <w:t xml:space="preserve">ДА</w:t>
                        </w:r>
                      </w:p>
                    </w:txbxContent>
                  </v:textbox>
                </v:rect>
                <v:rect id="Rectangle 18944" style="position:absolute;width:506;height:1811;left:30126;top:42249;"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48" style="position:absolute;width:4288;height:1811;left:50505;top:47507;" filled="f" stroked="f">
                  <v:textbox inset="0,0,0,0">
                    <w:txbxContent>
                      <w:p>
                        <w:pPr>
                          <w:spacing w:before="0" w:after="160" w:line="259" w:lineRule="auto"/>
                        </w:pPr>
                        <w:r>
                          <w:rPr>
                            <w:rFonts w:cs="Times New Roman" w:hAnsi="Times New Roman" w:eastAsia="Times New Roman" w:ascii="Times New Roman"/>
                            <w:b w:val="1"/>
                            <w:sz w:val="24"/>
                          </w:rPr>
                          <w:t xml:space="preserve">НЕТ</w:t>
                        </w:r>
                      </w:p>
                    </w:txbxContent>
                  </v:textbox>
                </v:rect>
                <v:rect id="Rectangle 18949" style="position:absolute;width:506;height:1811;left:53720;top:47507;"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52" style="position:absolute;width:506;height:1811;left:49408;top:51012;"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rect id="Rectangle 18956" style="position:absolute;width:2862;height:1811;left:45323;top:56270;" filled="f" stroked="f">
                  <v:textbox inset="0,0,0,0">
                    <w:txbxContent>
                      <w:p>
                        <w:pPr>
                          <w:spacing w:before="0" w:after="160" w:line="259" w:lineRule="auto"/>
                        </w:pPr>
                        <w:r>
                          <w:rPr>
                            <w:rFonts w:cs="Times New Roman" w:hAnsi="Times New Roman" w:eastAsia="Times New Roman" w:ascii="Times New Roman"/>
                            <w:b w:val="1"/>
                            <w:sz w:val="24"/>
                          </w:rPr>
                          <w:t xml:space="preserve">ДА</w:t>
                        </w:r>
                      </w:p>
                    </w:txbxContent>
                  </v:textbox>
                </v:rect>
                <v:rect id="Rectangle 18957" style="position:absolute;width:506;height:1811;left:47472;top:56270;" filled="f" stroked="f">
                  <v:textbox inset="0,0,0,0">
                    <w:txbxContent>
                      <w:p>
                        <w:pPr>
                          <w:spacing w:before="0" w:after="160" w:line="259" w:lineRule="auto"/>
                        </w:pPr>
                        <w:r>
                          <w:rPr>
                            <w:rFonts w:cs="Times New Roman" w:hAnsi="Times New Roman" w:eastAsia="Times New Roman" w:ascii="Times New Roman"/>
                            <w:b w:val="1"/>
                            <w:sz w:val="24"/>
                          </w:rPr>
                          <w:t xml:space="preserve"> </w:t>
                        </w:r>
                      </w:p>
                    </w:txbxContent>
                  </v:textbox>
                </v:rect>
                <v:shape id="Shape 18968" style="position:absolute;width:21139;height:3676;left:14344;top:9536;" coordsize="2113915,367665" path="m0,367665l2113915,367665l2113915,0l0,0x">
                  <v:stroke weight="0.75pt" endcap="flat" joinstyle="miter" miterlimit="10" on="true" color="#000000"/>
                  <v:fill on="false" color="#000000" opacity="0"/>
                </v:shape>
                <v:rect id="Rectangle 18969" style="position:absolute;width:11565;height:1843;left:23006;top:10397;" filled="f" stroked="f">
                  <v:textbox inset="0,0,0,0">
                    <w:txbxContent>
                      <w:p>
                        <w:pPr>
                          <w:spacing w:before="0" w:after="160" w:line="259" w:lineRule="auto"/>
                        </w:pPr>
                        <w:r>
                          <w:rPr>
                            <w:rFonts w:cs="Times New Roman" w:hAnsi="Times New Roman" w:eastAsia="Times New Roman" w:ascii="Times New Roman"/>
                            <w:sz w:val="24"/>
                          </w:rPr>
                          <w:t xml:space="preserve">Диагностика </w:t>
                        </w:r>
                      </w:p>
                    </w:txbxContent>
                  </v:textbox>
                </v:rect>
                <v:rect id="Rectangle 18970" style="position:absolute;width:506;height:1843;left:31696;top:10397;"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shape id="Shape 18972" style="position:absolute;width:18700;height:6686;left:41001;top:30045;" coordsize="1870075,668655" path="m0,668655l1870075,668655l1870075,0l0,0x">
                  <v:stroke weight="0.75pt" endcap="flat" joinstyle="miter" miterlimit="10" on="true" color="#000000"/>
                  <v:fill on="false" color="#000000" opacity="0"/>
                </v:shape>
                <v:rect id="Rectangle 18973" style="position:absolute;width:9222;height:1843;left:41970;top:30914;" filled="f" stroked="f">
                  <v:textbox inset="0,0,0,0">
                    <w:txbxContent>
                      <w:p>
                        <w:pPr>
                          <w:spacing w:before="0" w:after="160" w:line="259" w:lineRule="auto"/>
                        </w:pPr>
                        <w:r>
                          <w:rPr>
                            <w:rFonts w:cs="Times New Roman" w:hAnsi="Times New Roman" w:eastAsia="Times New Roman" w:ascii="Times New Roman"/>
                            <w:sz w:val="24"/>
                          </w:rPr>
                          <w:t xml:space="preserve">Лечение в </w:t>
                        </w:r>
                      </w:p>
                    </w:txbxContent>
                  </v:textbox>
                </v:rect>
                <v:rect id="Rectangle 18974" style="position:absolute;width:13014;height:1843;left:41970;top:32666;" filled="f" stroked="f">
                  <v:textbox inset="0,0,0,0">
                    <w:txbxContent>
                      <w:p>
                        <w:pPr>
                          <w:spacing w:before="0" w:after="160" w:line="259" w:lineRule="auto"/>
                        </w:pPr>
                        <w:r>
                          <w:rPr>
                            <w:rFonts w:cs="Times New Roman" w:hAnsi="Times New Roman" w:eastAsia="Times New Roman" w:ascii="Times New Roman"/>
                            <w:sz w:val="24"/>
                          </w:rPr>
                          <w:t xml:space="preserve">амбулаторных </w:t>
                        </w:r>
                      </w:p>
                    </w:txbxContent>
                  </v:textbox>
                </v:rect>
                <v:rect id="Rectangle 18975" style="position:absolute;width:7923;height:1843;left:41970;top:34419;" filled="f" stroked="f">
                  <v:textbox inset="0,0,0,0">
                    <w:txbxContent>
                      <w:p>
                        <w:pPr>
                          <w:spacing w:before="0" w:after="160" w:line="259" w:lineRule="auto"/>
                        </w:pPr>
                        <w:r>
                          <w:rPr>
                            <w:rFonts w:cs="Times New Roman" w:hAnsi="Times New Roman" w:eastAsia="Times New Roman" w:ascii="Times New Roman"/>
                            <w:sz w:val="24"/>
                          </w:rPr>
                          <w:t xml:space="preserve">условиях</w:t>
                        </w:r>
                      </w:p>
                    </w:txbxContent>
                  </v:textbox>
                </v:rect>
                <v:rect id="Rectangle 18976" style="position:absolute;width:506;height:1843;left:47929;top:34419;"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shape id="Shape 18978" style="position:absolute;width:12471;height:5734;left:0;top:16781;" coordsize="1247140,573405" path="m0,573405l1247140,573405l1247140,0l0,0x">
                  <v:stroke weight="0.75pt" endcap="flat" joinstyle="miter" miterlimit="10" on="true" color="#000000"/>
                  <v:fill on="false" color="#000000" opacity="0"/>
                </v:shape>
                <v:rect id="Rectangle 18979" style="position:absolute;width:12700;height:1843;left:951;top:17655;" filled="f" stroked="f">
                  <v:textbox inset="0,0,0,0">
                    <w:txbxContent>
                      <w:p>
                        <w:pPr>
                          <w:spacing w:before="0" w:after="160" w:line="259" w:lineRule="auto"/>
                        </w:pPr>
                        <w:r>
                          <w:rPr>
                            <w:rFonts w:cs="Times New Roman" w:hAnsi="Times New Roman" w:eastAsia="Times New Roman" w:ascii="Times New Roman"/>
                            <w:sz w:val="24"/>
                          </w:rPr>
                          <w:t xml:space="preserve">Консультация </w:t>
                        </w:r>
                      </w:p>
                    </w:txbxContent>
                  </v:textbox>
                </v:rect>
                <v:rect id="Rectangle 18980" style="position:absolute;width:10736;height:1843;left:951;top:20276;" filled="f" stroked="f">
                  <v:textbox inset="0,0,0,0">
                    <w:txbxContent>
                      <w:p>
                        <w:pPr>
                          <w:spacing w:before="0" w:after="160" w:line="259" w:lineRule="auto"/>
                        </w:pPr>
                        <w:r>
                          <w:rPr>
                            <w:rFonts w:cs="Times New Roman" w:hAnsi="Times New Roman" w:eastAsia="Times New Roman" w:ascii="Times New Roman"/>
                            <w:sz w:val="24"/>
                          </w:rPr>
                          <w:t xml:space="preserve">специалиста</w:t>
                        </w:r>
                      </w:p>
                    </w:txbxContent>
                  </v:textbox>
                </v:rect>
                <v:rect id="Rectangle 18981" style="position:absolute;width:506;height:1843;left:9031;top:20276;"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shape id="Shape 18983" style="position:absolute;width:13036;height:5200;left:17564;top:47246;" coordsize="1303655,520065" path="m0,520065l1303655,520065l1303655,0l0,0x">
                  <v:stroke weight="0.75pt" endcap="flat" joinstyle="miter" miterlimit="10" on="true" color="#000000"/>
                  <v:fill on="false" color="#000000" opacity="0"/>
                </v:shape>
                <v:rect id="Rectangle 18984" style="position:absolute;width:9222;height:1843;left:23051;top:48122;" filled="f" stroked="f">
                  <v:textbox inset="0,0,0,0">
                    <w:txbxContent>
                      <w:p>
                        <w:pPr>
                          <w:spacing w:before="0" w:after="160" w:line="259" w:lineRule="auto"/>
                        </w:pPr>
                        <w:r>
                          <w:rPr>
                            <w:rFonts w:cs="Times New Roman" w:hAnsi="Times New Roman" w:eastAsia="Times New Roman" w:ascii="Times New Roman"/>
                            <w:sz w:val="24"/>
                          </w:rPr>
                          <w:t xml:space="preserve">Лечение в </w:t>
                        </w:r>
                      </w:p>
                    </w:txbxContent>
                  </v:textbox>
                </v:rect>
                <v:rect id="Rectangle 18985" style="position:absolute;width:9771;height:1843;left:20415;top:49875;" filled="f" stroked="f">
                  <v:textbox inset="0,0,0,0">
                    <w:txbxContent>
                      <w:p>
                        <w:pPr>
                          <w:spacing w:before="0" w:after="160" w:line="259" w:lineRule="auto"/>
                        </w:pPr>
                        <w:r>
                          <w:rPr>
                            <w:rFonts w:cs="Times New Roman" w:hAnsi="Times New Roman" w:eastAsia="Times New Roman" w:ascii="Times New Roman"/>
                            <w:sz w:val="24"/>
                          </w:rPr>
                          <w:t xml:space="preserve">стационаре</w:t>
                        </w:r>
                      </w:p>
                    </w:txbxContent>
                  </v:textbox>
                </v:rect>
                <v:rect id="Rectangle 18986" style="position:absolute;width:506;height:1843;left:27764;top:49875;"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shape id="Shape 18988" style="position:absolute;width:762;height:5257;left:25399;top:4279;" coordsize="76200,525780" path="m33401,0l42926,0l42926,449580l76200,449580l38100,525780l0,449580l33401,449580l33401,0x">
                  <v:stroke weight="0pt" endcap="flat" joinstyle="miter" miterlimit="10" on="false" color="#000000" opacity="0"/>
                  <v:fill on="true" color="#000000"/>
                </v:shape>
                <v:shape id="Shape 18989" style="position:absolute;width:4559;height:762;left:12293;top:19251;" coordsize="455930,76200" path="m76200,0l76200,33274l223139,33274l223139,32639l455930,32639l455930,42164l232664,42164l232664,42799l76200,42799l76200,76200l0,38100l76200,0x">
                  <v:stroke weight="0pt" endcap="flat" joinstyle="miter" miterlimit="10" on="false" color="#000000" opacity="0"/>
                  <v:fill on="true" color="#000000"/>
                </v:shape>
                <v:shape id="Shape 18990" style="position:absolute;width:762;height:2730;left:25399;top:13213;" coordsize="76200,273050" path="m33401,0l42926,0l42926,196850l76200,196850l38100,273050l0,196850l33401,196850l33401,0x">
                  <v:stroke weight="0pt" endcap="flat" joinstyle="miter" miterlimit="10" on="false" color="#000000" opacity="0"/>
                  <v:fill on="true" color="#000000"/>
                </v:shape>
                <v:shape id="Shape 18991" style="position:absolute;width:762;height:4140;left:25882;top:23416;" coordsize="76200,414020" path="m33274,0l42799,0l42799,337820l76200,337820l38100,414020l0,337820l33274,337820l33274,0x">
                  <v:stroke weight="0pt" endcap="flat" joinstyle="miter" miterlimit="10" on="false" color="#000000" opacity="0"/>
                  <v:fill on="true" color="#000000"/>
                </v:shape>
                <v:shape id="Shape 18992" style="position:absolute;width:23717;height:13620;left:14363;top:27518;" coordsize="2371725,1362075" path="m1185799,0l2371725,681101l1185799,1362075l0,681101l1185799,0x">
                  <v:stroke weight="0pt" endcap="flat" joinstyle="miter" miterlimit="10" on="false" color="#000000" opacity="0"/>
                  <v:fill on="true" color="#ffffff"/>
                </v:shape>
                <v:shape id="Shape 18993" style="position:absolute;width:23717;height:13620;left:14363;top:27518;" coordsize="2371725,1362075" path="m0,681101l1185799,0l2371725,681101l1185799,1362075x">
                  <v:stroke weight="0.75pt" endcap="flat" joinstyle="miter" miterlimit="10" on="true" color="#000000"/>
                  <v:fill on="false" color="#000000" opacity="0"/>
                </v:shape>
                <v:rect id="Rectangle 18994" style="position:absolute;width:6968;height:1530;left:21253;top:31749;" filled="f" stroked="f">
                  <v:textbox inset="0,0,0,0">
                    <w:txbxContent>
                      <w:p>
                        <w:pPr>
                          <w:spacing w:before="0" w:after="160" w:line="259" w:lineRule="auto"/>
                        </w:pPr>
                        <w:r>
                          <w:rPr>
                            <w:rFonts w:cs="Times New Roman" w:hAnsi="Times New Roman" w:eastAsia="Times New Roman" w:ascii="Times New Roman"/>
                            <w:sz w:val="20"/>
                          </w:rPr>
                          <w:t xml:space="preserve">Имеются </w:t>
                        </w:r>
                      </w:p>
                    </w:txbxContent>
                  </v:textbox>
                </v:rect>
                <v:rect id="Rectangle 24946" style="position:absolute;width:7715;height:1530;left:21253;top:33212;" filled="f" stroked="f">
                  <v:textbox inset="0,0,0,0">
                    <w:txbxContent>
                      <w:p>
                        <w:pPr>
                          <w:spacing w:before="0" w:after="160" w:line="259" w:lineRule="auto"/>
                        </w:pPr>
                        <w:r>
                          <w:rPr>
                            <w:rFonts w:cs="Times New Roman" w:hAnsi="Times New Roman" w:eastAsia="Times New Roman" w:ascii="Times New Roman"/>
                            <w:sz w:val="20"/>
                          </w:rPr>
                          <w:t xml:space="preserve">показания </w:t>
                        </w:r>
                      </w:p>
                    </w:txbxContent>
                  </v:textbox>
                </v:rect>
                <v:rect id="Rectangle 24947" style="position:absolute;width:1249;height:1530;left:30559;top:33212;" filled="f" stroked="f">
                  <v:textbox inset="0,0,0,0">
                    <w:txbxContent>
                      <w:p>
                        <w:pPr>
                          <w:spacing w:before="0" w:after="160" w:line="259" w:lineRule="auto"/>
                        </w:pPr>
                        <w:r>
                          <w:rPr>
                            <w:rFonts w:cs="Times New Roman" w:hAnsi="Times New Roman" w:eastAsia="Times New Roman" w:ascii="Times New Roman"/>
                            <w:sz w:val="20"/>
                          </w:rPr>
                          <w:t xml:space="preserve">к </w:t>
                        </w:r>
                      </w:p>
                    </w:txbxContent>
                  </v:textbox>
                </v:rect>
                <v:rect id="Rectangle 18996" style="position:absolute;width:12170;height:1530;left:21253;top:34675;" filled="f" stroked="f">
                  <v:textbox inset="0,0,0,0">
                    <w:txbxContent>
                      <w:p>
                        <w:pPr>
                          <w:spacing w:before="0" w:after="160" w:line="259" w:lineRule="auto"/>
                        </w:pPr>
                        <w:r>
                          <w:rPr>
                            <w:rFonts w:cs="Times New Roman" w:hAnsi="Times New Roman" w:eastAsia="Times New Roman" w:ascii="Times New Roman"/>
                            <w:sz w:val="20"/>
                          </w:rPr>
                          <w:t xml:space="preserve">госпитализации?</w:t>
                        </w:r>
                      </w:p>
                    </w:txbxContent>
                  </v:textbox>
                </v:rect>
                <v:rect id="Rectangle 18997" style="position:absolute;width:420;height:1530;left:30431;top:3467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8998" style="position:absolute;width:762;height:6146;left:25882;top:41144;" coordsize="76200,614680" path="m33274,0l42799,0l42799,538480l76200,538480l38100,614680l0,538480l33274,538480l33274,0x">
                  <v:stroke weight="0pt" endcap="flat" joinstyle="miter" miterlimit="10" on="false" color="#000000" opacity="0"/>
                  <v:fill on="true" color="#000000"/>
                </v:shape>
                <v:shape id="Shape 19000" style="position:absolute;width:36302;height:3803;left:14166;top:61094;" coordsize="3630295,380364" path="m0,380364l3630295,380364l3630295,0l0,0x">
                  <v:stroke weight="0.75pt" endcap="flat" joinstyle="miter" miterlimit="10" on="true" color="#000000"/>
                  <v:fill on="false" color="#000000" opacity="0"/>
                </v:shape>
                <v:rect id="Rectangle 19001" style="position:absolute;width:31950;height:1843;left:22731;top:61964;" filled="f" stroked="f">
                  <v:textbox inset="0,0,0,0">
                    <w:txbxContent>
                      <w:p>
                        <w:pPr>
                          <w:spacing w:before="0" w:after="160" w:line="259" w:lineRule="auto"/>
                        </w:pPr>
                        <w:r>
                          <w:rPr>
                            <w:rFonts w:cs="Times New Roman" w:hAnsi="Times New Roman" w:eastAsia="Times New Roman" w:ascii="Times New Roman"/>
                            <w:sz w:val="24"/>
                          </w:rPr>
                          <w:t xml:space="preserve">Профилактика повторной инфекции </w:t>
                        </w:r>
                      </w:p>
                    </w:txbxContent>
                  </v:textbox>
                </v:rect>
                <v:rect id="Rectangle 19002" style="position:absolute;width:506;height:1843;left:46756;top:61964;"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shape id="Shape 19003" style="position:absolute;width:2051;height:762;left:30600;top:48859;" coordsize="205105,76200" path="m128905,0l205105,38100l128905,76200l128905,42799l0,42799l0,33274l128905,33274l128905,0x">
                  <v:stroke weight="0pt" endcap="flat" joinstyle="miter" miterlimit="10" on="false" color="#000000" opacity="0"/>
                  <v:fill on="true" color="#000000"/>
                </v:shape>
                <v:shape id="Shape 19005" style="position:absolute;width:9690;height:6565;left:54698;top:45881;" coordsize="969010,656590" path="m0,656590l969010,656590l969010,0l0,0x">
                  <v:stroke weight="0.75pt" endcap="flat" joinstyle="miter" miterlimit="10" on="true" color="#000000"/>
                  <v:fill on="false" color="#000000" opacity="0"/>
                </v:shape>
                <v:rect id="Rectangle 19006" style="position:absolute;width:9903;height:1843;left:55671;top:46751;" filled="f" stroked="f">
                  <v:textbox inset="0,0,0,0">
                    <w:txbxContent>
                      <w:p>
                        <w:pPr>
                          <w:spacing w:before="0" w:after="160" w:line="259" w:lineRule="auto"/>
                        </w:pPr>
                        <w:r>
                          <w:rPr>
                            <w:rFonts w:cs="Times New Roman" w:hAnsi="Times New Roman" w:eastAsia="Times New Roman" w:ascii="Times New Roman"/>
                            <w:sz w:val="24"/>
                          </w:rPr>
                          <w:t xml:space="preserve">Коррекция </w:t>
                        </w:r>
                      </w:p>
                    </w:txbxContent>
                  </v:textbox>
                </v:rect>
                <v:rect id="Rectangle 19007" style="position:absolute;width:6958;height:1843;left:55671;top:49387;" filled="f" stroked="f">
                  <v:textbox inset="0,0,0,0">
                    <w:txbxContent>
                      <w:p>
                        <w:pPr>
                          <w:spacing w:before="0" w:after="160" w:line="259" w:lineRule="auto"/>
                        </w:pPr>
                        <w:r>
                          <w:rPr>
                            <w:rFonts w:cs="Times New Roman" w:hAnsi="Times New Roman" w:eastAsia="Times New Roman" w:ascii="Times New Roman"/>
                            <w:sz w:val="24"/>
                          </w:rPr>
                          <w:t xml:space="preserve">терапии</w:t>
                        </w:r>
                      </w:p>
                    </w:txbxContent>
                  </v:textbox>
                </v:rect>
                <v:rect id="Rectangle 19008" style="position:absolute;width:506;height:1843;left:60902;top:49387;" filled="f" stroked="f">
                  <v:textbox inset="0,0,0,0">
                    <w:txbxContent>
                      <w:p>
                        <w:pPr>
                          <w:spacing w:before="0" w:after="160" w:line="259" w:lineRule="auto"/>
                        </w:pPr>
                        <w:r>
                          <w:rPr>
                            <w:rFonts w:cs="Times New Roman" w:hAnsi="Times New Roman" w:eastAsia="Times New Roman" w:ascii="Times New Roman"/>
                            <w:sz w:val="24"/>
                          </w:rPr>
                          <w:t xml:space="preserve"> </w:t>
                        </w:r>
                      </w:p>
                    </w:txbxContent>
                  </v:textbox>
                </v:rect>
                <v:shape id="Shape 19009" style="position:absolute;width:4216;height:762;left:50476;top:48376;" coordsize="421640,76200" path="m345440,0l421640,38100l345440,76200l345440,42799l0,42799l0,33274l345440,33274l345440,0x">
                  <v:stroke weight="0pt" endcap="flat" joinstyle="miter" miterlimit="10" on="false" color="#000000" opacity="0"/>
                  <v:fill on="true" color="#000000"/>
                </v:shape>
                <v:shape id="Shape 19011" style="position:absolute;width:762;height:4610;left:41401;top:56484;" coordsize="76200,461011" path="m33401,0l42926,0l42926,384811l76200,384811l38100,461011l0,384811l33401,384811l33401,0x">
                  <v:stroke weight="0pt" endcap="flat" joinstyle="miter" miterlimit="10" on="false" color="#000000" opacity="0"/>
                  <v:fill on="true" color="#000000"/>
                </v:shape>
                <v:shape id="Shape 143485" style="position:absolute;width:31711;height:4279;left:10623;top:0;" coordsize="3171190,427990" path="m0,0l3171190,0l3171190,427990l0,427990l0,0">
                  <v:stroke weight="0pt" endcap="flat" joinstyle="miter" miterlimit="10" on="false" color="#000000" opacity="0"/>
                  <v:fill on="true" color="#ffffff"/>
                </v:shape>
                <v:shape id="Shape 19013" style="position:absolute;width:31711;height:4279;left:10623;top:0;" coordsize="3171190,427990" path="m0,427990l3171190,427990l3171190,0l0,0x">
                  <v:stroke weight="0.75pt" endcap="flat" joinstyle="miter" miterlimit="10" on="true" color="#000000"/>
                  <v:fill on="false" color="#000000" opacity="0"/>
                </v:shape>
                <v:rect id="Rectangle 19014" style="position:absolute;width:23863;height:1696;left:17519;top:835;" filled="f" stroked="f">
                  <v:textbox inset="0,0,0,0">
                    <w:txbxContent>
                      <w:p>
                        <w:pPr>
                          <w:spacing w:before="0" w:after="160" w:line="259" w:lineRule="auto"/>
                        </w:pPr>
                        <w:r>
                          <w:rPr>
                            <w:rFonts w:cs="Times New Roman" w:hAnsi="Times New Roman" w:eastAsia="Times New Roman" w:ascii="Times New Roman"/>
                            <w:sz w:val="22"/>
                          </w:rPr>
                          <w:t xml:space="preserve">Пациент с симптомами ОРВИ</w:t>
                        </w:r>
                      </w:p>
                    </w:txbxContent>
                  </v:textbox>
                </v:rect>
                <v:rect id="Rectangle 19015" style="position:absolute;width:466;height:1696;left:35460;top:835;"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9016" style="position:absolute;width:19119;height:7473;left:16363;top:15943;" coordsize="1911985,747395" path="m955929,0l1911985,373634l955929,747395l0,373634l955929,0x">
                  <v:stroke weight="0pt" endcap="flat" joinstyle="miter" miterlimit="10" on="false" color="#000000" opacity="0"/>
                  <v:fill on="true" color="#ffffff"/>
                </v:shape>
                <v:shape id="Shape 19017" style="position:absolute;width:19119;height:7473;left:16363;top:15943;" coordsize="1911985,747395" path="m0,373634l955929,0l1911985,373634l955929,747395x">
                  <v:stroke weight="0.75pt" endcap="flat" joinstyle="miter" miterlimit="10" on="true" color="#000000"/>
                  <v:fill on="false" color="#000000" opacity="0"/>
                </v:shape>
                <v:rect id="Rectangle 19018" style="position:absolute;width:5705;height:1382;left:22106;top:18605;" filled="f" stroked="f">
                  <v:textbox inset="0,0,0,0">
                    <w:txbxContent>
                      <w:p>
                        <w:pPr>
                          <w:spacing w:before="0" w:after="160" w:line="259" w:lineRule="auto"/>
                        </w:pPr>
                        <w:r>
                          <w:rPr>
                            <w:rFonts w:cs="Times New Roman" w:hAnsi="Times New Roman" w:eastAsia="Times New Roman" w:ascii="Times New Roman"/>
                            <w:sz w:val="18"/>
                          </w:rPr>
                          <w:t xml:space="preserve">Диагноз </w:t>
                        </w:r>
                      </w:p>
                    </w:txbxContent>
                  </v:textbox>
                </v:rect>
                <v:rect id="Rectangle 19019" style="position:absolute;width:9146;height:1382;left:22106;top:19931;" filled="f" stroked="f">
                  <v:textbox inset="0,0,0,0">
                    <w:txbxContent>
                      <w:p>
                        <w:pPr>
                          <w:spacing w:before="0" w:after="160" w:line="259" w:lineRule="auto"/>
                        </w:pPr>
                        <w:r>
                          <w:rPr>
                            <w:rFonts w:cs="Times New Roman" w:hAnsi="Times New Roman" w:eastAsia="Times New Roman" w:ascii="Times New Roman"/>
                            <w:sz w:val="18"/>
                          </w:rPr>
                          <w:t xml:space="preserve">подтвержден?</w:t>
                        </w:r>
                      </w:p>
                    </w:txbxContent>
                  </v:textbox>
                </v:rect>
                <v:rect id="Rectangle 19020" style="position:absolute;width:380;height:1382;left:28999;top:19931;" filled="f" stroked="f">
                  <v:textbox inset="0,0,0,0">
                    <w:txbxContent>
                      <w:p>
                        <w:pPr>
                          <w:spacing w:before="0" w:after="160" w:line="259" w:lineRule="auto"/>
                        </w:pPr>
                        <w:r>
                          <w:rPr>
                            <w:rFonts w:cs="Times New Roman" w:hAnsi="Times New Roman" w:eastAsia="Times New Roman" w:ascii="Times New Roman"/>
                            <w:sz w:val="18"/>
                          </w:rPr>
                          <w:t xml:space="preserve"> </w:t>
                        </w:r>
                      </w:p>
                    </w:txbxContent>
                  </v:textbox>
                </v:rect>
                <v:shape id="Shape 19021" style="position:absolute;width:3534;height:762;left:37562;top:33779;" coordsize="353441,76200" path="m277241,0l353441,38100l277241,76200l277241,42799l0,42799l0,32639l56896,32639l56896,33274l277241,33274l277241,0x">
                  <v:stroke weight="0pt" endcap="flat" joinstyle="miter" miterlimit="10" on="false" color="#000000" opacity="0"/>
                  <v:fill on="true" color="#000000"/>
                </v:shape>
                <v:shape id="Shape 19022" style="position:absolute;width:18669;height:14693;left:32651;top:41810;" coordsize="1866900,1469390" path="m933450,0l1866900,734695l933450,1469390l0,734695l933450,0x">
                  <v:stroke weight="0pt" endcap="flat" joinstyle="miter" miterlimit="10" on="false" color="#000000" opacity="0"/>
                  <v:fill on="true" color="#ffffff"/>
                </v:shape>
                <v:shape id="Shape 19023" style="position:absolute;width:18669;height:14693;left:32651;top:41810;" coordsize="1866900,1469390" path="m0,734695l933450,0l1866900,734695l933450,1469390x">
                  <v:stroke weight="0.75pt" endcap="flat" joinstyle="miter" miterlimit="10" on="true" color="#000000"/>
                  <v:fill on="false" color="#000000" opacity="0"/>
                </v:shape>
                <v:rect id="Rectangle 19024" style="position:absolute;width:6359;height:1530;left:38280;top:46306;" filled="f" stroked="f">
                  <v:textbox inset="0,0,0,0">
                    <w:txbxContent>
                      <w:p>
                        <w:pPr>
                          <w:spacing w:before="0" w:after="160" w:line="259" w:lineRule="auto"/>
                        </w:pPr>
                        <w:r>
                          <w:rPr>
                            <w:rFonts w:cs="Times New Roman" w:hAnsi="Times New Roman" w:eastAsia="Times New Roman" w:ascii="Times New Roman"/>
                            <w:sz w:val="20"/>
                          </w:rPr>
                          <w:t xml:space="preserve">Терапия </w:t>
                        </w:r>
                      </w:p>
                    </w:txbxContent>
                  </v:textbox>
                </v:rect>
                <v:rect id="Rectangle 19025" style="position:absolute;width:9291;height:1530;left:38280;top:48500;" filled="f" stroked="f">
                  <v:textbox inset="0,0,0,0">
                    <w:txbxContent>
                      <w:p>
                        <w:pPr>
                          <w:spacing w:before="0" w:after="160" w:line="259" w:lineRule="auto"/>
                        </w:pPr>
                        <w:r>
                          <w:rPr>
                            <w:rFonts w:cs="Times New Roman" w:hAnsi="Times New Roman" w:eastAsia="Times New Roman" w:ascii="Times New Roman"/>
                            <w:sz w:val="20"/>
                          </w:rPr>
                          <w:t xml:space="preserve">эффективна?</w:t>
                        </w:r>
                      </w:p>
                    </w:txbxContent>
                  </v:textbox>
                </v:rect>
                <v:rect id="Rectangle 19026" style="position:absolute;width:420;height:1530;left:45293;top:48500;"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9028" style="position:absolute;width:762;height:5530;left:41421;top:36738;" coordsize="76200,553085" path="m32639,0l42164,0l42164,271399l42799,271399l42799,476885l76200,476885l38100,553085l0,476885l33274,476885l33274,280924l32639,280924l32639,0x">
                  <v:stroke weight="0pt" endcap="flat" joinstyle="miter" miterlimit="10" on="false" color="#000000" opacity="0"/>
                  <v:fill on="true" color="#000000"/>
                </v:shape>
                <v:shape id="Shape 19030" style="position:absolute;width:27815;height:37291;left:38703;top:10764;" coordsize="2781554,3729101" path="m79375,0l76426,32010l2781554,33147l2781554,3729101l2772029,3729101l2772029,42670l75548,41534l72390,75819l0,30861l79375,0x">
                  <v:stroke weight="0pt" endcap="flat" joinstyle="miter" miterlimit="10" on="false" color="#000000" opacity="0"/>
                  <v:fill on="true" color="#000000"/>
                </v:shape>
                <v:shape id="Shape 19031" style="position:absolute;width:2082;height:0;left:64388;top:48059;" coordsize="208280,0" path="m0,0l208280,0">
                  <v:stroke weight="0.75pt" endcap="flat" joinstyle="round" on="true" color="#000000"/>
                  <v:fill on="false" color="#000000" opacity="0"/>
                </v:shape>
              </v:group>
            </w:pict>
          </mc:Fallback>
        </mc:AlternateContent>
      </w:r>
    </w:p>
    <w:p w:rsidR="005A3F38" w:rsidRDefault="003114B5">
      <w:pPr>
        <w:spacing w:after="0"/>
      </w:pPr>
      <w:r>
        <w:rPr>
          <w:rFonts w:ascii="Times New Roman" w:eastAsia="Times New Roman" w:hAnsi="Times New Roman" w:cs="Times New Roman"/>
          <w:b/>
          <w:sz w:val="24"/>
        </w:rPr>
        <w:t xml:space="preserve"> </w:t>
      </w:r>
    </w:p>
    <w:p w:rsidR="005A3F38" w:rsidRDefault="003114B5">
      <w:pPr>
        <w:spacing w:after="0"/>
      </w:pPr>
      <w:r>
        <w:rPr>
          <w:rFonts w:ascii="Times New Roman" w:eastAsia="Times New Roman" w:hAnsi="Times New Roman" w:cs="Times New Roman"/>
          <w:b/>
          <w:sz w:val="24"/>
        </w:rPr>
        <w:t xml:space="preserve"> </w:t>
      </w:r>
    </w:p>
    <w:p w:rsidR="005A3F38" w:rsidRDefault="003114B5">
      <w:pPr>
        <w:spacing w:after="53"/>
      </w:pPr>
      <w:r>
        <w:rPr>
          <w:rFonts w:ascii="Times New Roman" w:eastAsia="Times New Roman" w:hAnsi="Times New Roman" w:cs="Times New Roman"/>
          <w:b/>
          <w:sz w:val="24"/>
        </w:rPr>
        <w:t xml:space="preserve"> </w:t>
      </w:r>
    </w:p>
    <w:p w:rsidR="005A3F38" w:rsidRDefault="003114B5">
      <w:pPr>
        <w:spacing w:after="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5A3F38" w:rsidRDefault="005A3F38">
      <w:pPr>
        <w:sectPr w:rsidR="005A3F38">
          <w:footerReference w:type="even" r:id="rId240"/>
          <w:footerReference w:type="default" r:id="rId241"/>
          <w:footerReference w:type="first" r:id="rId242"/>
          <w:pgSz w:w="11906" w:h="16838"/>
          <w:pgMar w:top="638" w:right="848" w:bottom="2155" w:left="852" w:header="720" w:footer="709" w:gutter="0"/>
          <w:pgNumType w:start="86"/>
          <w:cols w:space="720"/>
        </w:sectPr>
      </w:pPr>
    </w:p>
    <w:p w:rsidR="005A3F38" w:rsidRDefault="003114B5">
      <w:pPr>
        <w:pStyle w:val="Heading1"/>
        <w:ind w:left="-5"/>
      </w:pPr>
      <w:bookmarkStart w:id="52" w:name="_Toc141925"/>
      <w:r>
        <w:t>Приложение Б</w:t>
      </w:r>
      <w:r>
        <w:t xml:space="preserve">2. </w:t>
      </w:r>
      <w:r>
        <w:t>Алгоритм действия врача/фельдшера скорой помощи у пациентов с признаками ОРВИ на догоспитальном этапе</w:t>
      </w:r>
      <w:r>
        <w:t xml:space="preserve"> </w:t>
      </w:r>
      <w:bookmarkEnd w:id="52"/>
    </w:p>
    <w:p w:rsidR="005A3F38" w:rsidRDefault="003114B5">
      <w:pPr>
        <w:spacing w:after="0"/>
        <w:ind w:right="917"/>
        <w:jc w:val="right"/>
      </w:pPr>
      <w:r>
        <w:rPr>
          <w:noProof/>
        </w:rPr>
        <w:drawing>
          <wp:inline distT="0" distB="0" distL="0" distR="0">
            <wp:extent cx="9347200" cy="5257800"/>
            <wp:effectExtent l="0" t="0" r="0" b="0"/>
            <wp:docPr id="19051" name="Picture 19051"/>
            <wp:cNvGraphicFramePr/>
            <a:graphic xmlns:a="http://schemas.openxmlformats.org/drawingml/2006/main">
              <a:graphicData uri="http://schemas.openxmlformats.org/drawingml/2006/picture">
                <pic:pic xmlns:pic="http://schemas.openxmlformats.org/drawingml/2006/picture">
                  <pic:nvPicPr>
                    <pic:cNvPr id="19051" name="Picture 19051"/>
                    <pic:cNvPicPr/>
                  </pic:nvPicPr>
                  <pic:blipFill>
                    <a:blip r:embed="rId243"/>
                    <a:stretch>
                      <a:fillRect/>
                    </a:stretch>
                  </pic:blipFill>
                  <pic:spPr>
                    <a:xfrm>
                      <a:off x="0" y="0"/>
                      <a:ext cx="9347200" cy="5257800"/>
                    </a:xfrm>
                    <a:prstGeom prst="rect">
                      <a:avLst/>
                    </a:prstGeom>
                  </pic:spPr>
                </pic:pic>
              </a:graphicData>
            </a:graphic>
          </wp:inline>
        </w:drawing>
      </w:r>
      <w:r>
        <w:rPr>
          <w:rFonts w:ascii="Times New Roman" w:eastAsia="Times New Roman" w:hAnsi="Times New Roman" w:cs="Times New Roman"/>
          <w:sz w:val="24"/>
        </w:rPr>
        <w:t xml:space="preserve"> </w:t>
      </w:r>
    </w:p>
    <w:p w:rsidR="005A3F38" w:rsidRDefault="003114B5">
      <w:pPr>
        <w:spacing w:after="0"/>
      </w:pPr>
      <w:r>
        <w:rPr>
          <w:rFonts w:ascii="Times New Roman" w:eastAsia="Times New Roman" w:hAnsi="Times New Roman" w:cs="Times New Roman"/>
          <w:sz w:val="24"/>
        </w:rPr>
        <w:t xml:space="preserve"> </w:t>
      </w:r>
    </w:p>
    <w:p w:rsidR="005A3F38" w:rsidRDefault="003114B5">
      <w:pPr>
        <w:spacing w:after="0"/>
      </w:pPr>
      <w:r>
        <w:rPr>
          <w:rFonts w:ascii="Times New Roman" w:eastAsia="Times New Roman" w:hAnsi="Times New Roman" w:cs="Times New Roman"/>
          <w:sz w:val="24"/>
        </w:rPr>
        <w:t xml:space="preserve"> </w:t>
      </w:r>
    </w:p>
    <w:p w:rsidR="005A3F38" w:rsidRDefault="003114B5">
      <w:pPr>
        <w:spacing w:after="70" w:line="248" w:lineRule="auto"/>
        <w:ind w:left="-5" w:hanging="10"/>
        <w:jc w:val="both"/>
      </w:pPr>
      <w:r>
        <w:rPr>
          <w:rFonts w:ascii="Times New Roman" w:eastAsia="Times New Roman" w:hAnsi="Times New Roman" w:cs="Times New Roman"/>
        </w:rPr>
        <w:t xml:space="preserve">Примечания: </w:t>
      </w:r>
    </w:p>
    <w:p w:rsidR="005A3F38" w:rsidRDefault="003114B5">
      <w:pPr>
        <w:spacing w:after="0"/>
        <w:ind w:left="10" w:right="-13" w:hanging="10"/>
        <w:jc w:val="right"/>
      </w:pPr>
      <w:r>
        <w:rPr>
          <w:rFonts w:ascii="Times New Roman" w:eastAsia="Times New Roman" w:hAnsi="Times New Roman" w:cs="Times New Roman"/>
          <w:sz w:val="24"/>
        </w:rPr>
        <w:t xml:space="preserve">90 </w:t>
      </w:r>
    </w:p>
    <w:p w:rsidR="005A3F38" w:rsidRDefault="003114B5">
      <w:pPr>
        <w:spacing w:after="0"/>
        <w:ind w:left="708"/>
      </w:pPr>
      <w:r>
        <w:rPr>
          <w:rFonts w:ascii="Times New Roman" w:eastAsia="Times New Roman" w:hAnsi="Times New Roman" w:cs="Times New Roman"/>
          <w:sz w:val="24"/>
        </w:rPr>
        <w:t xml:space="preserve"> </w:t>
      </w:r>
    </w:p>
    <w:p w:rsidR="005A3F38" w:rsidRDefault="003114B5">
      <w:pPr>
        <w:spacing w:after="103"/>
        <w:ind w:left="1683"/>
      </w:pPr>
      <w:r>
        <w:rPr>
          <w:rFonts w:ascii="Times New Roman" w:eastAsia="Times New Roman" w:hAnsi="Times New Roman" w:cs="Times New Roman"/>
          <w:sz w:val="20"/>
        </w:rPr>
        <w:t xml:space="preserve"> </w:t>
      </w:r>
    </w:p>
    <w:p w:rsidR="005A3F38" w:rsidRDefault="003114B5">
      <w:pPr>
        <w:numPr>
          <w:ilvl w:val="0"/>
          <w:numId w:val="53"/>
        </w:numPr>
        <w:spacing w:after="10" w:line="248" w:lineRule="auto"/>
        <w:ind w:hanging="106"/>
        <w:jc w:val="both"/>
      </w:pPr>
      <w:r>
        <w:rPr>
          <w:rFonts w:ascii="Times New Roman" w:eastAsia="Times New Roman" w:hAnsi="Times New Roman" w:cs="Times New Roman"/>
        </w:rPr>
        <w:t xml:space="preserve">- оценка PAT- триажа (Pediatric Assessment Triangle) (Приложение Г2) </w:t>
      </w:r>
    </w:p>
    <w:p w:rsidR="005A3F38" w:rsidRDefault="003114B5">
      <w:pPr>
        <w:spacing w:after="0"/>
      </w:pPr>
      <w:r>
        <w:rPr>
          <w:rFonts w:ascii="Times New Roman" w:eastAsia="Times New Roman" w:hAnsi="Times New Roman" w:cs="Times New Roman"/>
        </w:rPr>
        <w:t xml:space="preserve"> </w:t>
      </w:r>
    </w:p>
    <w:p w:rsidR="005A3F38" w:rsidRDefault="003114B5">
      <w:pPr>
        <w:numPr>
          <w:ilvl w:val="0"/>
          <w:numId w:val="53"/>
        </w:numPr>
        <w:spacing w:after="10" w:line="248" w:lineRule="auto"/>
        <w:ind w:hanging="106"/>
        <w:jc w:val="both"/>
      </w:pPr>
      <w:r>
        <w:rPr>
          <w:rFonts w:ascii="Times New Roman" w:eastAsia="Times New Roman" w:hAnsi="Times New Roman" w:cs="Times New Roman"/>
        </w:rPr>
        <w:t>– Алгоритм осмотра ABCDE (</w:t>
      </w:r>
      <w:r>
        <w:rPr>
          <w:rFonts w:ascii="Times New Roman" w:eastAsia="Times New Roman" w:hAnsi="Times New Roman" w:cs="Times New Roman"/>
        </w:rPr>
        <w:t xml:space="preserve">при необходимости, по результатам PAT-триажа) - универсальный инструмент первичной оценки критически больных пациентов, включая детей с респираторными инфекциями </w:t>
      </w:r>
    </w:p>
    <w:p w:rsidR="005A3F38" w:rsidRDefault="003114B5">
      <w:pPr>
        <w:spacing w:after="10" w:line="248" w:lineRule="auto"/>
        <w:ind w:left="-5" w:hanging="10"/>
        <w:jc w:val="both"/>
      </w:pPr>
      <w:r>
        <w:rPr>
          <w:rFonts w:ascii="Times New Roman" w:eastAsia="Times New Roman" w:hAnsi="Times New Roman" w:cs="Times New Roman"/>
        </w:rPr>
        <w:t xml:space="preserve"> </w:t>
      </w:r>
      <w:r>
        <w:rPr>
          <w:rFonts w:ascii="Times New Roman" w:eastAsia="Times New Roman" w:hAnsi="Times New Roman" w:cs="Times New Roman"/>
        </w:rPr>
        <w:t xml:space="preserve">Ключевое правило: «Жизнеугрожающее состояние → НЕМЕДЛЕННОЕ вмешательство → только потом переход к следующему этапу».  </w:t>
      </w:r>
    </w:p>
    <w:p w:rsidR="005A3F38" w:rsidRDefault="003114B5">
      <w:pPr>
        <w:spacing w:after="10" w:line="248" w:lineRule="auto"/>
        <w:ind w:left="-5" w:hanging="10"/>
        <w:jc w:val="both"/>
      </w:pPr>
      <w:r>
        <w:rPr>
          <w:rFonts w:ascii="Times New Roman" w:eastAsia="Times New Roman" w:hAnsi="Times New Roman" w:cs="Times New Roman"/>
        </w:rPr>
        <w:t xml:space="preserve">А — Airway (Дыхательные пути)- оценка проходимости верхних дыхательных путей, исключение наличия инородного тела. </w:t>
      </w:r>
    </w:p>
    <w:p w:rsidR="005A3F38" w:rsidRDefault="003114B5">
      <w:pPr>
        <w:numPr>
          <w:ilvl w:val="0"/>
          <w:numId w:val="54"/>
        </w:numPr>
        <w:spacing w:after="10" w:line="248" w:lineRule="auto"/>
        <w:ind w:hanging="202"/>
        <w:jc w:val="both"/>
      </w:pPr>
      <w:r>
        <w:rPr>
          <w:rFonts w:ascii="Times New Roman" w:eastAsia="Times New Roman" w:hAnsi="Times New Roman" w:cs="Times New Roman"/>
        </w:rPr>
        <w:t>— Breathing (Дыхание)-</w:t>
      </w:r>
      <w:r>
        <w:rPr>
          <w:rFonts w:ascii="Times New Roman" w:eastAsia="Times New Roman" w:hAnsi="Times New Roman" w:cs="Times New Roman"/>
        </w:rPr>
        <w:t xml:space="preserve"> ЧДД, оценка работы вспомогательной мускулатуры, сатурации, аускультация легких, наличие цианоза. </w:t>
      </w:r>
    </w:p>
    <w:p w:rsidR="005A3F38" w:rsidRDefault="003114B5">
      <w:pPr>
        <w:numPr>
          <w:ilvl w:val="0"/>
          <w:numId w:val="54"/>
        </w:numPr>
        <w:spacing w:after="10" w:line="248" w:lineRule="auto"/>
        <w:ind w:hanging="202"/>
        <w:jc w:val="both"/>
      </w:pPr>
      <w:r>
        <w:rPr>
          <w:rFonts w:ascii="Times New Roman" w:eastAsia="Times New Roman" w:hAnsi="Times New Roman" w:cs="Times New Roman"/>
        </w:rPr>
        <w:t xml:space="preserve">— Circulation (Кровообращение) - пульс, капиллярное наполнение, цвет и температура кожи, АД.  </w:t>
      </w:r>
    </w:p>
    <w:p w:rsidR="005A3F38" w:rsidRDefault="003114B5">
      <w:pPr>
        <w:numPr>
          <w:ilvl w:val="0"/>
          <w:numId w:val="54"/>
        </w:numPr>
        <w:spacing w:after="10" w:line="248" w:lineRule="auto"/>
        <w:ind w:hanging="202"/>
        <w:jc w:val="both"/>
      </w:pPr>
      <w:r>
        <w:rPr>
          <w:rFonts w:ascii="Times New Roman" w:eastAsia="Times New Roman" w:hAnsi="Times New Roman" w:cs="Times New Roman"/>
        </w:rPr>
        <w:t>— Disability (Неврологический статус) (при необходимости) – оц</w:t>
      </w:r>
      <w:r>
        <w:rPr>
          <w:rFonts w:ascii="Times New Roman" w:eastAsia="Times New Roman" w:hAnsi="Times New Roman" w:cs="Times New Roman"/>
        </w:rPr>
        <w:t xml:space="preserve">енить уровень сознания (по любой из шкал: комы, например, Глазго (Приложение Г3)); размер и реакцию зрачков на свет, менингеальные симптомы, тонус мышц, уровень глюкозы при угнетенном сознании. </w:t>
      </w:r>
    </w:p>
    <w:p w:rsidR="005A3F38" w:rsidRDefault="003114B5">
      <w:pPr>
        <w:numPr>
          <w:ilvl w:val="0"/>
          <w:numId w:val="54"/>
        </w:numPr>
        <w:spacing w:after="10" w:line="248" w:lineRule="auto"/>
        <w:ind w:hanging="202"/>
        <w:jc w:val="both"/>
      </w:pPr>
      <w:r>
        <w:rPr>
          <w:rFonts w:ascii="Times New Roman" w:eastAsia="Times New Roman" w:hAnsi="Times New Roman" w:cs="Times New Roman"/>
        </w:rPr>
        <w:t>— Exposure (Осмотр) – измерение температуры тела, осмотр тела</w:t>
      </w:r>
      <w:r>
        <w:rPr>
          <w:rFonts w:ascii="Times New Roman" w:eastAsia="Times New Roman" w:hAnsi="Times New Roman" w:cs="Times New Roman"/>
        </w:rPr>
        <w:t xml:space="preserve"> на наличие сыпи [343, 344]. </w:t>
      </w:r>
    </w:p>
    <w:p w:rsidR="005A3F38" w:rsidRDefault="003114B5">
      <w:pPr>
        <w:spacing w:after="5"/>
        <w:ind w:left="10" w:right="2" w:hanging="10"/>
        <w:jc w:val="both"/>
      </w:pPr>
      <w:r>
        <w:rPr>
          <w:rFonts w:ascii="Times New Roman" w:eastAsia="Times New Roman" w:hAnsi="Times New Roman" w:cs="Times New Roman"/>
          <w:sz w:val="24"/>
          <w:vertAlign w:val="superscript"/>
        </w:rPr>
        <w:t>3</w:t>
      </w:r>
      <w:r>
        <w:rPr>
          <w:rFonts w:ascii="Times New Roman" w:eastAsia="Times New Roman" w:hAnsi="Times New Roman" w:cs="Times New Roman"/>
          <w:sz w:val="24"/>
        </w:rPr>
        <w:t xml:space="preserve">- см. клинические рекомендации «Острый обструктивный ларингит [круп], эпиглоттит, постинтубационный отек гортани» </w:t>
      </w:r>
    </w:p>
    <w:p w:rsidR="005A3F38" w:rsidRDefault="003114B5">
      <w:pPr>
        <w:spacing w:after="0"/>
      </w:pPr>
      <w:r>
        <w:rPr>
          <w:rFonts w:ascii="Times New Roman" w:eastAsia="Times New Roman" w:hAnsi="Times New Roman" w:cs="Times New Roman"/>
          <w:sz w:val="24"/>
        </w:rPr>
        <w:t xml:space="preserve"> </w:t>
      </w:r>
    </w:p>
    <w:p w:rsidR="005A3F38" w:rsidRDefault="003114B5">
      <w:pPr>
        <w:numPr>
          <w:ilvl w:val="0"/>
          <w:numId w:val="55"/>
        </w:numPr>
        <w:spacing w:after="30"/>
        <w:ind w:right="2" w:hanging="142"/>
        <w:jc w:val="both"/>
      </w:pPr>
      <w:r>
        <w:rPr>
          <w:rFonts w:ascii="Times New Roman" w:eastAsia="Times New Roman" w:hAnsi="Times New Roman" w:cs="Times New Roman"/>
          <w:sz w:val="24"/>
        </w:rPr>
        <w:t>– ДАИ- дозированный аэрозольный ингалятор</w:t>
      </w:r>
      <w:r>
        <w:rPr>
          <w:rFonts w:ascii="Times New Roman" w:eastAsia="Times New Roman" w:hAnsi="Times New Roman" w:cs="Times New Roman"/>
          <w:sz w:val="24"/>
          <w:vertAlign w:val="superscript"/>
        </w:rPr>
        <w:t xml:space="preserve"> </w:t>
      </w:r>
    </w:p>
    <w:p w:rsidR="005A3F38" w:rsidRDefault="003114B5">
      <w:pPr>
        <w:numPr>
          <w:ilvl w:val="0"/>
          <w:numId w:val="55"/>
        </w:numPr>
        <w:spacing w:after="5"/>
        <w:ind w:right="2" w:hanging="142"/>
        <w:jc w:val="both"/>
      </w:pPr>
      <w:r>
        <w:rPr>
          <w:rFonts w:ascii="Times New Roman" w:eastAsia="Times New Roman" w:hAnsi="Times New Roman" w:cs="Times New Roman"/>
          <w:sz w:val="24"/>
        </w:rPr>
        <w:t xml:space="preserve">– см. клинические рекомендации «Бронхиальная астма» </w:t>
      </w:r>
    </w:p>
    <w:p w:rsidR="005A3F38" w:rsidRDefault="003114B5">
      <w:pPr>
        <w:numPr>
          <w:ilvl w:val="0"/>
          <w:numId w:val="55"/>
        </w:numPr>
        <w:spacing w:after="5" w:line="245" w:lineRule="auto"/>
        <w:ind w:right="2" w:hanging="142"/>
        <w:jc w:val="both"/>
      </w:pPr>
      <w:r>
        <w:rPr>
          <w:rFonts w:ascii="Times New Roman" w:eastAsia="Times New Roman" w:hAnsi="Times New Roman" w:cs="Times New Roman"/>
          <w:sz w:val="24"/>
        </w:rPr>
        <w:t>– парацетамо</w:t>
      </w:r>
      <w:r>
        <w:rPr>
          <w:rFonts w:ascii="Times New Roman" w:eastAsia="Times New Roman" w:hAnsi="Times New Roman" w:cs="Times New Roman"/>
          <w:sz w:val="24"/>
        </w:rPr>
        <w:t>л** или ибупрофен**, в исключительных случаях, в том числе при непереносимости парацетамола** или ибупрофена** или при необходимости проведения парентеральной жаропонижающей терапии и отсутствии альтернативы, оценив риски и ожидаемую пользу, - возможно одн</w:t>
      </w:r>
      <w:r>
        <w:rPr>
          <w:rFonts w:ascii="Times New Roman" w:eastAsia="Times New Roman" w:hAnsi="Times New Roman" w:cs="Times New Roman"/>
          <w:sz w:val="24"/>
        </w:rPr>
        <w:t xml:space="preserve">ократно ситуативно назначить метамизол натрия (см. раздел 3) </w:t>
      </w:r>
    </w:p>
    <w:p w:rsidR="005A3F38" w:rsidRDefault="003114B5">
      <w:pPr>
        <w:spacing w:after="4779"/>
      </w:pPr>
      <w:r>
        <w:rPr>
          <w:rFonts w:ascii="Times New Roman" w:eastAsia="Times New Roman" w:hAnsi="Times New Roman" w:cs="Times New Roman"/>
          <w:sz w:val="24"/>
        </w:rPr>
        <w:t xml:space="preserve"> </w:t>
      </w:r>
    </w:p>
    <w:p w:rsidR="005A3F38" w:rsidRDefault="003114B5">
      <w:pPr>
        <w:spacing w:after="0"/>
        <w:ind w:left="10" w:right="-13" w:hanging="10"/>
        <w:jc w:val="right"/>
      </w:pPr>
      <w:r>
        <w:rPr>
          <w:rFonts w:ascii="Times New Roman" w:eastAsia="Times New Roman" w:hAnsi="Times New Roman" w:cs="Times New Roman"/>
          <w:sz w:val="24"/>
        </w:rPr>
        <w:t xml:space="preserve">91 </w:t>
      </w:r>
    </w:p>
    <w:p w:rsidR="005A3F38" w:rsidRDefault="003114B5">
      <w:pPr>
        <w:spacing w:after="0"/>
        <w:ind w:left="708"/>
      </w:pPr>
      <w:r>
        <w:rPr>
          <w:rFonts w:ascii="Times New Roman" w:eastAsia="Times New Roman" w:hAnsi="Times New Roman" w:cs="Times New Roman"/>
          <w:sz w:val="24"/>
        </w:rPr>
        <w:t xml:space="preserve"> </w:t>
      </w:r>
    </w:p>
    <w:p w:rsidR="005A3F38" w:rsidRDefault="005A3F38">
      <w:pPr>
        <w:sectPr w:rsidR="005A3F38">
          <w:footerReference w:type="even" r:id="rId244"/>
          <w:footerReference w:type="default" r:id="rId245"/>
          <w:footerReference w:type="first" r:id="rId246"/>
          <w:pgSz w:w="16838" w:h="11906" w:orient="landscape"/>
          <w:pgMar w:top="582" w:right="565" w:bottom="709" w:left="566" w:header="720" w:footer="720" w:gutter="0"/>
          <w:cols w:space="720"/>
        </w:sectPr>
      </w:pPr>
    </w:p>
    <w:p w:rsidR="005A3F38" w:rsidRDefault="003114B5">
      <w:pPr>
        <w:spacing w:after="196"/>
      </w:pPr>
      <w:r>
        <w:rPr>
          <w:rFonts w:ascii="Times New Roman" w:eastAsia="Times New Roman" w:hAnsi="Times New Roman" w:cs="Times New Roman"/>
          <w:sz w:val="24"/>
        </w:rPr>
        <w:t xml:space="preserve"> </w:t>
      </w:r>
    </w:p>
    <w:p w:rsidR="005A3F38" w:rsidRDefault="003114B5">
      <w:pPr>
        <w:pStyle w:val="Heading1"/>
        <w:ind w:left="-5"/>
      </w:pPr>
      <w:bookmarkStart w:id="53" w:name="_Toc141926"/>
      <w:r>
        <w:t>Приложение В. Информация для пациента</w:t>
      </w:r>
      <w:r>
        <w:t xml:space="preserve"> </w:t>
      </w:r>
      <w:bookmarkEnd w:id="53"/>
    </w:p>
    <w:p w:rsidR="005A3F38" w:rsidRDefault="003114B5">
      <w:pPr>
        <w:spacing w:after="0"/>
        <w:ind w:left="319"/>
      </w:pPr>
      <w:r>
        <w:rPr>
          <w:rFonts w:ascii="Times New Roman" w:eastAsia="Times New Roman" w:hAnsi="Times New Roman" w:cs="Times New Roman"/>
          <w:sz w:val="24"/>
        </w:rPr>
        <w:t xml:space="preserve"> </w:t>
      </w:r>
    </w:p>
    <w:p w:rsidR="005A3F38" w:rsidRDefault="003114B5">
      <w:pPr>
        <w:spacing w:after="5" w:line="364" w:lineRule="auto"/>
        <w:ind w:right="2" w:firstLine="319"/>
        <w:jc w:val="both"/>
      </w:pPr>
      <w:r>
        <w:rPr>
          <w:rFonts w:ascii="Times New Roman" w:eastAsia="Times New Roman" w:hAnsi="Times New Roman" w:cs="Times New Roman"/>
          <w:b/>
          <w:sz w:val="24"/>
        </w:rPr>
        <w:t>ОРВИ</w:t>
      </w:r>
      <w:r>
        <w:rPr>
          <w:rFonts w:ascii="Times New Roman" w:eastAsia="Times New Roman" w:hAnsi="Times New Roman" w:cs="Times New Roman"/>
          <w:sz w:val="24"/>
        </w:rPr>
        <w:t xml:space="preserve"> (острая респираторная вирусная инфекция) – наиболее часто встречающееся заболевание у детей.  </w:t>
      </w:r>
    </w:p>
    <w:p w:rsidR="005A3F38" w:rsidRDefault="003114B5">
      <w:pPr>
        <w:spacing w:after="5" w:line="364" w:lineRule="auto"/>
        <w:ind w:right="2" w:firstLine="319"/>
        <w:jc w:val="both"/>
      </w:pPr>
      <w:r>
        <w:rPr>
          <w:rFonts w:ascii="Times New Roman" w:eastAsia="Times New Roman" w:hAnsi="Times New Roman" w:cs="Times New Roman"/>
          <w:b/>
          <w:sz w:val="24"/>
        </w:rPr>
        <w:t>Причина заболевания</w:t>
      </w:r>
      <w:r>
        <w:rPr>
          <w:rFonts w:ascii="Times New Roman" w:eastAsia="Times New Roman" w:hAnsi="Times New Roman" w:cs="Times New Roman"/>
          <w:sz w:val="24"/>
        </w:rPr>
        <w:t xml:space="preserve"> – </w:t>
      </w:r>
      <w:r>
        <w:rPr>
          <w:rFonts w:ascii="Times New Roman" w:eastAsia="Times New Roman" w:hAnsi="Times New Roman" w:cs="Times New Roman"/>
          <w:sz w:val="24"/>
        </w:rPr>
        <w:t xml:space="preserve">разнообразные вирусы. Заболевание чаще развивается осенью, зимой и ранней весной. </w:t>
      </w:r>
    </w:p>
    <w:p w:rsidR="005A3F38" w:rsidRDefault="003114B5">
      <w:pPr>
        <w:spacing w:after="5" w:line="364" w:lineRule="auto"/>
        <w:ind w:right="2" w:firstLine="319"/>
        <w:jc w:val="both"/>
      </w:pPr>
      <w:r>
        <w:rPr>
          <w:rFonts w:ascii="Times New Roman" w:eastAsia="Times New Roman" w:hAnsi="Times New Roman" w:cs="Times New Roman"/>
          <w:b/>
          <w:sz w:val="24"/>
        </w:rPr>
        <w:t>Как заражаются инфекцией, вызывающей ОРВИ:</w:t>
      </w:r>
      <w:r>
        <w:rPr>
          <w:rFonts w:ascii="Times New Roman" w:eastAsia="Times New Roman" w:hAnsi="Times New Roman" w:cs="Times New Roman"/>
          <w:sz w:val="24"/>
        </w:rPr>
        <w:t xml:space="preserve"> чаще всего путем попадания на слизистую оболочку носа или конъюнктиву с рук, загрязненных при контакте с заболевшим (например, чер</w:t>
      </w:r>
      <w:r>
        <w:rPr>
          <w:rFonts w:ascii="Times New Roman" w:eastAsia="Times New Roman" w:hAnsi="Times New Roman" w:cs="Times New Roman"/>
          <w:sz w:val="24"/>
        </w:rPr>
        <w:t xml:space="preserve">ез рукопожатие) или с зараженными вирусом поверхностями (риновирус сохраняется на них до суток).  </w:t>
      </w:r>
    </w:p>
    <w:p w:rsidR="005A3F38" w:rsidRDefault="003114B5">
      <w:pPr>
        <w:spacing w:after="5" w:line="364" w:lineRule="auto"/>
        <w:ind w:right="2" w:firstLine="319"/>
        <w:jc w:val="both"/>
      </w:pPr>
      <w:r>
        <w:rPr>
          <w:rFonts w:ascii="Times New Roman" w:eastAsia="Times New Roman" w:hAnsi="Times New Roman" w:cs="Times New Roman"/>
          <w:sz w:val="24"/>
        </w:rPr>
        <w:t xml:space="preserve">Другой путь – воздушно-капельный – при вдыхании частичек слюны, выделяющихся при чихании, кашле или при тесном контакте с заболевшим.  </w:t>
      </w:r>
    </w:p>
    <w:p w:rsidR="005A3F38" w:rsidRDefault="003114B5">
      <w:pPr>
        <w:spacing w:after="5" w:line="364" w:lineRule="auto"/>
        <w:ind w:right="2" w:firstLine="319"/>
        <w:jc w:val="both"/>
      </w:pPr>
      <w:r>
        <w:rPr>
          <w:rFonts w:ascii="Times New Roman" w:eastAsia="Times New Roman" w:hAnsi="Times New Roman" w:cs="Times New Roman"/>
          <w:sz w:val="24"/>
        </w:rPr>
        <w:t>Период от заражения д</w:t>
      </w:r>
      <w:r>
        <w:rPr>
          <w:rFonts w:ascii="Times New Roman" w:eastAsia="Times New Roman" w:hAnsi="Times New Roman" w:cs="Times New Roman"/>
          <w:sz w:val="24"/>
        </w:rPr>
        <w:t xml:space="preserve">о начала болезни: в большинстве случаев – от 2-х до 7 дней. Выделение вирусов больным (заразность для окружающих) максимально на 3-и сутки после заражения, резко снижается к 5-му дню; неинтенсивное выделение вируса может сохраняться до 2 недель. </w:t>
      </w:r>
    </w:p>
    <w:p w:rsidR="005A3F38" w:rsidRDefault="003114B5">
      <w:pPr>
        <w:spacing w:after="5" w:line="364" w:lineRule="auto"/>
        <w:ind w:right="2" w:firstLine="319"/>
        <w:jc w:val="both"/>
      </w:pPr>
      <w:r>
        <w:rPr>
          <w:rFonts w:ascii="Times New Roman" w:eastAsia="Times New Roman" w:hAnsi="Times New Roman" w:cs="Times New Roman"/>
          <w:b/>
          <w:sz w:val="24"/>
        </w:rPr>
        <w:t xml:space="preserve">Признаки </w:t>
      </w:r>
      <w:r>
        <w:rPr>
          <w:rFonts w:ascii="Times New Roman" w:eastAsia="Times New Roman" w:hAnsi="Times New Roman" w:cs="Times New Roman"/>
          <w:b/>
          <w:sz w:val="24"/>
        </w:rPr>
        <w:t>ОРВИ:</w:t>
      </w:r>
      <w:r>
        <w:rPr>
          <w:rFonts w:ascii="Times New Roman" w:eastAsia="Times New Roman" w:hAnsi="Times New Roman" w:cs="Times New Roman"/>
          <w:sz w:val="24"/>
        </w:rPr>
        <w:t xml:space="preserve"> наиболее частым проявлением ОРВИ у детей является заложенность носа, а также выделения из носа: прозрачные и/или белого и/или желтого и/или зеленого цвета (появление выделений из носа желтого или зеленого цвета – не является признаком присоединения б</w:t>
      </w:r>
      <w:r>
        <w:rPr>
          <w:rFonts w:ascii="Times New Roman" w:eastAsia="Times New Roman" w:hAnsi="Times New Roman" w:cs="Times New Roman"/>
          <w:sz w:val="24"/>
        </w:rPr>
        <w:t xml:space="preserve">актериальной инфекции!). Повышение температуры чаще длится не более 3 дней, затем температура тела снижается. При некоторых вирусных инфекциях (грипп и аденовирусная инфекция) температура выше 38ºC сохраняется более длительно (до 5-7 дней).  </w:t>
      </w:r>
    </w:p>
    <w:p w:rsidR="005A3F38" w:rsidRDefault="003114B5">
      <w:pPr>
        <w:spacing w:after="114"/>
        <w:ind w:left="355" w:right="2" w:hanging="10"/>
        <w:jc w:val="both"/>
      </w:pPr>
      <w:r>
        <w:rPr>
          <w:rFonts w:ascii="Times New Roman" w:eastAsia="Times New Roman" w:hAnsi="Times New Roman" w:cs="Times New Roman"/>
          <w:sz w:val="24"/>
        </w:rPr>
        <w:t>При ОРВИ такж</w:t>
      </w:r>
      <w:r>
        <w:rPr>
          <w:rFonts w:ascii="Times New Roman" w:eastAsia="Times New Roman" w:hAnsi="Times New Roman" w:cs="Times New Roman"/>
          <w:sz w:val="24"/>
        </w:rPr>
        <w:t xml:space="preserve">е могут быть: першение в горле, кашель, покраснение глаз, чихание.  </w:t>
      </w:r>
    </w:p>
    <w:p w:rsidR="005A3F38" w:rsidRDefault="003114B5">
      <w:pPr>
        <w:spacing w:after="117"/>
        <w:ind w:left="10" w:right="-1" w:hanging="10"/>
        <w:jc w:val="right"/>
      </w:pPr>
      <w:r>
        <w:rPr>
          <w:rFonts w:ascii="Times New Roman" w:eastAsia="Times New Roman" w:hAnsi="Times New Roman" w:cs="Times New Roman"/>
          <w:b/>
          <w:sz w:val="24"/>
        </w:rPr>
        <w:t xml:space="preserve">Обследования: </w:t>
      </w:r>
      <w:r>
        <w:rPr>
          <w:rFonts w:ascii="Times New Roman" w:eastAsia="Times New Roman" w:hAnsi="Times New Roman" w:cs="Times New Roman"/>
          <w:sz w:val="24"/>
        </w:rPr>
        <w:t xml:space="preserve">в большинстве случаев, дополнительных обследований ребенку с ОРВИ не </w:t>
      </w:r>
    </w:p>
    <w:p w:rsidR="005A3F38" w:rsidRDefault="003114B5">
      <w:pPr>
        <w:spacing w:after="113"/>
        <w:ind w:left="10" w:right="2" w:hanging="10"/>
        <w:jc w:val="both"/>
      </w:pPr>
      <w:r>
        <w:rPr>
          <w:rFonts w:ascii="Times New Roman" w:eastAsia="Times New Roman" w:hAnsi="Times New Roman" w:cs="Times New Roman"/>
          <w:sz w:val="24"/>
        </w:rPr>
        <w:t>требуется</w:t>
      </w:r>
      <w:r>
        <w:rPr>
          <w:rFonts w:ascii="Times New Roman" w:eastAsia="Times New Roman" w:hAnsi="Times New Roman" w:cs="Times New Roman"/>
          <w:b/>
          <w:sz w:val="24"/>
        </w:rPr>
        <w:t xml:space="preserve">  </w:t>
      </w:r>
    </w:p>
    <w:p w:rsidR="005A3F38" w:rsidRDefault="003114B5">
      <w:pPr>
        <w:spacing w:after="5" w:line="364" w:lineRule="auto"/>
        <w:ind w:right="2" w:firstLine="319"/>
        <w:jc w:val="both"/>
      </w:pPr>
      <w:r>
        <w:rPr>
          <w:rFonts w:ascii="Times New Roman" w:eastAsia="Times New Roman" w:hAnsi="Times New Roman" w:cs="Times New Roman"/>
          <w:b/>
          <w:sz w:val="24"/>
        </w:rPr>
        <w:t xml:space="preserve">Лечение: </w:t>
      </w:r>
      <w:r>
        <w:rPr>
          <w:rFonts w:ascii="Times New Roman" w:eastAsia="Times New Roman" w:hAnsi="Times New Roman" w:cs="Times New Roman"/>
          <w:sz w:val="24"/>
        </w:rPr>
        <w:t>ОРВИ, в большинстве случаев, носит доброкачественный характер, разрешается в течение 10 дней и не требует обязательного назначения медикаментов.</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В легких случаях и при невыраженных симптомах может быть достаточно нефармацевтических методов. </w:t>
      </w:r>
      <w:r>
        <w:rPr>
          <w:rFonts w:ascii="Times New Roman" w:eastAsia="Times New Roman" w:hAnsi="Times New Roman" w:cs="Times New Roman"/>
          <w:sz w:val="24"/>
        </w:rPr>
        <w:t>Необходимо помнить, что лихорадка является нормальной реакцией на инфекцию, на фоне которой активизируются врожденные защитные реакции организма, при этом следует распознавать и реагировать на другие признаки опасности (см. ниже), оценивать общее состояние</w:t>
      </w:r>
      <w:r>
        <w:rPr>
          <w:rFonts w:ascii="Times New Roman" w:eastAsia="Times New Roman" w:hAnsi="Times New Roman" w:cs="Times New Roman"/>
          <w:sz w:val="24"/>
        </w:rPr>
        <w:t xml:space="preserve">, а не только лихорадку. </w:t>
      </w:r>
    </w:p>
    <w:p w:rsidR="005A3F38" w:rsidRDefault="003114B5">
      <w:pPr>
        <w:spacing w:after="5" w:line="364" w:lineRule="auto"/>
        <w:ind w:right="2" w:firstLine="319"/>
        <w:jc w:val="both"/>
      </w:pPr>
      <w:r>
        <w:rPr>
          <w:rFonts w:ascii="Times New Roman" w:eastAsia="Times New Roman" w:hAnsi="Times New Roman" w:cs="Times New Roman"/>
          <w:i/>
          <w:sz w:val="24"/>
        </w:rPr>
        <w:t>Снижение температуры:</w:t>
      </w:r>
      <w:r>
        <w:rPr>
          <w:rFonts w:ascii="Times New Roman" w:eastAsia="Times New Roman" w:hAnsi="Times New Roman" w:cs="Times New Roman"/>
          <w:b/>
          <w:sz w:val="24"/>
        </w:rPr>
        <w:t xml:space="preserve"> </w:t>
      </w:r>
      <w:r>
        <w:rPr>
          <w:rFonts w:ascii="Times New Roman" w:eastAsia="Times New Roman" w:hAnsi="Times New Roman" w:cs="Times New Roman"/>
          <w:sz w:val="24"/>
        </w:rPr>
        <w:t>лихорадящего ребенка следует раскрыть, аккуратно обтереть водой Т° 25-30°С (физические методы снижения температуры не используют при «белой» лихорадке, сопровождающейся централизацией кровообращения и проявля</w:t>
      </w:r>
      <w:r>
        <w:rPr>
          <w:rFonts w:ascii="Times New Roman" w:eastAsia="Times New Roman" w:hAnsi="Times New Roman" w:cs="Times New Roman"/>
          <w:sz w:val="24"/>
        </w:rPr>
        <w:t xml:space="preserve">ющейся бледностью, холодными конечностями).  </w:t>
      </w:r>
    </w:p>
    <w:p w:rsidR="005A3F38" w:rsidRDefault="003114B5">
      <w:pPr>
        <w:spacing w:after="20" w:line="366" w:lineRule="auto"/>
        <w:ind w:firstLine="319"/>
      </w:pPr>
      <w:r>
        <w:rPr>
          <w:rFonts w:ascii="Times New Roman" w:eastAsia="Times New Roman" w:hAnsi="Times New Roman" w:cs="Times New Roman"/>
          <w:b/>
          <w:sz w:val="24"/>
        </w:rPr>
        <w:t>Применение лекарственной терапии для снижения температуры тела</w:t>
      </w:r>
      <w:r>
        <w:rPr>
          <w:rFonts w:ascii="Times New Roman" w:eastAsia="Times New Roman" w:hAnsi="Times New Roman" w:cs="Times New Roman"/>
          <w:sz w:val="24"/>
        </w:rPr>
        <w:t xml:space="preserve"> у здоровых детей ≥3 месяцев оправданы при температуре выше 38,5 ºC (измеренной аксиллярно или выше 39 - 39,5°С, измеренной ректально). При менее вы</w:t>
      </w:r>
      <w:r>
        <w:rPr>
          <w:rFonts w:ascii="Times New Roman" w:eastAsia="Times New Roman" w:hAnsi="Times New Roman" w:cs="Times New Roman"/>
          <w:sz w:val="24"/>
        </w:rPr>
        <w:t xml:space="preserve">раженной лихорадке (38°С) средства, снижающие температуру, показаны детям до 3 месяцев, пациентам с хронической патологией, а также при связанном с температурой дискомфорте.  </w:t>
      </w:r>
    </w:p>
    <w:p w:rsidR="005A3F38" w:rsidRDefault="003114B5">
      <w:pPr>
        <w:spacing w:after="115"/>
        <w:ind w:left="10" w:right="-7" w:hanging="10"/>
        <w:jc w:val="right"/>
      </w:pPr>
      <w:r>
        <w:rPr>
          <w:rFonts w:ascii="Times New Roman" w:eastAsia="Times New Roman" w:hAnsi="Times New Roman" w:cs="Times New Roman"/>
          <w:i/>
          <w:sz w:val="24"/>
        </w:rPr>
        <w:t>С целью снижения температуры у детей применяют только парацетамол** или ибупрофе</w:t>
      </w:r>
      <w:r>
        <w:rPr>
          <w:rFonts w:ascii="Times New Roman" w:eastAsia="Times New Roman" w:hAnsi="Times New Roman" w:cs="Times New Roman"/>
          <w:i/>
          <w:sz w:val="24"/>
        </w:rPr>
        <w:t xml:space="preserve">н**.  </w:t>
      </w:r>
    </w:p>
    <w:p w:rsidR="005A3F38" w:rsidRDefault="003114B5">
      <w:pPr>
        <w:spacing w:after="4" w:line="367" w:lineRule="auto"/>
        <w:ind w:firstLine="319"/>
        <w:jc w:val="both"/>
      </w:pPr>
      <w:r>
        <w:rPr>
          <w:rFonts w:ascii="Times New Roman" w:eastAsia="Times New Roman" w:hAnsi="Times New Roman" w:cs="Times New Roman"/>
          <w:i/>
          <w:sz w:val="24"/>
        </w:rPr>
        <w:t xml:space="preserve">Чередование или комбинирование жаропонижающих средств – должны быть исключены вследствие риска нежелательных и токсических эффектов. </w:t>
      </w:r>
    </w:p>
    <w:p w:rsidR="005A3F38" w:rsidRDefault="003114B5">
      <w:pPr>
        <w:spacing w:after="4" w:line="367" w:lineRule="auto"/>
        <w:ind w:firstLine="319"/>
        <w:jc w:val="both"/>
      </w:pPr>
      <w:r>
        <w:rPr>
          <w:rFonts w:ascii="Times New Roman" w:eastAsia="Times New Roman" w:hAnsi="Times New Roman" w:cs="Times New Roman"/>
          <w:i/>
          <w:sz w:val="24"/>
        </w:rPr>
        <w:t>Повторную дозу вводят только с соблюдением интервала приеменения после нового повышения температуры. Регулярный (ку</w:t>
      </w:r>
      <w:r>
        <w:rPr>
          <w:rFonts w:ascii="Times New Roman" w:eastAsia="Times New Roman" w:hAnsi="Times New Roman" w:cs="Times New Roman"/>
          <w:i/>
          <w:sz w:val="24"/>
        </w:rPr>
        <w:t xml:space="preserve">рсовой) прием жаропонижающих не желателен. </w:t>
      </w:r>
    </w:p>
    <w:p w:rsidR="005A3F38" w:rsidRDefault="003114B5">
      <w:pPr>
        <w:spacing w:after="4" w:line="367" w:lineRule="auto"/>
        <w:ind w:firstLine="317"/>
        <w:jc w:val="both"/>
      </w:pPr>
      <w:r>
        <w:rPr>
          <w:rFonts w:ascii="Times New Roman" w:eastAsia="Times New Roman" w:hAnsi="Times New Roman" w:cs="Times New Roman"/>
          <w:i/>
          <w:sz w:val="24"/>
        </w:rPr>
        <w:t xml:space="preserve">У детей с жаропонижающей целью не применяют ацетилсалициловую кислоту** и нимесулид. Не используют рутинно метамизол натрия в связи риском развития агранулоцитоза (угнетение «белого ростка крови»), в связи с чем </w:t>
      </w:r>
      <w:r>
        <w:rPr>
          <w:rFonts w:ascii="Times New Roman" w:eastAsia="Times New Roman" w:hAnsi="Times New Roman" w:cs="Times New Roman"/>
          <w:i/>
          <w:sz w:val="24"/>
        </w:rPr>
        <w:t xml:space="preserve">могут развиться тяжелые осложнения.  </w:t>
      </w:r>
    </w:p>
    <w:p w:rsidR="005A3F38" w:rsidRDefault="003114B5">
      <w:pPr>
        <w:spacing w:after="5" w:line="364" w:lineRule="auto"/>
        <w:ind w:right="2" w:firstLine="317"/>
        <w:jc w:val="both"/>
      </w:pPr>
      <w:r>
        <w:rPr>
          <w:rFonts w:ascii="Times New Roman" w:eastAsia="Times New Roman" w:hAnsi="Times New Roman" w:cs="Times New Roman"/>
          <w:i/>
          <w:sz w:val="24"/>
        </w:rPr>
        <w:t>Кашель</w:t>
      </w:r>
      <w:r>
        <w:rPr>
          <w:rFonts w:ascii="Times New Roman" w:eastAsia="Times New Roman" w:hAnsi="Times New Roman" w:cs="Times New Roman"/>
          <w:sz w:val="24"/>
        </w:rPr>
        <w:t xml:space="preserve"> при ларинготрахеите и фарингите не требует назначения бронходилататоров (препаратов для лечения обструктивных заболеваний дыхательных путей), муколитических препаратов, ингаляционных глюкокортикоидов. </w:t>
      </w:r>
    </w:p>
    <w:p w:rsidR="005A3F38" w:rsidRDefault="003114B5">
      <w:pPr>
        <w:spacing w:after="5" w:line="364" w:lineRule="auto"/>
        <w:ind w:right="2" w:firstLine="319"/>
        <w:jc w:val="both"/>
      </w:pPr>
      <w:r>
        <w:rPr>
          <w:rFonts w:ascii="Times New Roman" w:eastAsia="Times New Roman" w:hAnsi="Times New Roman" w:cs="Times New Roman"/>
          <w:i/>
          <w:sz w:val="24"/>
        </w:rPr>
        <w:t xml:space="preserve"> Антибакт</w:t>
      </w:r>
      <w:r>
        <w:rPr>
          <w:rFonts w:ascii="Times New Roman" w:eastAsia="Times New Roman" w:hAnsi="Times New Roman" w:cs="Times New Roman"/>
          <w:i/>
          <w:sz w:val="24"/>
        </w:rPr>
        <w:t>ериальные препараты системного действия (антибиотики)</w:t>
      </w:r>
      <w:r>
        <w:rPr>
          <w:rFonts w:ascii="Times New Roman" w:eastAsia="Times New Roman" w:hAnsi="Times New Roman" w:cs="Times New Roman"/>
          <w:sz w:val="24"/>
        </w:rPr>
        <w:t xml:space="preserve"> – не действуют на вирусы (основную причину ОРВИ). Вопрос о назначении антибактериальных препаратов системного действия рассматривается при подозрении на бактериальную инфекцию</w:t>
      </w:r>
      <w:r>
        <w:rPr>
          <w:rFonts w:ascii="Times New Roman" w:eastAsia="Times New Roman" w:hAnsi="Times New Roman" w:cs="Times New Roman"/>
          <w:b/>
          <w:sz w:val="24"/>
        </w:rPr>
        <w:t>. Антибактериальные препара</w:t>
      </w:r>
      <w:r>
        <w:rPr>
          <w:rFonts w:ascii="Times New Roman" w:eastAsia="Times New Roman" w:hAnsi="Times New Roman" w:cs="Times New Roman"/>
          <w:b/>
          <w:sz w:val="24"/>
        </w:rPr>
        <w:t>ты системного действия должен назначать врач.</w:t>
      </w:r>
      <w:r>
        <w:rPr>
          <w:rFonts w:ascii="Times New Roman" w:eastAsia="Times New Roman" w:hAnsi="Times New Roman" w:cs="Times New Roman"/>
          <w:sz w:val="24"/>
        </w:rPr>
        <w:t xml:space="preserve"> Бесконтрольный прием антибактериальных препаратов системного действия может способствовать развитию устойчивых к ним микробов и вызывать осложнения. </w:t>
      </w:r>
    </w:p>
    <w:p w:rsidR="005A3F38" w:rsidRDefault="003114B5">
      <w:pPr>
        <w:spacing w:after="127" w:line="249" w:lineRule="auto"/>
        <w:ind w:left="355" w:hanging="10"/>
      </w:pPr>
      <w:r>
        <w:rPr>
          <w:rFonts w:ascii="Times New Roman" w:eastAsia="Times New Roman" w:hAnsi="Times New Roman" w:cs="Times New Roman"/>
          <w:b/>
          <w:sz w:val="24"/>
        </w:rPr>
        <w:t>Как предупредить развитие ОРВИ:</w:t>
      </w:r>
      <w:r>
        <w:rPr>
          <w:rFonts w:ascii="Times New Roman" w:eastAsia="Times New Roman" w:hAnsi="Times New Roman" w:cs="Times New Roman"/>
          <w:sz w:val="24"/>
        </w:rPr>
        <w:t xml:space="preserve">  </w:t>
      </w:r>
    </w:p>
    <w:p w:rsidR="005A3F38" w:rsidRDefault="003114B5">
      <w:pPr>
        <w:spacing w:after="115"/>
        <w:ind w:left="10" w:right="2" w:hanging="10"/>
        <w:jc w:val="both"/>
      </w:pPr>
      <w:r>
        <w:rPr>
          <w:rFonts w:ascii="Times New Roman" w:eastAsia="Times New Roman" w:hAnsi="Times New Roman" w:cs="Times New Roman"/>
          <w:sz w:val="24"/>
        </w:rPr>
        <w:t>Заболевшего ребенка следуе</w:t>
      </w:r>
      <w:r>
        <w:rPr>
          <w:rFonts w:ascii="Times New Roman" w:eastAsia="Times New Roman" w:hAnsi="Times New Roman" w:cs="Times New Roman"/>
          <w:sz w:val="24"/>
        </w:rPr>
        <w:t xml:space="preserve">т оставить дома (не водить в детский сад или школу). </w:t>
      </w:r>
    </w:p>
    <w:p w:rsidR="005A3F38" w:rsidRDefault="003114B5">
      <w:pPr>
        <w:spacing w:after="5" w:line="364" w:lineRule="auto"/>
        <w:ind w:right="2" w:firstLine="319"/>
        <w:jc w:val="both"/>
      </w:pPr>
      <w:r>
        <w:rPr>
          <w:rFonts w:ascii="Times New Roman" w:eastAsia="Times New Roman" w:hAnsi="Times New Roman" w:cs="Times New Roman"/>
          <w:sz w:val="24"/>
        </w:rPr>
        <w:t xml:space="preserve">Первостепенное значение имеют меры, препятствующие распространению вирусов: тщательное мытье рук после контакта с заболевшим. </w:t>
      </w:r>
    </w:p>
    <w:p w:rsidR="005A3F38" w:rsidRDefault="003114B5">
      <w:pPr>
        <w:spacing w:after="5" w:line="364" w:lineRule="auto"/>
        <w:ind w:right="2" w:firstLine="319"/>
        <w:jc w:val="both"/>
      </w:pPr>
      <w:r>
        <w:rPr>
          <w:rFonts w:ascii="Times New Roman" w:eastAsia="Times New Roman" w:hAnsi="Times New Roman" w:cs="Times New Roman"/>
          <w:sz w:val="24"/>
        </w:rPr>
        <w:t>Важно также ношение масок, мытье поверхностей в окружении заболевшего, собл</w:t>
      </w:r>
      <w:r>
        <w:rPr>
          <w:rFonts w:ascii="Times New Roman" w:eastAsia="Times New Roman" w:hAnsi="Times New Roman" w:cs="Times New Roman"/>
          <w:sz w:val="24"/>
        </w:rPr>
        <w:t xml:space="preserve">юдение режима проветривания. </w:t>
      </w:r>
    </w:p>
    <w:p w:rsidR="005A3F38" w:rsidRDefault="003114B5">
      <w:pPr>
        <w:spacing w:after="5" w:line="364" w:lineRule="auto"/>
        <w:ind w:right="2" w:firstLine="319"/>
        <w:jc w:val="both"/>
      </w:pPr>
      <w:r>
        <w:rPr>
          <w:rFonts w:ascii="Times New Roman" w:eastAsia="Times New Roman" w:hAnsi="Times New Roman" w:cs="Times New Roman"/>
          <w:sz w:val="24"/>
        </w:rPr>
        <w:t>Ежегодная вакцинация против гриппа с возраста 6 мес снижает риск этой инфекции. Доказано также, что вакцинация детей от гриппа и пневмококковой инфекции уменьшает вероятность развития острого среднего отита у детей и осложненн</w:t>
      </w:r>
      <w:r>
        <w:rPr>
          <w:rFonts w:ascii="Times New Roman" w:eastAsia="Times New Roman" w:hAnsi="Times New Roman" w:cs="Times New Roman"/>
          <w:sz w:val="24"/>
        </w:rPr>
        <w:t xml:space="preserve">ого течения ОРВИ.  </w:t>
      </w:r>
    </w:p>
    <w:p w:rsidR="005A3F38" w:rsidRDefault="003114B5">
      <w:pPr>
        <w:spacing w:after="5" w:line="364" w:lineRule="auto"/>
        <w:ind w:right="2" w:firstLine="319"/>
        <w:jc w:val="both"/>
      </w:pPr>
      <w:r>
        <w:rPr>
          <w:rFonts w:ascii="Times New Roman" w:eastAsia="Times New Roman" w:hAnsi="Times New Roman" w:cs="Times New Roman"/>
          <w:sz w:val="24"/>
        </w:rPr>
        <w:t>Надежных свидетельств о снижении респираторной заболеваемости под влиянием различной иммуномодулирующей терапии - нет. Не доказана также профилактическая эффективность растительных препаратов и аскорбиновой кислоты** (витамина С)</w:t>
      </w:r>
      <w:r>
        <w:rPr>
          <w:rFonts w:ascii="Times New Roman" w:eastAsia="Times New Roman" w:hAnsi="Times New Roman" w:cs="Times New Roman"/>
          <w:sz w:val="24"/>
        </w:rPr>
        <w:t xml:space="preserve">, гомеопатических препаратов. </w:t>
      </w:r>
    </w:p>
    <w:p w:rsidR="005A3F38" w:rsidRDefault="003114B5">
      <w:pPr>
        <w:spacing w:after="112"/>
      </w:pPr>
      <w:r>
        <w:rPr>
          <w:rFonts w:ascii="Times New Roman" w:eastAsia="Times New Roman" w:hAnsi="Times New Roman" w:cs="Times New Roman"/>
          <w:b/>
          <w:i/>
          <w:sz w:val="24"/>
        </w:rPr>
        <w:t xml:space="preserve"> </w:t>
      </w:r>
    </w:p>
    <w:p w:rsidR="005A3F38" w:rsidRDefault="003114B5">
      <w:pPr>
        <w:spacing w:after="0" w:line="361" w:lineRule="auto"/>
        <w:ind w:left="283" w:right="301" w:hanging="283"/>
        <w:jc w:val="both"/>
      </w:pPr>
      <w:r>
        <w:rPr>
          <w:rFonts w:ascii="Times New Roman" w:eastAsia="Times New Roman" w:hAnsi="Times New Roman" w:cs="Times New Roman"/>
          <w:b/>
          <w:i/>
          <w:sz w:val="24"/>
        </w:rPr>
        <w:t>Чтобы снизить вероятность заболеть ОРВИ следует соблюдать правила 3Р и 3П Правило 3Р</w:t>
      </w:r>
      <w:r>
        <w:rPr>
          <w:rFonts w:ascii="Times New Roman" w:eastAsia="Times New Roman" w:hAnsi="Times New Roman" w:cs="Times New Roman"/>
          <w:i/>
          <w:sz w:val="24"/>
        </w:rPr>
        <w:t xml:space="preserve">: </w:t>
      </w:r>
    </w:p>
    <w:p w:rsidR="005A3F38" w:rsidRDefault="003114B5">
      <w:pPr>
        <w:numPr>
          <w:ilvl w:val="0"/>
          <w:numId w:val="56"/>
        </w:numPr>
        <w:spacing w:after="4"/>
        <w:ind w:hanging="144"/>
        <w:jc w:val="both"/>
      </w:pPr>
      <w:r>
        <w:rPr>
          <w:rFonts w:ascii="Times New Roman" w:eastAsia="Times New Roman" w:hAnsi="Times New Roman" w:cs="Times New Roman"/>
          <w:b/>
          <w:i/>
          <w:sz w:val="24"/>
        </w:rPr>
        <w:t>Р</w:t>
      </w:r>
      <w:r>
        <w:rPr>
          <w:rFonts w:ascii="Times New Roman" w:eastAsia="Times New Roman" w:hAnsi="Times New Roman" w:cs="Times New Roman"/>
          <w:i/>
          <w:sz w:val="24"/>
        </w:rPr>
        <w:t xml:space="preserve">уки мойте с мылом не менее 30 с как можно чаще; </w:t>
      </w:r>
    </w:p>
    <w:p w:rsidR="005A3F38" w:rsidRDefault="003114B5">
      <w:pPr>
        <w:numPr>
          <w:ilvl w:val="0"/>
          <w:numId w:val="56"/>
        </w:numPr>
        <w:spacing w:after="113"/>
        <w:ind w:hanging="144"/>
        <w:jc w:val="both"/>
      </w:pPr>
      <w:r>
        <w:rPr>
          <w:rFonts w:ascii="Times New Roman" w:eastAsia="Times New Roman" w:hAnsi="Times New Roman" w:cs="Times New Roman"/>
          <w:b/>
          <w:i/>
          <w:sz w:val="24"/>
        </w:rPr>
        <w:t>Р</w:t>
      </w:r>
      <w:r>
        <w:rPr>
          <w:rFonts w:ascii="Times New Roman" w:eastAsia="Times New Roman" w:hAnsi="Times New Roman" w:cs="Times New Roman"/>
          <w:i/>
          <w:sz w:val="24"/>
        </w:rPr>
        <w:t xml:space="preserve">от/нос должны быть закрыты маской; </w:t>
      </w:r>
    </w:p>
    <w:p w:rsidR="005A3F38" w:rsidRDefault="003114B5">
      <w:pPr>
        <w:numPr>
          <w:ilvl w:val="0"/>
          <w:numId w:val="56"/>
        </w:numPr>
        <w:spacing w:after="115"/>
        <w:ind w:hanging="144"/>
        <w:jc w:val="both"/>
      </w:pPr>
      <w:r>
        <w:rPr>
          <w:rFonts w:ascii="Times New Roman" w:eastAsia="Times New Roman" w:hAnsi="Times New Roman" w:cs="Times New Roman"/>
          <w:b/>
          <w:i/>
          <w:sz w:val="24"/>
        </w:rPr>
        <w:t>Р</w:t>
      </w:r>
      <w:r>
        <w:rPr>
          <w:rFonts w:ascii="Times New Roman" w:eastAsia="Times New Roman" w:hAnsi="Times New Roman" w:cs="Times New Roman"/>
          <w:i/>
          <w:sz w:val="24"/>
        </w:rPr>
        <w:t>асстояние до других людей должно быть не менее 1</w:t>
      </w:r>
      <w:r>
        <w:rPr>
          <w:rFonts w:ascii="Times New Roman" w:eastAsia="Times New Roman" w:hAnsi="Times New Roman" w:cs="Times New Roman"/>
          <w:i/>
          <w:sz w:val="24"/>
        </w:rPr>
        <w:t xml:space="preserve">,5 м. </w:t>
      </w:r>
    </w:p>
    <w:p w:rsidR="005A3F38" w:rsidRDefault="003114B5">
      <w:pPr>
        <w:spacing w:after="117"/>
        <w:ind w:left="293" w:hanging="10"/>
        <w:jc w:val="both"/>
      </w:pPr>
      <w:r>
        <w:rPr>
          <w:rFonts w:ascii="Times New Roman" w:eastAsia="Times New Roman" w:hAnsi="Times New Roman" w:cs="Times New Roman"/>
          <w:b/>
          <w:i/>
          <w:sz w:val="24"/>
        </w:rPr>
        <w:t xml:space="preserve">Правило ЗП — избегайте: </w:t>
      </w:r>
    </w:p>
    <w:p w:rsidR="005A3F38" w:rsidRDefault="003114B5">
      <w:pPr>
        <w:numPr>
          <w:ilvl w:val="0"/>
          <w:numId w:val="56"/>
        </w:numPr>
        <w:spacing w:after="115"/>
        <w:ind w:hanging="144"/>
        <w:jc w:val="both"/>
      </w:pPr>
      <w:r>
        <w:rPr>
          <w:rFonts w:ascii="Times New Roman" w:eastAsia="Times New Roman" w:hAnsi="Times New Roman" w:cs="Times New Roman"/>
          <w:b/>
          <w:i/>
          <w:sz w:val="24"/>
        </w:rPr>
        <w:t>П</w:t>
      </w:r>
      <w:r>
        <w:rPr>
          <w:rFonts w:ascii="Times New Roman" w:eastAsia="Times New Roman" w:hAnsi="Times New Roman" w:cs="Times New Roman"/>
          <w:i/>
          <w:sz w:val="24"/>
        </w:rPr>
        <w:t xml:space="preserve">лохо проветриваемых помещений; </w:t>
      </w:r>
    </w:p>
    <w:p w:rsidR="005A3F38" w:rsidRDefault="003114B5">
      <w:pPr>
        <w:numPr>
          <w:ilvl w:val="0"/>
          <w:numId w:val="56"/>
        </w:numPr>
        <w:spacing w:after="113"/>
        <w:ind w:hanging="144"/>
        <w:jc w:val="both"/>
      </w:pPr>
      <w:r>
        <w:rPr>
          <w:rFonts w:ascii="Times New Roman" w:eastAsia="Times New Roman" w:hAnsi="Times New Roman" w:cs="Times New Roman"/>
          <w:b/>
          <w:i/>
          <w:sz w:val="24"/>
        </w:rPr>
        <w:t>П</w:t>
      </w:r>
      <w:r>
        <w:rPr>
          <w:rFonts w:ascii="Times New Roman" w:eastAsia="Times New Roman" w:hAnsi="Times New Roman" w:cs="Times New Roman"/>
          <w:i/>
          <w:sz w:val="24"/>
        </w:rPr>
        <w:t xml:space="preserve">омещений или Площадок с большим скоплением людей; </w:t>
      </w:r>
    </w:p>
    <w:p w:rsidR="005A3F38" w:rsidRDefault="003114B5">
      <w:pPr>
        <w:numPr>
          <w:ilvl w:val="0"/>
          <w:numId w:val="56"/>
        </w:numPr>
        <w:spacing w:after="115"/>
        <w:ind w:hanging="144"/>
        <w:jc w:val="both"/>
      </w:pPr>
      <w:r>
        <w:rPr>
          <w:rFonts w:ascii="Times New Roman" w:eastAsia="Times New Roman" w:hAnsi="Times New Roman" w:cs="Times New Roman"/>
          <w:b/>
          <w:i/>
          <w:sz w:val="24"/>
        </w:rPr>
        <w:t>П</w:t>
      </w:r>
      <w:r>
        <w:rPr>
          <w:rFonts w:ascii="Times New Roman" w:eastAsia="Times New Roman" w:hAnsi="Times New Roman" w:cs="Times New Roman"/>
          <w:i/>
          <w:sz w:val="24"/>
        </w:rPr>
        <w:t xml:space="preserve">одошедших слишком близко разговаривающих или поющих людей. </w:t>
      </w:r>
    </w:p>
    <w:p w:rsidR="005A3F38" w:rsidRDefault="003114B5">
      <w:pPr>
        <w:spacing w:after="112"/>
        <w:ind w:left="319"/>
      </w:pPr>
      <w:r>
        <w:rPr>
          <w:rFonts w:ascii="Times New Roman" w:eastAsia="Times New Roman" w:hAnsi="Times New Roman" w:cs="Times New Roman"/>
          <w:sz w:val="24"/>
        </w:rPr>
        <w:t xml:space="preserve"> </w:t>
      </w:r>
    </w:p>
    <w:p w:rsidR="005A3F38" w:rsidRDefault="003114B5">
      <w:pPr>
        <w:spacing w:after="127" w:line="249" w:lineRule="auto"/>
        <w:ind w:left="355" w:hanging="10"/>
      </w:pPr>
      <w:r>
        <w:rPr>
          <w:rFonts w:ascii="Times New Roman" w:eastAsia="Times New Roman" w:hAnsi="Times New Roman" w:cs="Times New Roman"/>
          <w:b/>
          <w:sz w:val="24"/>
        </w:rPr>
        <w:t xml:space="preserve">!!! Обратитесь к специалисту если:  </w:t>
      </w:r>
    </w:p>
    <w:p w:rsidR="005A3F38" w:rsidRDefault="003114B5">
      <w:pPr>
        <w:numPr>
          <w:ilvl w:val="0"/>
          <w:numId w:val="57"/>
        </w:numPr>
        <w:spacing w:after="112"/>
        <w:ind w:right="2" w:firstLine="319"/>
        <w:jc w:val="both"/>
      </w:pPr>
      <w:r>
        <w:rPr>
          <w:rFonts w:ascii="Times New Roman" w:eastAsia="Times New Roman" w:hAnsi="Times New Roman" w:cs="Times New Roman"/>
          <w:sz w:val="24"/>
        </w:rPr>
        <w:t>ребенок длительное время отказывается о</w:t>
      </w:r>
      <w:r>
        <w:rPr>
          <w:rFonts w:ascii="Times New Roman" w:eastAsia="Times New Roman" w:hAnsi="Times New Roman" w:cs="Times New Roman"/>
          <w:sz w:val="24"/>
        </w:rPr>
        <w:t xml:space="preserve">т питья; </w:t>
      </w:r>
    </w:p>
    <w:p w:rsidR="005A3F38" w:rsidRDefault="003114B5">
      <w:pPr>
        <w:numPr>
          <w:ilvl w:val="0"/>
          <w:numId w:val="57"/>
        </w:numPr>
        <w:spacing w:after="5" w:line="364" w:lineRule="auto"/>
        <w:ind w:right="2" w:firstLine="319"/>
        <w:jc w:val="both"/>
      </w:pPr>
      <w:r>
        <w:rPr>
          <w:rFonts w:ascii="Times New Roman" w:eastAsia="Times New Roman" w:hAnsi="Times New Roman" w:cs="Times New Roman"/>
          <w:sz w:val="24"/>
        </w:rPr>
        <w:t xml:space="preserve">вы видите изменения в поведении: раздражительность, необычная сонливость со снижением реакции на попытки контакта с ребенком; </w:t>
      </w:r>
    </w:p>
    <w:p w:rsidR="005A3F38" w:rsidRDefault="003114B5">
      <w:pPr>
        <w:numPr>
          <w:ilvl w:val="0"/>
          <w:numId w:val="57"/>
        </w:numPr>
        <w:spacing w:after="5" w:line="364" w:lineRule="auto"/>
        <w:ind w:right="2" w:firstLine="319"/>
        <w:jc w:val="both"/>
      </w:pPr>
      <w:r>
        <w:rPr>
          <w:rFonts w:ascii="Times New Roman" w:eastAsia="Times New Roman" w:hAnsi="Times New Roman" w:cs="Times New Roman"/>
          <w:sz w:val="24"/>
        </w:rPr>
        <w:t xml:space="preserve">у ребенка имеется затруднение дыхания, шумное дыхание, учащение дыхания, втяжение межреберных промежутков, яремной ямки (места, расположенного спереди между шеей и грудью); </w:t>
      </w:r>
    </w:p>
    <w:p w:rsidR="005A3F38" w:rsidRDefault="003114B5">
      <w:pPr>
        <w:numPr>
          <w:ilvl w:val="0"/>
          <w:numId w:val="57"/>
        </w:numPr>
        <w:spacing w:after="115"/>
        <w:ind w:right="2" w:firstLine="319"/>
        <w:jc w:val="both"/>
      </w:pPr>
      <w:r>
        <w:rPr>
          <w:rFonts w:ascii="Times New Roman" w:eastAsia="Times New Roman" w:hAnsi="Times New Roman" w:cs="Times New Roman"/>
          <w:sz w:val="24"/>
        </w:rPr>
        <w:t xml:space="preserve">у ребенка судороги на фоне повышенной температуры; </w:t>
      </w:r>
    </w:p>
    <w:p w:rsidR="005A3F38" w:rsidRDefault="003114B5">
      <w:pPr>
        <w:numPr>
          <w:ilvl w:val="0"/>
          <w:numId w:val="57"/>
        </w:numPr>
        <w:spacing w:after="112"/>
        <w:ind w:right="2" w:firstLine="319"/>
        <w:jc w:val="both"/>
      </w:pPr>
      <w:r>
        <w:rPr>
          <w:rFonts w:ascii="Times New Roman" w:eastAsia="Times New Roman" w:hAnsi="Times New Roman" w:cs="Times New Roman"/>
          <w:sz w:val="24"/>
        </w:rPr>
        <w:t>у ребенка бред на фоне повышен</w:t>
      </w:r>
      <w:r>
        <w:rPr>
          <w:rFonts w:ascii="Times New Roman" w:eastAsia="Times New Roman" w:hAnsi="Times New Roman" w:cs="Times New Roman"/>
          <w:sz w:val="24"/>
        </w:rPr>
        <w:t xml:space="preserve">ной температуры; </w:t>
      </w:r>
    </w:p>
    <w:p w:rsidR="005A3F38" w:rsidRDefault="003114B5">
      <w:pPr>
        <w:numPr>
          <w:ilvl w:val="0"/>
          <w:numId w:val="57"/>
        </w:numPr>
        <w:spacing w:after="115"/>
        <w:ind w:right="2" w:firstLine="319"/>
        <w:jc w:val="both"/>
      </w:pPr>
      <w:r>
        <w:rPr>
          <w:rFonts w:ascii="Times New Roman" w:eastAsia="Times New Roman" w:hAnsi="Times New Roman" w:cs="Times New Roman"/>
          <w:sz w:val="24"/>
        </w:rPr>
        <w:t xml:space="preserve">повышенная температура тела (более 38,4-38,5ºC) сохраняется более 3 дней; </w:t>
      </w:r>
    </w:p>
    <w:p w:rsidR="005A3F38" w:rsidRDefault="003114B5">
      <w:pPr>
        <w:numPr>
          <w:ilvl w:val="0"/>
          <w:numId w:val="57"/>
        </w:numPr>
        <w:spacing w:after="5" w:line="364" w:lineRule="auto"/>
        <w:ind w:right="2" w:firstLine="319"/>
        <w:jc w:val="both"/>
      </w:pPr>
      <w:r>
        <w:rPr>
          <w:rFonts w:ascii="Times New Roman" w:eastAsia="Times New Roman" w:hAnsi="Times New Roman" w:cs="Times New Roman"/>
          <w:sz w:val="24"/>
        </w:rPr>
        <w:t>заложенность носа сохраняется без улучшения более 10-</w:t>
      </w:r>
      <w:r>
        <w:rPr>
          <w:rFonts w:ascii="Times New Roman" w:eastAsia="Times New Roman" w:hAnsi="Times New Roman" w:cs="Times New Roman"/>
          <w:sz w:val="24"/>
        </w:rPr>
        <w:t xml:space="preserve">14 дней, особенно если при этом вы видите «вторую волну» повышения температуры тела и/или ухудшение состояния ребенка; </w:t>
      </w:r>
    </w:p>
    <w:p w:rsidR="005A3F38" w:rsidRDefault="003114B5">
      <w:pPr>
        <w:numPr>
          <w:ilvl w:val="0"/>
          <w:numId w:val="57"/>
        </w:numPr>
        <w:spacing w:after="112"/>
        <w:ind w:right="2" w:firstLine="319"/>
        <w:jc w:val="both"/>
      </w:pPr>
      <w:r>
        <w:rPr>
          <w:rFonts w:ascii="Times New Roman" w:eastAsia="Times New Roman" w:hAnsi="Times New Roman" w:cs="Times New Roman"/>
          <w:sz w:val="24"/>
        </w:rPr>
        <w:t xml:space="preserve">у ребенка есть боль в ухе и/или выделения из уха; </w:t>
      </w:r>
    </w:p>
    <w:p w:rsidR="005A3F38" w:rsidRDefault="003114B5">
      <w:pPr>
        <w:numPr>
          <w:ilvl w:val="0"/>
          <w:numId w:val="57"/>
        </w:numPr>
        <w:spacing w:after="115"/>
        <w:ind w:right="2" w:firstLine="319"/>
        <w:jc w:val="both"/>
      </w:pPr>
      <w:r>
        <w:rPr>
          <w:rFonts w:ascii="Times New Roman" w:eastAsia="Times New Roman" w:hAnsi="Times New Roman" w:cs="Times New Roman"/>
          <w:sz w:val="24"/>
        </w:rPr>
        <w:t xml:space="preserve">у ребенка кашель, длящийся более 10-14 дней без улучшения. </w:t>
      </w:r>
    </w:p>
    <w:p w:rsidR="005A3F38" w:rsidRDefault="003114B5">
      <w:pPr>
        <w:spacing w:after="53"/>
        <w:ind w:left="720"/>
      </w:pPr>
      <w:r>
        <w:rPr>
          <w:rFonts w:ascii="Times New Roman" w:eastAsia="Times New Roman" w:hAnsi="Times New Roman" w:cs="Times New Roman"/>
          <w:sz w:val="24"/>
        </w:rPr>
        <w:t xml:space="preserve"> </w:t>
      </w:r>
    </w:p>
    <w:p w:rsidR="005A3F38" w:rsidRDefault="003114B5">
      <w:pPr>
        <w:spacing w:after="0"/>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t xml:space="preserve"> </w:t>
      </w:r>
    </w:p>
    <w:p w:rsidR="005A3F38" w:rsidRDefault="003114B5">
      <w:pPr>
        <w:pStyle w:val="Heading1"/>
        <w:spacing w:line="356" w:lineRule="auto"/>
        <w:ind w:left="-5"/>
      </w:pPr>
      <w:bookmarkStart w:id="54" w:name="_Toc141927"/>
      <w:r>
        <w:t>Приложение Г1</w:t>
      </w:r>
      <w:r>
        <w:t>-</w:t>
      </w:r>
      <w:r>
        <w:t>Г</w:t>
      </w:r>
      <w:r>
        <w:t>N</w:t>
      </w:r>
      <w:r>
        <w:t>. Ш</w:t>
      </w:r>
      <w:r>
        <w:t>калы оценки, вопросники и другие оценочные инструменты состояния пациента, приведенные в клинических рекомендациях</w:t>
      </w:r>
      <w:r>
        <w:t xml:space="preserve"> </w:t>
      </w:r>
      <w:bookmarkEnd w:id="54"/>
    </w:p>
    <w:p w:rsidR="005A3F38" w:rsidRDefault="003114B5">
      <w:pPr>
        <w:spacing w:after="157"/>
      </w:pPr>
      <w:r>
        <w:rPr>
          <w:rFonts w:ascii="Times New Roman" w:eastAsia="Times New Roman" w:hAnsi="Times New Roman" w:cs="Times New Roman"/>
          <w:b/>
          <w:sz w:val="28"/>
        </w:rPr>
        <w:t xml:space="preserve"> </w:t>
      </w:r>
    </w:p>
    <w:p w:rsidR="005A3F38" w:rsidRDefault="003114B5">
      <w:pPr>
        <w:pStyle w:val="Heading1"/>
        <w:spacing w:after="90"/>
        <w:ind w:left="-5"/>
      </w:pPr>
      <w:bookmarkStart w:id="55" w:name="_Toc141928"/>
      <w:r>
        <w:t>Приложение Г</w:t>
      </w:r>
      <w:r>
        <w:t xml:space="preserve">1. </w:t>
      </w:r>
      <w:r>
        <w:t>Шкала дегидратации СDS (Clinical Dehydration</w:t>
      </w:r>
      <w:r>
        <w:t xml:space="preserve"> Scale)  </w:t>
      </w:r>
      <w:bookmarkEnd w:id="55"/>
    </w:p>
    <w:p w:rsidR="005A3F38" w:rsidRDefault="003114B5">
      <w:pPr>
        <w:spacing w:after="158"/>
        <w:ind w:left="-5" w:hanging="10"/>
      </w:pPr>
      <w:r>
        <w:rPr>
          <w:rFonts w:ascii="Times New Roman" w:eastAsia="Times New Roman" w:hAnsi="Times New Roman" w:cs="Times New Roman"/>
          <w:b/>
        </w:rPr>
        <w:t xml:space="preserve">Название на русском языке: </w:t>
      </w:r>
      <w:r>
        <w:rPr>
          <w:rFonts w:ascii="Times New Roman" w:eastAsia="Times New Roman" w:hAnsi="Times New Roman" w:cs="Times New Roman"/>
        </w:rPr>
        <w:t xml:space="preserve">Шкала дегидратации СDS </w:t>
      </w:r>
    </w:p>
    <w:p w:rsidR="005A3F38" w:rsidRDefault="003114B5">
      <w:pPr>
        <w:spacing w:after="158"/>
        <w:ind w:left="-5" w:hanging="10"/>
      </w:pPr>
      <w:r>
        <w:rPr>
          <w:rFonts w:ascii="Times New Roman" w:eastAsia="Times New Roman" w:hAnsi="Times New Roman" w:cs="Times New Roman"/>
          <w:b/>
        </w:rPr>
        <w:t>Оригинальное назва</w:t>
      </w:r>
      <w:r>
        <w:rPr>
          <w:rFonts w:ascii="Times New Roman" w:eastAsia="Times New Roman" w:hAnsi="Times New Roman" w:cs="Times New Roman"/>
          <w:b/>
        </w:rPr>
        <w:t>ние (если есть):</w:t>
      </w:r>
      <w:r>
        <w:rPr>
          <w:rFonts w:ascii="Times New Roman" w:eastAsia="Times New Roman" w:hAnsi="Times New Roman" w:cs="Times New Roman"/>
        </w:rPr>
        <w:t xml:space="preserve"> Clinical Dehydration Scale </w:t>
      </w:r>
    </w:p>
    <w:p w:rsidR="005A3F38" w:rsidRDefault="003114B5">
      <w:pPr>
        <w:spacing w:after="0"/>
        <w:ind w:left="-5" w:hanging="10"/>
      </w:pPr>
      <w:r>
        <w:rPr>
          <w:rFonts w:ascii="Times New Roman" w:eastAsia="Times New Roman" w:hAnsi="Times New Roman" w:cs="Times New Roman"/>
          <w:b/>
        </w:rPr>
        <w:t>Источник (официальный сайт разработчиков, публикация с валидацией):</w:t>
      </w:r>
      <w:r>
        <w:rPr>
          <w:rFonts w:ascii="Times New Roman" w:eastAsia="Times New Roman" w:hAnsi="Times New Roman" w:cs="Times New Roman"/>
        </w:rPr>
        <w:t xml:space="preserve"> Goldman RD, Friedman JN, </w:t>
      </w:r>
    </w:p>
    <w:p w:rsidR="005A3F38" w:rsidRDefault="003114B5">
      <w:pPr>
        <w:spacing w:after="0" w:line="257" w:lineRule="auto"/>
        <w:ind w:left="-5" w:hanging="10"/>
        <w:jc w:val="both"/>
      </w:pPr>
      <w:r>
        <w:rPr>
          <w:rFonts w:ascii="Times New Roman" w:eastAsia="Times New Roman" w:hAnsi="Times New Roman" w:cs="Times New Roman"/>
        </w:rPr>
        <w:t xml:space="preserve">Parkin PC. </w:t>
      </w:r>
      <w:r>
        <w:rPr>
          <w:rFonts w:ascii="Times New Roman" w:eastAsia="Times New Roman" w:hAnsi="Times New Roman" w:cs="Times New Roman"/>
        </w:rPr>
        <w:t xml:space="preserve">Validation of the clinical dehydration scale for children with acute gastroenteritis. Pediatrics. 2008 Sep;122(3):545-9. doi: 10.1542/peds.2007-3141, Jauregui J, Nelson D, Choo E, Stearns B, Levine AC, Liebmann O, </w:t>
      </w:r>
    </w:p>
    <w:p w:rsidR="005A3F38" w:rsidRDefault="003114B5">
      <w:pPr>
        <w:spacing w:line="257" w:lineRule="auto"/>
        <w:ind w:left="-5" w:hanging="10"/>
        <w:jc w:val="both"/>
      </w:pPr>
      <w:r>
        <w:rPr>
          <w:rFonts w:ascii="Times New Roman" w:eastAsia="Times New Roman" w:hAnsi="Times New Roman" w:cs="Times New Roman"/>
        </w:rPr>
        <w:t>Shah SP. External validation and comparis</w:t>
      </w:r>
      <w:r>
        <w:rPr>
          <w:rFonts w:ascii="Times New Roman" w:eastAsia="Times New Roman" w:hAnsi="Times New Roman" w:cs="Times New Roman"/>
        </w:rPr>
        <w:t xml:space="preserve">on of three pediatric clinical dehydration scales. PLoS One. 2014 May 2;9(5):e95739. doi: 10.1371/journal.pone.0095739. </w:t>
      </w:r>
    </w:p>
    <w:p w:rsidR="005A3F38" w:rsidRDefault="003114B5">
      <w:pPr>
        <w:spacing w:after="158"/>
        <w:ind w:left="-5" w:hanging="10"/>
      </w:pPr>
      <w:r>
        <w:rPr>
          <w:rFonts w:ascii="Times New Roman" w:eastAsia="Times New Roman" w:hAnsi="Times New Roman" w:cs="Times New Roman"/>
          <w:b/>
        </w:rPr>
        <w:t>Тип (подчеркнуть):</w:t>
      </w:r>
      <w:r>
        <w:rPr>
          <w:rFonts w:ascii="Times New Roman" w:eastAsia="Times New Roman" w:hAnsi="Times New Roman" w:cs="Times New Roman"/>
        </w:rPr>
        <w:t xml:space="preserve"> - шкала оценки  </w:t>
      </w:r>
    </w:p>
    <w:p w:rsidR="005A3F38" w:rsidRDefault="003114B5">
      <w:pPr>
        <w:spacing w:after="10" w:line="248" w:lineRule="auto"/>
        <w:ind w:left="-5" w:right="4041" w:hanging="10"/>
        <w:jc w:val="both"/>
      </w:pPr>
      <w:r>
        <w:rPr>
          <w:rFonts w:ascii="Times New Roman" w:eastAsia="Times New Roman" w:hAnsi="Times New Roman" w:cs="Times New Roman"/>
          <w:b/>
        </w:rPr>
        <w:t>Назначение:</w:t>
      </w:r>
      <w:r>
        <w:rPr>
          <w:rFonts w:ascii="Times New Roman" w:eastAsia="Times New Roman" w:hAnsi="Times New Roman" w:cs="Times New Roman"/>
        </w:rPr>
        <w:t xml:space="preserve"> оценка степени дегидратации у детей  </w:t>
      </w:r>
      <w:r>
        <w:rPr>
          <w:rFonts w:ascii="Times New Roman" w:eastAsia="Times New Roman" w:hAnsi="Times New Roman" w:cs="Times New Roman"/>
          <w:b/>
        </w:rPr>
        <w:t xml:space="preserve">Содержание (шаблон):  </w:t>
      </w:r>
    </w:p>
    <w:tbl>
      <w:tblPr>
        <w:tblStyle w:val="TableGrid"/>
        <w:tblW w:w="9348" w:type="dxa"/>
        <w:tblInd w:w="5" w:type="dxa"/>
        <w:tblCellMar>
          <w:top w:w="56" w:type="dxa"/>
          <w:left w:w="0" w:type="dxa"/>
          <w:bottom w:w="0" w:type="dxa"/>
          <w:right w:w="54" w:type="dxa"/>
        </w:tblCellMar>
        <w:tblLook w:val="04A0" w:firstRow="1" w:lastRow="0" w:firstColumn="1" w:lastColumn="0" w:noHBand="0" w:noVBand="1"/>
      </w:tblPr>
      <w:tblGrid>
        <w:gridCol w:w="2336"/>
        <w:gridCol w:w="2126"/>
        <w:gridCol w:w="212"/>
        <w:gridCol w:w="2336"/>
        <w:gridCol w:w="2338"/>
      </w:tblGrid>
      <w:tr w:rsidR="005A3F38">
        <w:trPr>
          <w:trHeight w:val="262"/>
        </w:trPr>
        <w:tc>
          <w:tcPr>
            <w:tcW w:w="2336" w:type="dxa"/>
            <w:vMerge w:val="restart"/>
            <w:tcBorders>
              <w:top w:val="single" w:sz="4" w:space="0" w:color="000000"/>
              <w:left w:val="single" w:sz="4" w:space="0" w:color="000000"/>
              <w:bottom w:val="single" w:sz="4" w:space="0" w:color="000000"/>
              <w:right w:val="single" w:sz="4" w:space="0" w:color="000000"/>
            </w:tcBorders>
          </w:tcPr>
          <w:p w:rsidR="005A3F38" w:rsidRDefault="003114B5">
            <w:pPr>
              <w:spacing w:after="0"/>
              <w:ind w:left="56"/>
              <w:jc w:val="center"/>
            </w:pPr>
            <w:r>
              <w:rPr>
                <w:rFonts w:ascii="Times New Roman" w:eastAsia="Times New Roman" w:hAnsi="Times New Roman" w:cs="Times New Roman"/>
                <w:b/>
              </w:rPr>
              <w:t xml:space="preserve">Признак </w:t>
            </w:r>
          </w:p>
        </w:tc>
        <w:tc>
          <w:tcPr>
            <w:tcW w:w="2126" w:type="dxa"/>
            <w:tcBorders>
              <w:top w:val="single" w:sz="4" w:space="0" w:color="000000"/>
              <w:left w:val="single" w:sz="4" w:space="0" w:color="000000"/>
              <w:bottom w:val="single" w:sz="4" w:space="0" w:color="000000"/>
              <w:right w:val="nil"/>
            </w:tcBorders>
          </w:tcPr>
          <w:p w:rsidR="005A3F38" w:rsidRDefault="005A3F38"/>
        </w:tc>
        <w:tc>
          <w:tcPr>
            <w:tcW w:w="212" w:type="dxa"/>
            <w:tcBorders>
              <w:top w:val="single" w:sz="4" w:space="0" w:color="000000"/>
              <w:left w:val="nil"/>
              <w:bottom w:val="single" w:sz="4" w:space="0" w:color="000000"/>
              <w:right w:val="nil"/>
            </w:tcBorders>
          </w:tcPr>
          <w:p w:rsidR="005A3F38" w:rsidRDefault="005A3F38"/>
        </w:tc>
        <w:tc>
          <w:tcPr>
            <w:tcW w:w="2336" w:type="dxa"/>
            <w:tcBorders>
              <w:top w:val="single" w:sz="4" w:space="0" w:color="000000"/>
              <w:left w:val="nil"/>
              <w:bottom w:val="single" w:sz="4" w:space="0" w:color="000000"/>
              <w:right w:val="nil"/>
            </w:tcBorders>
          </w:tcPr>
          <w:p w:rsidR="005A3F38" w:rsidRDefault="003114B5">
            <w:pPr>
              <w:spacing w:after="0"/>
              <w:ind w:left="50"/>
              <w:jc w:val="center"/>
            </w:pPr>
            <w:r>
              <w:rPr>
                <w:rFonts w:ascii="Times New Roman" w:eastAsia="Times New Roman" w:hAnsi="Times New Roman" w:cs="Times New Roman"/>
                <w:b/>
              </w:rPr>
              <w:t xml:space="preserve">Баллы </w:t>
            </w:r>
          </w:p>
        </w:tc>
        <w:tc>
          <w:tcPr>
            <w:tcW w:w="2338" w:type="dxa"/>
            <w:tcBorders>
              <w:top w:val="single" w:sz="4" w:space="0" w:color="000000"/>
              <w:left w:val="nil"/>
              <w:bottom w:val="single" w:sz="4" w:space="0" w:color="000000"/>
              <w:right w:val="single" w:sz="4" w:space="0" w:color="000000"/>
            </w:tcBorders>
          </w:tcPr>
          <w:p w:rsidR="005A3F38" w:rsidRDefault="005A3F38"/>
        </w:tc>
      </w:tr>
      <w:tr w:rsidR="005A3F38">
        <w:trPr>
          <w:trHeight w:val="264"/>
        </w:trPr>
        <w:tc>
          <w:tcPr>
            <w:tcW w:w="0" w:type="auto"/>
            <w:vMerge/>
            <w:tcBorders>
              <w:top w:val="nil"/>
              <w:left w:val="single" w:sz="4" w:space="0" w:color="000000"/>
              <w:bottom w:val="single" w:sz="4" w:space="0" w:color="000000"/>
              <w:right w:val="single" w:sz="4" w:space="0" w:color="000000"/>
            </w:tcBorders>
          </w:tcPr>
          <w:p w:rsidR="005A3F38" w:rsidRDefault="005A3F38"/>
        </w:tc>
        <w:tc>
          <w:tcPr>
            <w:tcW w:w="2126" w:type="dxa"/>
            <w:tcBorders>
              <w:top w:val="single" w:sz="4" w:space="0" w:color="000000"/>
              <w:left w:val="single" w:sz="4" w:space="0" w:color="000000"/>
              <w:bottom w:val="single" w:sz="4" w:space="0" w:color="000000"/>
              <w:right w:val="nil"/>
            </w:tcBorders>
          </w:tcPr>
          <w:p w:rsidR="005A3F38" w:rsidRDefault="003114B5">
            <w:pPr>
              <w:spacing w:after="0"/>
              <w:ind w:left="261"/>
              <w:jc w:val="center"/>
            </w:pPr>
            <w:r>
              <w:rPr>
                <w:rFonts w:ascii="Times New Roman" w:eastAsia="Times New Roman" w:hAnsi="Times New Roman" w:cs="Times New Roman"/>
                <w:b/>
              </w:rPr>
              <w:t xml:space="preserve">0 </w:t>
            </w:r>
          </w:p>
        </w:tc>
        <w:tc>
          <w:tcPr>
            <w:tcW w:w="212" w:type="dxa"/>
            <w:tcBorders>
              <w:top w:val="single" w:sz="4" w:space="0" w:color="000000"/>
              <w:left w:val="nil"/>
              <w:bottom w:val="single" w:sz="4" w:space="0" w:color="000000"/>
              <w:right w:val="single" w:sz="4" w:space="0" w:color="000000"/>
            </w:tcBorders>
          </w:tcPr>
          <w:p w:rsidR="005A3F38" w:rsidRDefault="005A3F38"/>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47"/>
              <w:jc w:val="center"/>
            </w:pPr>
            <w:r>
              <w:rPr>
                <w:rFonts w:ascii="Times New Roman" w:eastAsia="Times New Roman" w:hAnsi="Times New Roman" w:cs="Times New Roman"/>
                <w:b/>
              </w:rPr>
              <w:t xml:space="preserve">1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53"/>
              <w:jc w:val="center"/>
            </w:pPr>
            <w:r>
              <w:rPr>
                <w:rFonts w:ascii="Times New Roman" w:eastAsia="Times New Roman" w:hAnsi="Times New Roman" w:cs="Times New Roman"/>
                <w:b/>
              </w:rPr>
              <w:t xml:space="preserve">2 </w:t>
            </w:r>
          </w:p>
        </w:tc>
      </w:tr>
      <w:tr w:rsidR="005A3F38">
        <w:trPr>
          <w:trHeight w:val="516"/>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Внешний вид </w:t>
            </w:r>
          </w:p>
        </w:tc>
        <w:tc>
          <w:tcPr>
            <w:tcW w:w="2126" w:type="dxa"/>
            <w:tcBorders>
              <w:top w:val="single" w:sz="4" w:space="0" w:color="000000"/>
              <w:left w:val="single" w:sz="4" w:space="0" w:color="000000"/>
              <w:bottom w:val="single" w:sz="4" w:space="0" w:color="000000"/>
              <w:right w:val="nil"/>
            </w:tcBorders>
          </w:tcPr>
          <w:p w:rsidR="005A3F38" w:rsidRDefault="003114B5">
            <w:pPr>
              <w:spacing w:after="0"/>
              <w:ind w:left="108"/>
            </w:pPr>
            <w:r>
              <w:rPr>
                <w:rFonts w:ascii="Times New Roman" w:eastAsia="Times New Roman" w:hAnsi="Times New Roman" w:cs="Times New Roman"/>
              </w:rPr>
              <w:t xml:space="preserve">Нормальный </w:t>
            </w:r>
          </w:p>
        </w:tc>
        <w:tc>
          <w:tcPr>
            <w:tcW w:w="212" w:type="dxa"/>
            <w:tcBorders>
              <w:top w:val="single" w:sz="4" w:space="0" w:color="000000"/>
              <w:left w:val="nil"/>
              <w:bottom w:val="single" w:sz="4" w:space="0" w:color="000000"/>
              <w:right w:val="single" w:sz="4" w:space="0" w:color="000000"/>
            </w:tcBorders>
          </w:tcPr>
          <w:p w:rsidR="005A3F38" w:rsidRDefault="005A3F38"/>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6"/>
            </w:pPr>
            <w:r>
              <w:rPr>
                <w:rFonts w:ascii="Times New Roman" w:eastAsia="Times New Roman" w:hAnsi="Times New Roman" w:cs="Times New Roman"/>
              </w:rPr>
              <w:t xml:space="preserve">Жажда, беспокойство, раздражительность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Вялость, сонливость, слабость </w:t>
            </w:r>
          </w:p>
        </w:tc>
      </w:tr>
      <w:tr w:rsidR="005A3F38">
        <w:trPr>
          <w:trHeight w:val="2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Глаза </w:t>
            </w:r>
          </w:p>
        </w:tc>
        <w:tc>
          <w:tcPr>
            <w:tcW w:w="2126" w:type="dxa"/>
            <w:tcBorders>
              <w:top w:val="single" w:sz="4" w:space="0" w:color="000000"/>
              <w:left w:val="single" w:sz="4" w:space="0" w:color="000000"/>
              <w:bottom w:val="single" w:sz="4" w:space="0" w:color="000000"/>
              <w:right w:val="nil"/>
            </w:tcBorders>
          </w:tcPr>
          <w:p w:rsidR="005A3F38" w:rsidRDefault="003114B5">
            <w:pPr>
              <w:spacing w:after="0"/>
              <w:ind w:left="108"/>
            </w:pPr>
            <w:r>
              <w:rPr>
                <w:rFonts w:ascii="Times New Roman" w:eastAsia="Times New Roman" w:hAnsi="Times New Roman" w:cs="Times New Roman"/>
              </w:rPr>
              <w:t xml:space="preserve">Нормальные  </w:t>
            </w:r>
          </w:p>
        </w:tc>
        <w:tc>
          <w:tcPr>
            <w:tcW w:w="212" w:type="dxa"/>
            <w:tcBorders>
              <w:top w:val="single" w:sz="4" w:space="0" w:color="000000"/>
              <w:left w:val="nil"/>
              <w:bottom w:val="single" w:sz="4" w:space="0" w:color="000000"/>
              <w:right w:val="single" w:sz="4" w:space="0" w:color="000000"/>
            </w:tcBorders>
          </w:tcPr>
          <w:p w:rsidR="005A3F38" w:rsidRDefault="005A3F38"/>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6"/>
            </w:pPr>
            <w:r>
              <w:rPr>
                <w:rFonts w:ascii="Times New Roman" w:eastAsia="Times New Roman" w:hAnsi="Times New Roman" w:cs="Times New Roman"/>
              </w:rPr>
              <w:t xml:space="preserve">Слегка запавшие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Запавшие </w:t>
            </w:r>
          </w:p>
        </w:tc>
      </w:tr>
      <w:tr w:rsidR="005A3F38">
        <w:trPr>
          <w:trHeight w:val="264"/>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Слизистые оболочки  </w:t>
            </w:r>
          </w:p>
        </w:tc>
        <w:tc>
          <w:tcPr>
            <w:tcW w:w="2126" w:type="dxa"/>
            <w:tcBorders>
              <w:top w:val="single" w:sz="4" w:space="0" w:color="000000"/>
              <w:left w:val="single" w:sz="4" w:space="0" w:color="000000"/>
              <w:bottom w:val="single" w:sz="4" w:space="0" w:color="000000"/>
              <w:right w:val="nil"/>
            </w:tcBorders>
          </w:tcPr>
          <w:p w:rsidR="005A3F38" w:rsidRDefault="003114B5">
            <w:pPr>
              <w:spacing w:after="0"/>
              <w:ind w:left="108"/>
            </w:pPr>
            <w:r>
              <w:rPr>
                <w:rFonts w:ascii="Times New Roman" w:eastAsia="Times New Roman" w:hAnsi="Times New Roman" w:cs="Times New Roman"/>
              </w:rPr>
              <w:t xml:space="preserve">Влажные  </w:t>
            </w:r>
          </w:p>
        </w:tc>
        <w:tc>
          <w:tcPr>
            <w:tcW w:w="212" w:type="dxa"/>
            <w:tcBorders>
              <w:top w:val="single" w:sz="4" w:space="0" w:color="000000"/>
              <w:left w:val="nil"/>
              <w:bottom w:val="single" w:sz="4" w:space="0" w:color="000000"/>
              <w:right w:val="single" w:sz="4" w:space="0" w:color="000000"/>
            </w:tcBorders>
          </w:tcPr>
          <w:p w:rsidR="005A3F38" w:rsidRDefault="005A3F38"/>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6"/>
            </w:pPr>
            <w:r>
              <w:rPr>
                <w:rFonts w:ascii="Times New Roman" w:eastAsia="Times New Roman" w:hAnsi="Times New Roman" w:cs="Times New Roman"/>
              </w:rPr>
              <w:t xml:space="preserve">Липкие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Сухие </w:t>
            </w:r>
          </w:p>
        </w:tc>
      </w:tr>
      <w:tr w:rsidR="005A3F38">
        <w:trPr>
          <w:trHeight w:val="516"/>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Слезы  </w:t>
            </w:r>
          </w:p>
        </w:tc>
        <w:tc>
          <w:tcPr>
            <w:tcW w:w="2126" w:type="dxa"/>
            <w:tcBorders>
              <w:top w:val="single" w:sz="4" w:space="0" w:color="000000"/>
              <w:left w:val="single" w:sz="4" w:space="0" w:color="000000"/>
              <w:bottom w:val="single" w:sz="4" w:space="0" w:color="000000"/>
              <w:right w:val="nil"/>
            </w:tcBorders>
          </w:tcPr>
          <w:p w:rsidR="005A3F38" w:rsidRDefault="003114B5">
            <w:pPr>
              <w:spacing w:after="0"/>
              <w:ind w:left="108"/>
            </w:pPr>
            <w:r>
              <w:rPr>
                <w:rFonts w:ascii="Times New Roman" w:eastAsia="Times New Roman" w:hAnsi="Times New Roman" w:cs="Times New Roman"/>
              </w:rPr>
              <w:t xml:space="preserve">Слезоотделение норме  </w:t>
            </w:r>
          </w:p>
        </w:tc>
        <w:tc>
          <w:tcPr>
            <w:tcW w:w="212" w:type="dxa"/>
            <w:tcBorders>
              <w:top w:val="single" w:sz="4" w:space="0" w:color="000000"/>
              <w:left w:val="nil"/>
              <w:bottom w:val="single" w:sz="4" w:space="0" w:color="000000"/>
              <w:right w:val="single" w:sz="4" w:space="0" w:color="000000"/>
            </w:tcBorders>
          </w:tcPr>
          <w:p w:rsidR="005A3F38" w:rsidRDefault="003114B5">
            <w:pPr>
              <w:spacing w:after="0"/>
              <w:jc w:val="both"/>
            </w:pPr>
            <w:r>
              <w:rPr>
                <w:rFonts w:ascii="Times New Roman" w:eastAsia="Times New Roman" w:hAnsi="Times New Roman" w:cs="Times New Roman"/>
              </w:rPr>
              <w:t xml:space="preserve">в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6"/>
            </w:pPr>
            <w:r>
              <w:rPr>
                <w:rFonts w:ascii="Times New Roman" w:eastAsia="Times New Roman" w:hAnsi="Times New Roman" w:cs="Times New Roman"/>
              </w:rPr>
              <w:t xml:space="preserve">Слезоотделение снижено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08"/>
            </w:pPr>
            <w:r>
              <w:rPr>
                <w:rFonts w:ascii="Times New Roman" w:eastAsia="Times New Roman" w:hAnsi="Times New Roman" w:cs="Times New Roman"/>
              </w:rPr>
              <w:t xml:space="preserve">Слезы отсутствуют </w:t>
            </w:r>
          </w:p>
        </w:tc>
      </w:tr>
    </w:tbl>
    <w:p w:rsidR="005A3F38" w:rsidRDefault="003114B5">
      <w:pPr>
        <w:spacing w:after="187" w:line="248" w:lineRule="auto"/>
        <w:ind w:left="-5" w:hanging="10"/>
        <w:jc w:val="both"/>
      </w:pPr>
      <w:r>
        <w:rPr>
          <w:rFonts w:ascii="Times New Roman" w:eastAsia="Times New Roman" w:hAnsi="Times New Roman" w:cs="Times New Roman"/>
          <w:b/>
        </w:rPr>
        <w:t>Ключ (интерпретация):</w:t>
      </w:r>
      <w:r>
        <w:rPr>
          <w:rFonts w:ascii="Times New Roman" w:eastAsia="Times New Roman" w:hAnsi="Times New Roman" w:cs="Times New Roman"/>
        </w:rPr>
        <w:t xml:space="preserve"> 0 баллов – дегидратация отсутствует; от 1 до 4 баллов – легкая дегидратация, 5–8 баллов соответствуют дегидратации средней и тяжелой степени тяжести</w:t>
      </w:r>
      <w:r>
        <w:rPr>
          <w:rFonts w:ascii="Times New Roman" w:eastAsia="Times New Roman" w:hAnsi="Times New Roman" w:cs="Times New Roman"/>
          <w:b/>
        </w:rPr>
        <w:t xml:space="preserve"> </w:t>
      </w:r>
    </w:p>
    <w:p w:rsidR="005A3F38" w:rsidRDefault="003114B5">
      <w:pPr>
        <w:spacing w:after="16" w:line="249" w:lineRule="auto"/>
        <w:ind w:left="10" w:hanging="10"/>
      </w:pPr>
      <w:r>
        <w:rPr>
          <w:rFonts w:ascii="Times New Roman" w:eastAsia="Times New Roman" w:hAnsi="Times New Roman" w:cs="Times New Roman"/>
          <w:b/>
          <w:sz w:val="24"/>
        </w:rPr>
        <w:t>Пояснения:</w:t>
      </w:r>
      <w:r>
        <w:rPr>
          <w:rFonts w:ascii="Times New Roman" w:eastAsia="Times New Roman" w:hAnsi="Times New Roman" w:cs="Times New Roman"/>
          <w:sz w:val="24"/>
        </w:rPr>
        <w:t xml:space="preserve"> нет. </w:t>
      </w:r>
    </w:p>
    <w:p w:rsidR="005A3F38" w:rsidRDefault="003114B5">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rsidR="005A3F38" w:rsidRDefault="003114B5">
      <w:pPr>
        <w:spacing w:after="254"/>
      </w:pPr>
      <w:r>
        <w:rPr>
          <w:rFonts w:ascii="Times New Roman" w:eastAsia="Times New Roman" w:hAnsi="Times New Roman" w:cs="Times New Roman"/>
          <w:sz w:val="24"/>
        </w:rPr>
        <w:t xml:space="preserve"> </w:t>
      </w:r>
    </w:p>
    <w:p w:rsidR="005A3F38" w:rsidRDefault="003114B5">
      <w:pPr>
        <w:spacing w:after="78"/>
      </w:pPr>
      <w:r>
        <w:rPr>
          <w:rFonts w:ascii="Times New Roman" w:eastAsia="Times New Roman" w:hAnsi="Times New Roman" w:cs="Times New Roman"/>
          <w:b/>
          <w:sz w:val="28"/>
        </w:rPr>
        <w:t xml:space="preserve">Приложение Г2. </w:t>
      </w:r>
      <w:r>
        <w:rPr>
          <w:rFonts w:ascii="Times New Roman" w:eastAsia="Times New Roman" w:hAnsi="Times New Roman" w:cs="Times New Roman"/>
          <w:b/>
          <w:sz w:val="28"/>
        </w:rPr>
        <w:t xml:space="preserve">Оценка PAT (Pediatric Assessment Triangle) </w:t>
      </w:r>
    </w:p>
    <w:p w:rsidR="005A3F38" w:rsidRDefault="003114B5">
      <w:pPr>
        <w:spacing w:after="170" w:line="248" w:lineRule="auto"/>
        <w:ind w:left="-5" w:hanging="10"/>
        <w:jc w:val="both"/>
      </w:pPr>
      <w:r>
        <w:rPr>
          <w:rFonts w:ascii="Times New Roman" w:eastAsia="Times New Roman" w:hAnsi="Times New Roman" w:cs="Times New Roman"/>
          <w:b/>
        </w:rPr>
        <w:t xml:space="preserve">Название на русском языке: </w:t>
      </w:r>
      <w:r>
        <w:rPr>
          <w:rFonts w:ascii="Times New Roman" w:eastAsia="Times New Roman" w:hAnsi="Times New Roman" w:cs="Times New Roman"/>
        </w:rPr>
        <w:t xml:space="preserve">педиатрический триаж (медицинская сортировка) </w:t>
      </w:r>
    </w:p>
    <w:p w:rsidR="005A3F38" w:rsidRDefault="003114B5">
      <w:pPr>
        <w:spacing w:line="257" w:lineRule="auto"/>
        <w:ind w:left="-5" w:hanging="10"/>
        <w:jc w:val="both"/>
      </w:pPr>
      <w:r>
        <w:rPr>
          <w:rFonts w:ascii="Times New Roman" w:eastAsia="Times New Roman" w:hAnsi="Times New Roman" w:cs="Times New Roman"/>
          <w:b/>
        </w:rPr>
        <w:t>Оригинальное название (если есть):</w:t>
      </w:r>
      <w:r>
        <w:rPr>
          <w:rFonts w:ascii="Times New Roman" w:eastAsia="Times New Roman" w:hAnsi="Times New Roman" w:cs="Times New Roman"/>
        </w:rPr>
        <w:t xml:space="preserve"> PAT (Pediatric Assessment Triangle) </w:t>
      </w:r>
    </w:p>
    <w:p w:rsidR="005A3F38" w:rsidRDefault="003114B5">
      <w:pPr>
        <w:spacing w:after="0"/>
        <w:ind w:left="-5" w:hanging="10"/>
      </w:pPr>
      <w:r>
        <w:rPr>
          <w:rFonts w:ascii="Times New Roman" w:eastAsia="Times New Roman" w:hAnsi="Times New Roman" w:cs="Times New Roman"/>
          <w:b/>
        </w:rPr>
        <w:t>Источник (официальный сайт разработчиков, публикация с валидацией</w:t>
      </w:r>
      <w:r>
        <w:rPr>
          <w:rFonts w:ascii="Times New Roman" w:eastAsia="Times New Roman" w:hAnsi="Times New Roman" w:cs="Times New Roman"/>
          <w:b/>
        </w:rPr>
        <w:t>):</w:t>
      </w:r>
      <w:r>
        <w:rPr>
          <w:rFonts w:ascii="Times New Roman" w:eastAsia="Times New Roman" w:hAnsi="Times New Roman" w:cs="Times New Roman"/>
        </w:rPr>
        <w:t xml:space="preserve"> Dieckmann R. A., Brownstein </w:t>
      </w:r>
    </w:p>
    <w:p w:rsidR="005A3F38" w:rsidRDefault="003114B5">
      <w:pPr>
        <w:spacing w:line="257" w:lineRule="auto"/>
        <w:ind w:left="-5" w:hanging="10"/>
        <w:jc w:val="both"/>
      </w:pPr>
      <w:r>
        <w:rPr>
          <w:rFonts w:ascii="Times New Roman" w:eastAsia="Times New Roman" w:hAnsi="Times New Roman" w:cs="Times New Roman"/>
        </w:rPr>
        <w:t xml:space="preserve">D., Gausche-Hill M. The Pediatric Assessment Triangle: a novel approach for the rapid evaluation of children // Pediatric Education for Prehospital Professionals: PEPP Textbook. 2nd ed. Sudbury: Jones &amp; Bartlett Publishers, </w:t>
      </w:r>
      <w:r>
        <w:rPr>
          <w:rFonts w:ascii="Times New Roman" w:eastAsia="Times New Roman" w:hAnsi="Times New Roman" w:cs="Times New Roman"/>
        </w:rPr>
        <w:t>2006, Fernández A., Ares M. I., Garcia S., Martinez-Indart L., Mintegi S., Benito J. The validity of the pediatric assessment triangle as the first step in the triage process in a pediatric emergency department // Pediatric Emergency Care. 2017. Vol. 33, N</w:t>
      </w:r>
      <w:r>
        <w:rPr>
          <w:rFonts w:ascii="Times New Roman" w:eastAsia="Times New Roman" w:hAnsi="Times New Roman" w:cs="Times New Roman"/>
        </w:rPr>
        <w:t>o. 4. P. 234–238. https://doi.org/10.1097/PEC.0000000000000717, Ma X., Liu Y., Du M., Ojo O., Huang L., Feng X., et al. The accuracy of the pediatric assessment triangle in assessing triage of critically ill patients in emergency pediatric department // In</w:t>
      </w:r>
      <w:r>
        <w:rPr>
          <w:rFonts w:ascii="Times New Roman" w:eastAsia="Times New Roman" w:hAnsi="Times New Roman" w:cs="Times New Roman"/>
        </w:rPr>
        <w:t xml:space="preserve">ternational Emergency Nursing. 2021. Vol. 58. P. 101041. https://doi.org/10.1016/j.ienj.2021.101041 </w:t>
      </w:r>
    </w:p>
    <w:p w:rsidR="005A3F38" w:rsidRDefault="003114B5">
      <w:pPr>
        <w:spacing w:line="257" w:lineRule="auto"/>
        <w:ind w:left="-5" w:hanging="10"/>
        <w:jc w:val="both"/>
      </w:pPr>
      <w:r>
        <w:rPr>
          <w:rFonts w:ascii="Times New Roman" w:eastAsia="Times New Roman" w:hAnsi="Times New Roman" w:cs="Times New Roman"/>
        </w:rPr>
        <w:t>Zhu S., Wu Y., Yu B., Shen B., Fang L., Li B., Xiang L. Clinical validity of the pediatric assessment triangle in a pediatric emergency department // Front</w:t>
      </w:r>
      <w:r>
        <w:rPr>
          <w:rFonts w:ascii="Times New Roman" w:eastAsia="Times New Roman" w:hAnsi="Times New Roman" w:cs="Times New Roman"/>
        </w:rPr>
        <w:t xml:space="preserve">iers in Pediatrics. 2025. Vol. 13. Art. 1435604. https://doi.org/10.3389/fped.2025.1435604 </w:t>
      </w:r>
    </w:p>
    <w:p w:rsidR="005A3F38" w:rsidRDefault="003114B5">
      <w:pPr>
        <w:spacing w:after="2" w:line="257" w:lineRule="auto"/>
        <w:ind w:left="-5" w:hanging="10"/>
        <w:jc w:val="both"/>
      </w:pPr>
      <w:r>
        <w:rPr>
          <w:rFonts w:ascii="Times New Roman" w:eastAsia="Times New Roman" w:hAnsi="Times New Roman" w:cs="Times New Roman"/>
        </w:rPr>
        <w:t xml:space="preserve">Prehospital Pediatric Assessment Triangle—Real World Data // Prehospital Emergency Care. 2025. Vol. 29, No. 1. </w:t>
      </w:r>
    </w:p>
    <w:p w:rsidR="005A3F38" w:rsidRDefault="003114B5">
      <w:pPr>
        <w:spacing w:line="257" w:lineRule="auto"/>
        <w:ind w:left="-5" w:hanging="10"/>
        <w:jc w:val="both"/>
      </w:pPr>
      <w:r>
        <w:rPr>
          <w:rFonts w:ascii="Times New Roman" w:eastAsia="Times New Roman" w:hAnsi="Times New Roman" w:cs="Times New Roman"/>
        </w:rPr>
        <w:t>(Online first). https://doi.org/10.1080/10903127.202</w:t>
      </w:r>
      <w:r>
        <w:rPr>
          <w:rFonts w:ascii="Times New Roman" w:eastAsia="Times New Roman" w:hAnsi="Times New Roman" w:cs="Times New Roman"/>
        </w:rPr>
        <w:t xml:space="preserve">5.2581753 </w:t>
      </w:r>
    </w:p>
    <w:p w:rsidR="005A3F38" w:rsidRDefault="003114B5">
      <w:pPr>
        <w:spacing w:after="158"/>
        <w:ind w:left="-5" w:hanging="10"/>
      </w:pPr>
      <w:r>
        <w:rPr>
          <w:rFonts w:ascii="Times New Roman" w:eastAsia="Times New Roman" w:hAnsi="Times New Roman" w:cs="Times New Roman"/>
          <w:b/>
        </w:rPr>
        <w:t>Тип (подчеркнуть):</w:t>
      </w:r>
      <w:r>
        <w:rPr>
          <w:rFonts w:ascii="Times New Roman" w:eastAsia="Times New Roman" w:hAnsi="Times New Roman" w:cs="Times New Roman"/>
        </w:rPr>
        <w:t xml:space="preserve"> - шкала оценки </w:t>
      </w:r>
    </w:p>
    <w:p w:rsidR="005A3F38" w:rsidRDefault="003114B5">
      <w:pPr>
        <w:spacing w:after="161" w:line="248" w:lineRule="auto"/>
        <w:ind w:left="-5" w:hanging="10"/>
        <w:jc w:val="both"/>
      </w:pPr>
      <w:r>
        <w:rPr>
          <w:rFonts w:ascii="Times New Roman" w:eastAsia="Times New Roman" w:hAnsi="Times New Roman" w:cs="Times New Roman"/>
          <w:b/>
        </w:rPr>
        <w:t>Назначение:</w:t>
      </w:r>
      <w:r>
        <w:rPr>
          <w:rFonts w:ascii="Times New Roman" w:eastAsia="Times New Roman" w:hAnsi="Times New Roman" w:cs="Times New Roman"/>
        </w:rPr>
        <w:t xml:space="preserve"> - быстрая визуальная оценка ребенка за 30–60 секунд по трём блокам: внешний вид, дыхание и кожные покровы, которая позволяет решить, есть ли угрозa жизни и каков приоритет помощи. Используется на до</w:t>
      </w:r>
      <w:r>
        <w:rPr>
          <w:rFonts w:ascii="Times New Roman" w:eastAsia="Times New Roman" w:hAnsi="Times New Roman" w:cs="Times New Roman"/>
        </w:rPr>
        <w:t xml:space="preserve">госпитальном этапе, отделении скорой медицинской помощи и приёмном отделении, как основа медицинской сортировки (триажа) до проведения инструментальных исследований  </w:t>
      </w:r>
      <w:r>
        <w:rPr>
          <w:rFonts w:ascii="Times New Roman" w:eastAsia="Times New Roman" w:hAnsi="Times New Roman" w:cs="Times New Roman"/>
          <w:b/>
        </w:rPr>
        <w:t xml:space="preserve">Содержание (шаблон):  </w:t>
      </w:r>
    </w:p>
    <w:p w:rsidR="005A3F38" w:rsidRDefault="003114B5">
      <w:pPr>
        <w:spacing w:after="0"/>
      </w:pPr>
      <w:r>
        <w:rPr>
          <w:rFonts w:ascii="Times New Roman" w:eastAsia="Times New Roman" w:hAnsi="Times New Roman" w:cs="Times New Roman"/>
        </w:rPr>
        <w:t xml:space="preserve"> </w:t>
      </w:r>
    </w:p>
    <w:tbl>
      <w:tblPr>
        <w:tblStyle w:val="TableGrid"/>
        <w:tblW w:w="10194" w:type="dxa"/>
        <w:tblInd w:w="6" w:type="dxa"/>
        <w:tblCellMar>
          <w:top w:w="54" w:type="dxa"/>
          <w:left w:w="107" w:type="dxa"/>
          <w:bottom w:w="0" w:type="dxa"/>
          <w:right w:w="115" w:type="dxa"/>
        </w:tblCellMar>
        <w:tblLook w:val="04A0" w:firstRow="1" w:lastRow="0" w:firstColumn="1" w:lastColumn="0" w:noHBand="0" w:noVBand="1"/>
      </w:tblPr>
      <w:tblGrid>
        <w:gridCol w:w="2066"/>
        <w:gridCol w:w="3992"/>
        <w:gridCol w:w="4136"/>
      </w:tblGrid>
      <w:tr w:rsidR="005A3F38">
        <w:trPr>
          <w:trHeight w:val="273"/>
        </w:trPr>
        <w:tc>
          <w:tcPr>
            <w:tcW w:w="2066" w:type="dxa"/>
            <w:tcBorders>
              <w:top w:val="single" w:sz="4" w:space="0" w:color="000000"/>
              <w:left w:val="single" w:sz="4" w:space="0" w:color="000000"/>
              <w:bottom w:val="single" w:sz="4" w:space="0" w:color="000000"/>
              <w:right w:val="single" w:sz="4" w:space="0" w:color="000000"/>
            </w:tcBorders>
            <w:shd w:val="clear" w:color="auto" w:fill="AEAAAA"/>
          </w:tcPr>
          <w:p w:rsidR="005A3F38" w:rsidRDefault="003114B5">
            <w:pPr>
              <w:spacing w:after="0"/>
              <w:ind w:left="4"/>
              <w:jc w:val="center"/>
            </w:pPr>
            <w:r>
              <w:rPr>
                <w:rFonts w:ascii="Times New Roman" w:eastAsia="Times New Roman" w:hAnsi="Times New Roman" w:cs="Times New Roman"/>
                <w:sz w:val="20"/>
              </w:rPr>
              <w:t xml:space="preserve">Компонент PAT </w:t>
            </w:r>
          </w:p>
        </w:tc>
        <w:tc>
          <w:tcPr>
            <w:tcW w:w="3992" w:type="dxa"/>
            <w:tcBorders>
              <w:top w:val="single" w:sz="4" w:space="0" w:color="000000"/>
              <w:left w:val="single" w:sz="4" w:space="0" w:color="000000"/>
              <w:bottom w:val="single" w:sz="4" w:space="0" w:color="000000"/>
              <w:right w:val="single" w:sz="4" w:space="0" w:color="000000"/>
            </w:tcBorders>
            <w:shd w:val="clear" w:color="auto" w:fill="AEAAAA"/>
          </w:tcPr>
          <w:p w:rsidR="005A3F38" w:rsidRDefault="003114B5">
            <w:pPr>
              <w:spacing w:after="0"/>
              <w:ind w:left="8"/>
              <w:jc w:val="center"/>
            </w:pPr>
            <w:r>
              <w:rPr>
                <w:rFonts w:ascii="Times New Roman" w:eastAsia="Times New Roman" w:hAnsi="Times New Roman" w:cs="Times New Roman"/>
                <w:sz w:val="20"/>
              </w:rPr>
              <w:t xml:space="preserve">Норма </w:t>
            </w:r>
          </w:p>
        </w:tc>
        <w:tc>
          <w:tcPr>
            <w:tcW w:w="4136" w:type="dxa"/>
            <w:tcBorders>
              <w:top w:val="single" w:sz="4" w:space="0" w:color="000000"/>
              <w:left w:val="single" w:sz="4" w:space="0" w:color="000000"/>
              <w:bottom w:val="single" w:sz="4" w:space="0" w:color="000000"/>
              <w:right w:val="single" w:sz="4" w:space="0" w:color="000000"/>
            </w:tcBorders>
            <w:shd w:val="clear" w:color="auto" w:fill="AEAAAA"/>
          </w:tcPr>
          <w:p w:rsidR="005A3F38" w:rsidRDefault="003114B5">
            <w:pPr>
              <w:spacing w:after="0"/>
              <w:ind w:left="6"/>
              <w:jc w:val="center"/>
            </w:pPr>
            <w:r>
              <w:rPr>
                <w:rFonts w:ascii="Times New Roman" w:eastAsia="Times New Roman" w:hAnsi="Times New Roman" w:cs="Times New Roman"/>
                <w:sz w:val="20"/>
              </w:rPr>
              <w:t xml:space="preserve">Патология </w:t>
            </w:r>
          </w:p>
        </w:tc>
      </w:tr>
      <w:tr w:rsidR="005A3F38">
        <w:trPr>
          <w:trHeight w:val="1069"/>
        </w:trPr>
        <w:tc>
          <w:tcPr>
            <w:tcW w:w="206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Внешний вид </w:t>
            </w:r>
          </w:p>
        </w:tc>
        <w:tc>
          <w:tcPr>
            <w:tcW w:w="399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
            </w:pPr>
            <w:r>
              <w:rPr>
                <w:rFonts w:ascii="Times New Roman" w:eastAsia="Times New Roman" w:hAnsi="Times New Roman" w:cs="Times New Roman"/>
                <w:sz w:val="20"/>
              </w:rPr>
              <w:t xml:space="preserve">Активный, хороший тонус, реагирует на осмотр, легко утешается, взгляд живой, громкий адекватный плач/речь. </w:t>
            </w:r>
          </w:p>
        </w:tc>
        <w:tc>
          <w:tcPr>
            <w:tcW w:w="41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
            </w:pPr>
            <w:r>
              <w:rPr>
                <w:rFonts w:ascii="Times New Roman" w:eastAsia="Times New Roman" w:hAnsi="Times New Roman" w:cs="Times New Roman"/>
                <w:sz w:val="20"/>
              </w:rPr>
              <w:t xml:space="preserve">Вялый или возбужденный, гипо-/гипертонус, плохой контакт, неутешаемость, пустой или «бегающий» взгляд, слабый/стонущий плач, дезориентация. </w:t>
            </w:r>
          </w:p>
        </w:tc>
      </w:tr>
      <w:tr w:rsidR="005A3F38">
        <w:trPr>
          <w:trHeight w:val="1068"/>
        </w:trPr>
        <w:tc>
          <w:tcPr>
            <w:tcW w:w="206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 xml:space="preserve">Оценка дыхания </w:t>
            </w:r>
          </w:p>
        </w:tc>
        <w:tc>
          <w:tcPr>
            <w:tcW w:w="3992"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
            </w:pPr>
            <w:r>
              <w:rPr>
                <w:rFonts w:ascii="Times New Roman" w:eastAsia="Times New Roman" w:hAnsi="Times New Roman" w:cs="Times New Roman"/>
                <w:sz w:val="20"/>
              </w:rPr>
              <w:t xml:space="preserve">Частота дыхания в возрастной норме, дыхание бесшумное, без втяжений межреберий и крыльев носа. </w:t>
            </w:r>
          </w:p>
        </w:tc>
        <w:tc>
          <w:tcPr>
            <w:tcW w:w="41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1"/>
            </w:pPr>
            <w:r>
              <w:rPr>
                <w:rFonts w:ascii="Times New Roman" w:eastAsia="Times New Roman" w:hAnsi="Times New Roman" w:cs="Times New Roman"/>
                <w:sz w:val="20"/>
              </w:rPr>
              <w:t xml:space="preserve">Тахипноэ или брадипноэ, втяжения, участие вспомогательной мускулатуры, стонущее дыхание, свистящее дыхание, вынужденная поза, апноэ. </w:t>
            </w:r>
          </w:p>
        </w:tc>
      </w:tr>
      <w:tr w:rsidR="005A3F38">
        <w:trPr>
          <w:trHeight w:val="1068"/>
        </w:trPr>
        <w:tc>
          <w:tcPr>
            <w:tcW w:w="206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0"/>
              </w:rPr>
              <w:t>Оценка ко</w:t>
            </w:r>
            <w:r>
              <w:rPr>
                <w:rFonts w:ascii="Times New Roman" w:eastAsia="Times New Roman" w:hAnsi="Times New Roman" w:cs="Times New Roman"/>
                <w:sz w:val="20"/>
              </w:rPr>
              <w:t xml:space="preserve">жных покровов </w:t>
            </w:r>
          </w:p>
        </w:tc>
        <w:tc>
          <w:tcPr>
            <w:tcW w:w="3992"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75" w:lineRule="auto"/>
              <w:ind w:left="1"/>
            </w:pPr>
            <w:r>
              <w:rPr>
                <w:rFonts w:ascii="Times New Roman" w:eastAsia="Times New Roman" w:hAnsi="Times New Roman" w:cs="Times New Roman"/>
                <w:sz w:val="20"/>
              </w:rPr>
              <w:t xml:space="preserve">Розовая кожа, тёплая, без мраморности и цианоза. </w:t>
            </w:r>
          </w:p>
          <w:p w:rsidR="005A3F38" w:rsidRDefault="003114B5">
            <w:pPr>
              <w:spacing w:after="0"/>
              <w:ind w:left="1"/>
            </w:pPr>
            <w:r>
              <w:rPr>
                <w:rFonts w:ascii="Times New Roman" w:eastAsia="Times New Roman" w:hAnsi="Times New Roman" w:cs="Times New Roman"/>
                <w:sz w:val="20"/>
              </w:rPr>
              <w:t xml:space="preserve"> </w:t>
            </w:r>
          </w:p>
        </w:tc>
        <w:tc>
          <w:tcPr>
            <w:tcW w:w="4136"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75" w:lineRule="auto"/>
              <w:ind w:left="1"/>
            </w:pPr>
            <w:r>
              <w:rPr>
                <w:rFonts w:ascii="Times New Roman" w:eastAsia="Times New Roman" w:hAnsi="Times New Roman" w:cs="Times New Roman"/>
                <w:sz w:val="20"/>
              </w:rPr>
              <w:t xml:space="preserve">Бледность, мраморность, акро-/центральный цианоз, пятнистая кожа, холодные конечности, признаки шока. </w:t>
            </w:r>
          </w:p>
          <w:p w:rsidR="005A3F38" w:rsidRDefault="003114B5">
            <w:pPr>
              <w:spacing w:after="0"/>
              <w:ind w:left="1"/>
            </w:pPr>
            <w:r>
              <w:rPr>
                <w:rFonts w:ascii="Times New Roman" w:eastAsia="Times New Roman" w:hAnsi="Times New Roman" w:cs="Times New Roman"/>
                <w:sz w:val="20"/>
              </w:rPr>
              <w:t xml:space="preserve"> </w:t>
            </w:r>
          </w:p>
        </w:tc>
      </w:tr>
    </w:tbl>
    <w:p w:rsidR="005A3F38" w:rsidRDefault="003114B5">
      <w:pPr>
        <w:spacing w:after="178"/>
      </w:pPr>
      <w:r>
        <w:rPr>
          <w:rFonts w:ascii="Times New Roman" w:eastAsia="Times New Roman" w:hAnsi="Times New Roman" w:cs="Times New Roman"/>
          <w:b/>
        </w:rPr>
        <w:t xml:space="preserve"> </w:t>
      </w:r>
    </w:p>
    <w:p w:rsidR="005A3F38" w:rsidRDefault="003114B5">
      <w:pPr>
        <w:spacing w:after="230"/>
        <w:ind w:left="-5" w:hanging="10"/>
      </w:pPr>
      <w:r>
        <w:rPr>
          <w:rFonts w:ascii="Times New Roman" w:eastAsia="Times New Roman" w:hAnsi="Times New Roman" w:cs="Times New Roman"/>
          <w:b/>
        </w:rPr>
        <w:t xml:space="preserve">Ключ (интерпретация): </w:t>
      </w:r>
    </w:p>
    <w:p w:rsidR="005A3F38" w:rsidRDefault="003114B5">
      <w:pPr>
        <w:spacing w:after="0"/>
      </w:pPr>
      <w:r>
        <w:rPr>
          <w:rFonts w:ascii="Times New Roman" w:eastAsia="Times New Roman" w:hAnsi="Times New Roman" w:cs="Times New Roman"/>
          <w:sz w:val="28"/>
        </w:rPr>
        <w:t xml:space="preserve"> </w:t>
      </w:r>
    </w:p>
    <w:tbl>
      <w:tblPr>
        <w:tblStyle w:val="TableGrid"/>
        <w:tblW w:w="10194" w:type="dxa"/>
        <w:tblInd w:w="6" w:type="dxa"/>
        <w:tblCellMar>
          <w:top w:w="55" w:type="dxa"/>
          <w:left w:w="106" w:type="dxa"/>
          <w:bottom w:w="0" w:type="dxa"/>
          <w:right w:w="53" w:type="dxa"/>
        </w:tblCellMar>
        <w:tblLook w:val="04A0" w:firstRow="1" w:lastRow="0" w:firstColumn="1" w:lastColumn="0" w:noHBand="0" w:noVBand="1"/>
      </w:tblPr>
      <w:tblGrid>
        <w:gridCol w:w="1"/>
        <w:gridCol w:w="423"/>
        <w:gridCol w:w="1"/>
        <w:gridCol w:w="2243"/>
        <w:gridCol w:w="1"/>
        <w:gridCol w:w="2847"/>
        <w:gridCol w:w="169"/>
        <w:gridCol w:w="1"/>
        <w:gridCol w:w="4507"/>
        <w:gridCol w:w="1"/>
      </w:tblGrid>
      <w:tr w:rsidR="005A3F38">
        <w:trPr>
          <w:gridBefore w:val="1"/>
          <w:trHeight w:val="1272"/>
        </w:trPr>
        <w:tc>
          <w:tcPr>
            <w:tcW w:w="424" w:type="dxa"/>
            <w:gridSpan w:val="2"/>
            <w:tcBorders>
              <w:top w:val="single" w:sz="4" w:space="0" w:color="000000"/>
              <w:left w:val="single" w:sz="4" w:space="0" w:color="000000"/>
              <w:bottom w:val="single" w:sz="4" w:space="0" w:color="000000"/>
              <w:right w:val="single" w:sz="4" w:space="0" w:color="000000"/>
            </w:tcBorders>
            <w:shd w:val="clear" w:color="auto" w:fill="D9D9D9"/>
          </w:tcPr>
          <w:p w:rsidR="005A3F38" w:rsidRDefault="003114B5">
            <w:pPr>
              <w:spacing w:after="0"/>
              <w:jc w:val="both"/>
            </w:pPr>
            <w:r>
              <w:rPr>
                <w:rFonts w:ascii="Times New Roman" w:eastAsia="Times New Roman" w:hAnsi="Times New Roman" w:cs="Times New Roman"/>
              </w:rPr>
              <w:t xml:space="preserve">№ </w:t>
            </w:r>
          </w:p>
        </w:tc>
        <w:tc>
          <w:tcPr>
            <w:tcW w:w="2244" w:type="dxa"/>
            <w:gridSpan w:val="2"/>
            <w:tcBorders>
              <w:top w:val="single" w:sz="4" w:space="0" w:color="000000"/>
              <w:left w:val="single" w:sz="4" w:space="0" w:color="000000"/>
              <w:bottom w:val="single" w:sz="4" w:space="0" w:color="000000"/>
              <w:right w:val="single" w:sz="4" w:space="0" w:color="000000"/>
            </w:tcBorders>
            <w:shd w:val="clear" w:color="auto" w:fill="D9D9D9"/>
          </w:tcPr>
          <w:p w:rsidR="005A3F38" w:rsidRDefault="003114B5">
            <w:pPr>
              <w:spacing w:after="0"/>
              <w:ind w:left="1"/>
            </w:pPr>
            <w:r>
              <w:rPr>
                <w:rFonts w:ascii="Times New Roman" w:eastAsia="Times New Roman" w:hAnsi="Times New Roman" w:cs="Times New Roman"/>
              </w:rPr>
              <w:t xml:space="preserve">Признак по PAT: </w:t>
            </w:r>
          </w:p>
          <w:p w:rsidR="005A3F38" w:rsidRDefault="003114B5">
            <w:pPr>
              <w:spacing w:after="0"/>
              <w:ind w:left="1"/>
            </w:pPr>
            <w:r>
              <w:rPr>
                <w:rFonts w:ascii="Times New Roman" w:eastAsia="Times New Roman" w:hAnsi="Times New Roman" w:cs="Times New Roman"/>
              </w:rPr>
              <w:t xml:space="preserve">А (внешний вид) </w:t>
            </w:r>
          </w:p>
          <w:p w:rsidR="005A3F38" w:rsidRDefault="003114B5">
            <w:pPr>
              <w:spacing w:after="0"/>
              <w:ind w:left="1" w:right="53"/>
              <w:jc w:val="both"/>
            </w:pPr>
            <w:r>
              <w:rPr>
                <w:rFonts w:ascii="Times New Roman" w:eastAsia="Times New Roman" w:hAnsi="Times New Roman" w:cs="Times New Roman"/>
              </w:rPr>
              <w:t xml:space="preserve">В (оценка дыхания) </w:t>
            </w:r>
            <w:r>
              <w:rPr>
                <w:rFonts w:ascii="Times New Roman" w:eastAsia="Times New Roman" w:hAnsi="Times New Roman" w:cs="Times New Roman"/>
              </w:rPr>
              <w:t xml:space="preserve">С (оценка кожных покровов) </w:t>
            </w:r>
          </w:p>
        </w:tc>
        <w:tc>
          <w:tcPr>
            <w:tcW w:w="3017" w:type="dxa"/>
            <w:gridSpan w:val="3"/>
            <w:tcBorders>
              <w:top w:val="single" w:sz="4" w:space="0" w:color="000000"/>
              <w:left w:val="single" w:sz="4" w:space="0" w:color="000000"/>
              <w:bottom w:val="single" w:sz="4" w:space="0" w:color="000000"/>
              <w:right w:val="single" w:sz="4" w:space="0" w:color="000000"/>
            </w:tcBorders>
            <w:shd w:val="clear" w:color="auto" w:fill="D9D9D9"/>
          </w:tcPr>
          <w:p w:rsidR="005A3F38" w:rsidRDefault="003114B5">
            <w:pPr>
              <w:spacing w:after="0"/>
              <w:ind w:left="1"/>
            </w:pPr>
            <w:r>
              <w:rPr>
                <w:rFonts w:ascii="Times New Roman" w:eastAsia="Times New Roman" w:hAnsi="Times New Roman" w:cs="Times New Roman"/>
              </w:rPr>
              <w:t xml:space="preserve">Патофизиологический синдром </w:t>
            </w:r>
          </w:p>
        </w:tc>
        <w:tc>
          <w:tcPr>
            <w:tcW w:w="4508" w:type="dxa"/>
            <w:gridSpan w:val="2"/>
            <w:tcBorders>
              <w:top w:val="single" w:sz="4" w:space="0" w:color="000000"/>
              <w:left w:val="single" w:sz="4" w:space="0" w:color="000000"/>
              <w:bottom w:val="single" w:sz="4" w:space="0" w:color="000000"/>
              <w:right w:val="single" w:sz="4" w:space="0" w:color="000000"/>
            </w:tcBorders>
            <w:shd w:val="clear" w:color="auto" w:fill="D9D9D9"/>
          </w:tcPr>
          <w:p w:rsidR="005A3F38" w:rsidRDefault="003114B5">
            <w:pPr>
              <w:spacing w:after="0"/>
              <w:ind w:left="2"/>
            </w:pPr>
            <w:r>
              <w:rPr>
                <w:rFonts w:ascii="Times New Roman" w:eastAsia="Times New Roman" w:hAnsi="Times New Roman" w:cs="Times New Roman"/>
              </w:rPr>
              <w:t xml:space="preserve">Интерпретация </w:t>
            </w:r>
          </w:p>
        </w:tc>
      </w:tr>
      <w:tr w:rsidR="005A3F38">
        <w:trPr>
          <w:gridAfter w:val="1"/>
          <w:trHeight w:val="1022"/>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1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right="24"/>
            </w:pPr>
            <w:r>
              <w:rPr>
                <w:rFonts w:ascii="Times New Roman" w:eastAsia="Times New Roman" w:hAnsi="Times New Roman" w:cs="Times New Roman"/>
              </w:rPr>
              <w:t xml:space="preserve">Норма–Норма– Норма </w:t>
            </w:r>
          </w:p>
        </w:tc>
        <w:tc>
          <w:tcPr>
            <w:tcW w:w="2848" w:type="dxa"/>
            <w:gridSpan w:val="2"/>
            <w:tcBorders>
              <w:top w:val="single" w:sz="4" w:space="0" w:color="000000"/>
              <w:left w:val="single" w:sz="4" w:space="0" w:color="000000"/>
              <w:bottom w:val="single" w:sz="4" w:space="0" w:color="000000"/>
              <w:right w:val="nil"/>
            </w:tcBorders>
          </w:tcPr>
          <w:p w:rsidR="005A3F38" w:rsidRDefault="003114B5">
            <w:pPr>
              <w:spacing w:after="0"/>
              <w:ind w:left="2"/>
            </w:pPr>
            <w:r>
              <w:rPr>
                <w:rFonts w:ascii="Times New Roman" w:eastAsia="Times New Roman" w:hAnsi="Times New Roman" w:cs="Times New Roman"/>
              </w:rPr>
              <w:t xml:space="preserve">Норма </w:t>
            </w:r>
          </w:p>
        </w:tc>
        <w:tc>
          <w:tcPr>
            <w:tcW w:w="169" w:type="dxa"/>
            <w:tcBorders>
              <w:top w:val="single" w:sz="4" w:space="0" w:color="000000"/>
              <w:left w:val="nil"/>
              <w:bottom w:val="single" w:sz="4" w:space="0" w:color="000000"/>
              <w:right w:val="single" w:sz="4" w:space="0" w:color="000000"/>
            </w:tcBorders>
          </w:tcPr>
          <w:p w:rsidR="005A3F38" w:rsidRDefault="005A3F38"/>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57"/>
              <w:jc w:val="both"/>
            </w:pPr>
            <w:r>
              <w:rPr>
                <w:rFonts w:ascii="Times New Roman" w:eastAsia="Times New Roman" w:hAnsi="Times New Roman" w:cs="Times New Roman"/>
              </w:rPr>
              <w:t xml:space="preserve">Ребёнок стабилен, признаков острой дыхательной/циркуляторной недостаточности нет; можно продолжать обычный ABCDE-осмотр. </w:t>
            </w:r>
          </w:p>
        </w:tc>
      </w:tr>
      <w:tr w:rsidR="005A3F38">
        <w:trPr>
          <w:gridAfter w:val="1"/>
          <w:trHeight w:val="768"/>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2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rPr>
              <w:t xml:space="preserve">Норма–Патология– Норма </w:t>
            </w:r>
          </w:p>
        </w:tc>
        <w:tc>
          <w:tcPr>
            <w:tcW w:w="2848" w:type="dxa"/>
            <w:gridSpan w:val="2"/>
            <w:tcBorders>
              <w:top w:val="single" w:sz="4" w:space="0" w:color="000000"/>
              <w:left w:val="single" w:sz="4" w:space="0" w:color="000000"/>
              <w:bottom w:val="single" w:sz="4" w:space="0" w:color="000000"/>
              <w:right w:val="nil"/>
            </w:tcBorders>
          </w:tcPr>
          <w:p w:rsidR="005A3F38" w:rsidRDefault="003114B5">
            <w:pPr>
              <w:spacing w:after="0"/>
              <w:ind w:left="2"/>
            </w:pPr>
            <w:r>
              <w:rPr>
                <w:rFonts w:ascii="Times New Roman" w:eastAsia="Times New Roman" w:hAnsi="Times New Roman" w:cs="Times New Roman"/>
              </w:rPr>
              <w:t xml:space="preserve">Дыхательная недостаточность (I) </w:t>
            </w:r>
          </w:p>
        </w:tc>
        <w:tc>
          <w:tcPr>
            <w:tcW w:w="169" w:type="dxa"/>
            <w:tcBorders>
              <w:top w:val="single" w:sz="4" w:space="0" w:color="000000"/>
              <w:left w:val="nil"/>
              <w:bottom w:val="single" w:sz="4" w:space="0" w:color="000000"/>
              <w:right w:val="single" w:sz="4" w:space="0" w:color="000000"/>
            </w:tcBorders>
          </w:tcPr>
          <w:p w:rsidR="005A3F38" w:rsidRDefault="005A3F38"/>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56"/>
              <w:jc w:val="both"/>
            </w:pPr>
            <w:r>
              <w:rPr>
                <w:rFonts w:ascii="Times New Roman" w:eastAsia="Times New Roman" w:hAnsi="Times New Roman" w:cs="Times New Roman"/>
              </w:rPr>
              <w:t xml:space="preserve">Умеренные синдромные расстройства при сохранённой перфузии и коррекции; ребенок «выглядит больным», но ещё компенсирован. </w:t>
            </w:r>
          </w:p>
        </w:tc>
      </w:tr>
      <w:tr w:rsidR="005A3F38">
        <w:trPr>
          <w:gridAfter w:val="1"/>
          <w:trHeight w:val="1022"/>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3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rPr>
              <w:t xml:space="preserve">Норма– Патология – Патология </w:t>
            </w:r>
          </w:p>
        </w:tc>
        <w:tc>
          <w:tcPr>
            <w:tcW w:w="2848" w:type="dxa"/>
            <w:gridSpan w:val="2"/>
            <w:tcBorders>
              <w:top w:val="single" w:sz="4" w:space="0" w:color="000000"/>
              <w:left w:val="single" w:sz="4" w:space="0" w:color="000000"/>
              <w:bottom w:val="single" w:sz="4" w:space="0" w:color="000000"/>
              <w:right w:val="nil"/>
            </w:tcBorders>
          </w:tcPr>
          <w:p w:rsidR="005A3F38" w:rsidRDefault="003114B5">
            <w:pPr>
              <w:spacing w:after="0"/>
              <w:ind w:left="2"/>
            </w:pPr>
            <w:r>
              <w:rPr>
                <w:rFonts w:ascii="Times New Roman" w:eastAsia="Times New Roman" w:hAnsi="Times New Roman" w:cs="Times New Roman"/>
              </w:rPr>
              <w:t xml:space="preserve">Дыхательная </w:t>
            </w:r>
          </w:p>
          <w:p w:rsidR="005A3F38" w:rsidRDefault="003114B5">
            <w:pPr>
              <w:spacing w:after="0"/>
              <w:ind w:left="2"/>
            </w:pPr>
            <w:r>
              <w:rPr>
                <w:rFonts w:ascii="Times New Roman" w:eastAsia="Times New Roman" w:hAnsi="Times New Roman" w:cs="Times New Roman"/>
              </w:rPr>
              <w:t xml:space="preserve">недостаточность (II-III) </w:t>
            </w:r>
          </w:p>
        </w:tc>
        <w:tc>
          <w:tcPr>
            <w:tcW w:w="169" w:type="dxa"/>
            <w:tcBorders>
              <w:top w:val="single" w:sz="4" w:space="0" w:color="000000"/>
              <w:left w:val="nil"/>
              <w:bottom w:val="single" w:sz="4" w:space="0" w:color="000000"/>
              <w:right w:val="single" w:sz="4" w:space="0" w:color="000000"/>
            </w:tcBorders>
          </w:tcPr>
          <w:p w:rsidR="005A3F38" w:rsidRDefault="005A3F38"/>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57"/>
              <w:jc w:val="both"/>
            </w:pPr>
            <w:r>
              <w:rPr>
                <w:rFonts w:ascii="Times New Roman" w:eastAsia="Times New Roman" w:hAnsi="Times New Roman" w:cs="Times New Roman"/>
              </w:rPr>
              <w:t xml:space="preserve">Дыхательные расстройства приводят к нарушению перфузии (цианоз/мраморность); газообмен недостаточен для поддержания циркуляции. </w:t>
            </w:r>
          </w:p>
        </w:tc>
      </w:tr>
      <w:tr w:rsidR="005A3F38">
        <w:trPr>
          <w:gridAfter w:val="1"/>
          <w:trHeight w:val="1022"/>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4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rPr>
              <w:t xml:space="preserve">Норма–Норма– Патология </w:t>
            </w:r>
          </w:p>
        </w:tc>
        <w:tc>
          <w:tcPr>
            <w:tcW w:w="2848" w:type="dxa"/>
            <w:gridSpan w:val="2"/>
            <w:tcBorders>
              <w:top w:val="single" w:sz="4" w:space="0" w:color="000000"/>
              <w:left w:val="single" w:sz="4" w:space="0" w:color="000000"/>
              <w:bottom w:val="single" w:sz="4" w:space="0" w:color="000000"/>
              <w:right w:val="nil"/>
            </w:tcBorders>
          </w:tcPr>
          <w:p w:rsidR="005A3F38" w:rsidRDefault="003114B5">
            <w:pPr>
              <w:spacing w:after="0"/>
              <w:ind w:left="2"/>
            </w:pPr>
            <w:r>
              <w:rPr>
                <w:rFonts w:ascii="Times New Roman" w:eastAsia="Times New Roman" w:hAnsi="Times New Roman" w:cs="Times New Roman"/>
              </w:rPr>
              <w:t xml:space="preserve">Компенсированный шок </w:t>
            </w:r>
          </w:p>
        </w:tc>
        <w:tc>
          <w:tcPr>
            <w:tcW w:w="169" w:type="dxa"/>
            <w:tcBorders>
              <w:top w:val="single" w:sz="4" w:space="0" w:color="000000"/>
              <w:left w:val="nil"/>
              <w:bottom w:val="single" w:sz="4" w:space="0" w:color="000000"/>
              <w:right w:val="single" w:sz="4" w:space="0" w:color="000000"/>
            </w:tcBorders>
          </w:tcPr>
          <w:p w:rsidR="005A3F38" w:rsidRDefault="005A3F38"/>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56"/>
              <w:jc w:val="both"/>
            </w:pPr>
            <w:r>
              <w:rPr>
                <w:rFonts w:ascii="Times New Roman" w:eastAsia="Times New Roman" w:hAnsi="Times New Roman" w:cs="Times New Roman"/>
              </w:rPr>
              <w:t xml:space="preserve">Признаки шока (бледность, мраморность, холодные конечности, тахикардия) при сохранённом уровне сознания и отсутствии патологии со стороны дыхательной системы. </w:t>
            </w:r>
          </w:p>
        </w:tc>
      </w:tr>
      <w:tr w:rsidR="005A3F38">
        <w:trPr>
          <w:gridAfter w:val="1"/>
          <w:trHeight w:val="768"/>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5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rPr>
              <w:t xml:space="preserve">Патология –Норма– Патология </w:t>
            </w:r>
          </w:p>
        </w:tc>
        <w:tc>
          <w:tcPr>
            <w:tcW w:w="2848" w:type="dxa"/>
            <w:gridSpan w:val="2"/>
            <w:tcBorders>
              <w:top w:val="single" w:sz="4" w:space="0" w:color="000000"/>
              <w:left w:val="single" w:sz="4" w:space="0" w:color="000000"/>
              <w:bottom w:val="single" w:sz="4" w:space="0" w:color="000000"/>
              <w:right w:val="nil"/>
            </w:tcBorders>
          </w:tcPr>
          <w:p w:rsidR="005A3F38" w:rsidRDefault="003114B5">
            <w:pPr>
              <w:spacing w:after="0"/>
              <w:ind w:left="2"/>
            </w:pPr>
            <w:r>
              <w:rPr>
                <w:rFonts w:ascii="Times New Roman" w:eastAsia="Times New Roman" w:hAnsi="Times New Roman" w:cs="Times New Roman"/>
              </w:rPr>
              <w:t xml:space="preserve">Декомпенсированный (гипотензивный) шок </w:t>
            </w:r>
          </w:p>
        </w:tc>
        <w:tc>
          <w:tcPr>
            <w:tcW w:w="169" w:type="dxa"/>
            <w:tcBorders>
              <w:top w:val="single" w:sz="4" w:space="0" w:color="000000"/>
              <w:left w:val="nil"/>
              <w:bottom w:val="single" w:sz="4" w:space="0" w:color="000000"/>
              <w:right w:val="single" w:sz="4" w:space="0" w:color="000000"/>
            </w:tcBorders>
          </w:tcPr>
          <w:p w:rsidR="005A3F38" w:rsidRDefault="005A3F38"/>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57"/>
              <w:jc w:val="both"/>
            </w:pPr>
            <w:r>
              <w:rPr>
                <w:rFonts w:ascii="Times New Roman" w:eastAsia="Times New Roman" w:hAnsi="Times New Roman" w:cs="Times New Roman"/>
              </w:rPr>
              <w:t xml:space="preserve">Патологический внешний вид (тонус снижен, вялый) + признаки шока; центральная нервная система страдает от гипоперфузии. </w:t>
            </w:r>
          </w:p>
        </w:tc>
      </w:tr>
      <w:tr w:rsidR="005A3F38">
        <w:trPr>
          <w:gridAfter w:val="1"/>
          <w:trHeight w:val="1023"/>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6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6"/>
            </w:pPr>
            <w:r>
              <w:rPr>
                <w:rFonts w:ascii="Times New Roman" w:eastAsia="Times New Roman" w:hAnsi="Times New Roman" w:cs="Times New Roman"/>
              </w:rPr>
              <w:t>Патология–Норма–</w:t>
            </w:r>
          </w:p>
          <w:p w:rsidR="005A3F38" w:rsidRDefault="003114B5">
            <w:pPr>
              <w:spacing w:after="0"/>
            </w:pPr>
            <w:r>
              <w:rPr>
                <w:rFonts w:ascii="Times New Roman" w:eastAsia="Times New Roman" w:hAnsi="Times New Roman" w:cs="Times New Roman"/>
              </w:rPr>
              <w:t xml:space="preserve">Норма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легкие изменения дыхания/кожи) </w:t>
            </w:r>
          </w:p>
        </w:tc>
        <w:tc>
          <w:tcPr>
            <w:tcW w:w="3017" w:type="dxa"/>
            <w:gridSpan w:val="3"/>
            <w:tcBorders>
              <w:top w:val="single" w:sz="4" w:space="0" w:color="000000"/>
              <w:left w:val="single" w:sz="4" w:space="0" w:color="000000"/>
              <w:bottom w:val="single" w:sz="4" w:space="0" w:color="000000"/>
              <w:right w:val="single" w:sz="4" w:space="0" w:color="000000"/>
            </w:tcBorders>
          </w:tcPr>
          <w:p w:rsidR="005A3F38" w:rsidRDefault="003114B5">
            <w:pPr>
              <w:spacing w:after="0"/>
              <w:ind w:left="2"/>
              <w:jc w:val="both"/>
            </w:pPr>
            <w:r>
              <w:rPr>
                <w:rFonts w:ascii="Times New Roman" w:eastAsia="Times New Roman" w:hAnsi="Times New Roman" w:cs="Times New Roman"/>
              </w:rPr>
              <w:t xml:space="preserve">Дисфункция ЦНС / метаболическое расстройство </w:t>
            </w:r>
          </w:p>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right="56"/>
              <w:jc w:val="both"/>
            </w:pPr>
            <w:r>
              <w:rPr>
                <w:rFonts w:ascii="Times New Roman" w:eastAsia="Times New Roman" w:hAnsi="Times New Roman" w:cs="Times New Roman"/>
              </w:rPr>
              <w:t xml:space="preserve">Изолированное нарушение сознания, поведения, судороги, метаболическая кома при сохранённом дыхании и кровообращении. </w:t>
            </w:r>
          </w:p>
        </w:tc>
      </w:tr>
      <w:tr w:rsidR="005A3F38">
        <w:trPr>
          <w:gridAfter w:val="1"/>
          <w:trHeight w:val="1274"/>
        </w:trPr>
        <w:tc>
          <w:tcPr>
            <w:tcW w:w="424"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7 </w:t>
            </w:r>
          </w:p>
        </w:tc>
        <w:tc>
          <w:tcPr>
            <w:tcW w:w="2244" w:type="dxa"/>
            <w:gridSpan w:val="2"/>
            <w:tcBorders>
              <w:top w:val="single" w:sz="4" w:space="0" w:color="000000"/>
              <w:left w:val="single" w:sz="4" w:space="0" w:color="000000"/>
              <w:bottom w:val="single" w:sz="4" w:space="0" w:color="000000"/>
              <w:right w:val="single" w:sz="4" w:space="0" w:color="000000"/>
            </w:tcBorders>
          </w:tcPr>
          <w:p w:rsidR="005A3F38" w:rsidRDefault="003114B5">
            <w:pPr>
              <w:tabs>
                <w:tab w:val="right" w:pos="2086"/>
              </w:tabs>
              <w:spacing w:after="11"/>
            </w:pPr>
            <w:r>
              <w:rPr>
                <w:rFonts w:ascii="Times New Roman" w:eastAsia="Times New Roman" w:hAnsi="Times New Roman" w:cs="Times New Roman"/>
              </w:rPr>
              <w:t xml:space="preserve">Патология </w:t>
            </w:r>
            <w:r>
              <w:rPr>
                <w:rFonts w:ascii="Times New Roman" w:eastAsia="Times New Roman" w:hAnsi="Times New Roman" w:cs="Times New Roman"/>
              </w:rPr>
              <w:tab/>
              <w:t xml:space="preserve">– </w:t>
            </w:r>
          </w:p>
          <w:p w:rsidR="005A3F38" w:rsidRDefault="003114B5">
            <w:pPr>
              <w:tabs>
                <w:tab w:val="right" w:pos="2086"/>
              </w:tabs>
              <w:spacing w:after="0"/>
            </w:pPr>
            <w:r>
              <w:rPr>
                <w:rFonts w:ascii="Times New Roman" w:eastAsia="Times New Roman" w:hAnsi="Times New Roman" w:cs="Times New Roman"/>
              </w:rPr>
              <w:t xml:space="preserve">Патология </w:t>
            </w:r>
            <w:r>
              <w:rPr>
                <w:rFonts w:ascii="Times New Roman" w:eastAsia="Times New Roman" w:hAnsi="Times New Roman" w:cs="Times New Roman"/>
              </w:rPr>
              <w:tab/>
              <w:t xml:space="preserve">– </w:t>
            </w:r>
          </w:p>
          <w:p w:rsidR="005A3F38" w:rsidRDefault="003114B5">
            <w:pPr>
              <w:spacing w:after="0"/>
            </w:pPr>
            <w:r>
              <w:rPr>
                <w:rFonts w:ascii="Times New Roman" w:eastAsia="Times New Roman" w:hAnsi="Times New Roman" w:cs="Times New Roman"/>
              </w:rPr>
              <w:t xml:space="preserve">Патология </w:t>
            </w:r>
          </w:p>
        </w:tc>
        <w:tc>
          <w:tcPr>
            <w:tcW w:w="3017" w:type="dxa"/>
            <w:gridSpan w:val="3"/>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rPr>
              <w:t xml:space="preserve">Кардиореспираторная недостаточность/остановка кровообращения </w:t>
            </w:r>
          </w:p>
        </w:tc>
        <w:tc>
          <w:tcPr>
            <w:tcW w:w="4508" w:type="dxa"/>
            <w:gridSpan w:val="2"/>
            <w:tcBorders>
              <w:top w:val="single" w:sz="4" w:space="0" w:color="000000"/>
              <w:left w:val="single" w:sz="4" w:space="0" w:color="000000"/>
              <w:bottom w:val="single" w:sz="4" w:space="0" w:color="000000"/>
              <w:right w:val="single" w:sz="4" w:space="0" w:color="000000"/>
            </w:tcBorders>
          </w:tcPr>
          <w:p w:rsidR="005A3F38" w:rsidRDefault="003114B5">
            <w:pPr>
              <w:spacing w:after="0"/>
              <w:ind w:left="3"/>
            </w:pPr>
            <w:r>
              <w:rPr>
                <w:rFonts w:ascii="Times New Roman" w:eastAsia="Times New Roman" w:hAnsi="Times New Roman" w:cs="Times New Roman"/>
              </w:rPr>
              <w:t xml:space="preserve">Крайне </w:t>
            </w:r>
            <w:r>
              <w:rPr>
                <w:rFonts w:ascii="Times New Roman" w:eastAsia="Times New Roman" w:hAnsi="Times New Roman" w:cs="Times New Roman"/>
              </w:rPr>
              <w:tab/>
              <w:t xml:space="preserve">тяжёлое </w:t>
            </w:r>
            <w:r>
              <w:rPr>
                <w:rFonts w:ascii="Times New Roman" w:eastAsia="Times New Roman" w:hAnsi="Times New Roman" w:cs="Times New Roman"/>
              </w:rPr>
              <w:tab/>
              <w:t xml:space="preserve">состояние: </w:t>
            </w:r>
            <w:r>
              <w:rPr>
                <w:rFonts w:ascii="Times New Roman" w:eastAsia="Times New Roman" w:hAnsi="Times New Roman" w:cs="Times New Roman"/>
              </w:rPr>
              <w:tab/>
              <w:t xml:space="preserve">сочетанная внешняя и циркуляторная недостаточность, угнетённое </w:t>
            </w:r>
            <w:r>
              <w:rPr>
                <w:rFonts w:ascii="Times New Roman" w:eastAsia="Times New Roman" w:hAnsi="Times New Roman" w:cs="Times New Roman"/>
              </w:rPr>
              <w:tab/>
              <w:t xml:space="preserve">сознание, </w:t>
            </w:r>
            <w:r>
              <w:rPr>
                <w:rFonts w:ascii="Times New Roman" w:eastAsia="Times New Roman" w:hAnsi="Times New Roman" w:cs="Times New Roman"/>
              </w:rPr>
              <w:tab/>
              <w:t xml:space="preserve">остановка кровообращения; </w:t>
            </w:r>
            <w:r>
              <w:rPr>
                <w:rFonts w:ascii="Times New Roman" w:eastAsia="Times New Roman" w:hAnsi="Times New Roman" w:cs="Times New Roman"/>
              </w:rPr>
              <w:tab/>
              <w:t xml:space="preserve">требуется </w:t>
            </w:r>
            <w:r>
              <w:rPr>
                <w:rFonts w:ascii="Times New Roman" w:eastAsia="Times New Roman" w:hAnsi="Times New Roman" w:cs="Times New Roman"/>
              </w:rPr>
              <w:tab/>
              <w:t xml:space="preserve">немедленная СЛР. </w:t>
            </w:r>
          </w:p>
        </w:tc>
      </w:tr>
    </w:tbl>
    <w:p w:rsidR="005A3F38" w:rsidRDefault="003114B5">
      <w:pPr>
        <w:spacing w:after="0"/>
      </w:pPr>
      <w:r>
        <w:rPr>
          <w:rFonts w:ascii="Times New Roman" w:eastAsia="Times New Roman" w:hAnsi="Times New Roman" w:cs="Times New Roman"/>
        </w:rPr>
        <w:t xml:space="preserve"> </w:t>
      </w:r>
    </w:p>
    <w:p w:rsidR="005A3F38" w:rsidRDefault="003114B5">
      <w:pPr>
        <w:spacing w:after="0"/>
      </w:pPr>
      <w:r>
        <w:rPr>
          <w:rFonts w:ascii="Times New Roman" w:eastAsia="Times New Roman" w:hAnsi="Times New Roman" w:cs="Times New Roman"/>
        </w:rPr>
        <w:t xml:space="preserve"> </w:t>
      </w:r>
    </w:p>
    <w:p w:rsidR="005A3F38" w:rsidRDefault="003114B5">
      <w:pPr>
        <w:spacing w:after="0"/>
      </w:pPr>
      <w:r>
        <w:rPr>
          <w:rFonts w:ascii="Times New Roman" w:eastAsia="Times New Roman" w:hAnsi="Times New Roman" w:cs="Times New Roman"/>
        </w:rPr>
        <w:t xml:space="preserve"> </w:t>
      </w:r>
    </w:p>
    <w:p w:rsidR="005A3F38" w:rsidRDefault="003114B5">
      <w:pPr>
        <w:spacing w:after="0"/>
      </w:pPr>
      <w:r>
        <w:rPr>
          <w:rFonts w:ascii="Times New Roman" w:eastAsia="Times New Roman" w:hAnsi="Times New Roman" w:cs="Times New Roman"/>
        </w:rPr>
        <w:t xml:space="preserve"> </w:t>
      </w:r>
    </w:p>
    <w:p w:rsidR="005A3F38" w:rsidRDefault="003114B5">
      <w:pPr>
        <w:spacing w:after="0"/>
        <w:ind w:left="-1" w:right="787"/>
        <w:jc w:val="right"/>
      </w:pPr>
      <w:r>
        <w:rPr>
          <w:noProof/>
        </w:rPr>
        <w:drawing>
          <wp:inline distT="0" distB="0" distL="0" distR="0">
            <wp:extent cx="5940425" cy="2560955"/>
            <wp:effectExtent l="0" t="0" r="0" b="0"/>
            <wp:docPr id="20470" name="Picture 20470"/>
            <wp:cNvGraphicFramePr/>
            <a:graphic xmlns:a="http://schemas.openxmlformats.org/drawingml/2006/main">
              <a:graphicData uri="http://schemas.openxmlformats.org/drawingml/2006/picture">
                <pic:pic xmlns:pic="http://schemas.openxmlformats.org/drawingml/2006/picture">
                  <pic:nvPicPr>
                    <pic:cNvPr id="20470" name="Picture 20470"/>
                    <pic:cNvPicPr/>
                  </pic:nvPicPr>
                  <pic:blipFill>
                    <a:blip r:embed="rId247"/>
                    <a:stretch>
                      <a:fillRect/>
                    </a:stretch>
                  </pic:blipFill>
                  <pic:spPr>
                    <a:xfrm>
                      <a:off x="0" y="0"/>
                      <a:ext cx="5940425" cy="2560955"/>
                    </a:xfrm>
                    <a:prstGeom prst="rect">
                      <a:avLst/>
                    </a:prstGeom>
                  </pic:spPr>
                </pic:pic>
              </a:graphicData>
            </a:graphic>
          </wp:inline>
        </w:drawing>
      </w:r>
      <w:r>
        <w:rPr>
          <w:rFonts w:ascii="Times New Roman" w:eastAsia="Times New Roman" w:hAnsi="Times New Roman" w:cs="Times New Roman"/>
          <w:sz w:val="24"/>
        </w:rPr>
        <w:t xml:space="preserve"> </w:t>
      </w:r>
    </w:p>
    <w:p w:rsidR="005A3F38" w:rsidRDefault="003114B5">
      <w:pPr>
        <w:spacing w:after="198"/>
      </w:pPr>
      <w:r>
        <w:rPr>
          <w:rFonts w:ascii="Times New Roman" w:eastAsia="Times New Roman" w:hAnsi="Times New Roman" w:cs="Times New Roman"/>
        </w:rPr>
        <w:t xml:space="preserve"> </w:t>
      </w:r>
    </w:p>
    <w:p w:rsidR="005A3F38" w:rsidRDefault="003114B5">
      <w:pPr>
        <w:spacing w:after="10" w:line="249" w:lineRule="auto"/>
        <w:ind w:left="10" w:hanging="10"/>
      </w:pPr>
      <w:r>
        <w:rPr>
          <w:rFonts w:ascii="Times New Roman" w:eastAsia="Times New Roman" w:hAnsi="Times New Roman" w:cs="Times New Roman"/>
          <w:b/>
          <w:sz w:val="24"/>
        </w:rPr>
        <w:t>Пояснения:</w:t>
      </w:r>
      <w:r>
        <w:rPr>
          <w:rFonts w:ascii="Times New Roman" w:eastAsia="Times New Roman" w:hAnsi="Times New Roman" w:cs="Times New Roman"/>
          <w:sz w:val="24"/>
        </w:rPr>
        <w:t xml:space="preserve">  </w:t>
      </w:r>
    </w:p>
    <w:p w:rsidR="005A3F38" w:rsidRDefault="003114B5">
      <w:pPr>
        <w:spacing w:after="0"/>
      </w:pPr>
      <w:r>
        <w:rPr>
          <w:rFonts w:ascii="Times New Roman" w:eastAsia="Times New Roman" w:hAnsi="Times New Roman" w:cs="Times New Roman"/>
          <w:sz w:val="24"/>
        </w:rPr>
        <w:t xml:space="preserve"> </w:t>
      </w:r>
    </w:p>
    <w:p w:rsidR="005A3F38" w:rsidRDefault="003114B5">
      <w:pPr>
        <w:spacing w:after="5"/>
        <w:ind w:left="10" w:right="2" w:hanging="10"/>
        <w:jc w:val="both"/>
      </w:pPr>
      <w:r>
        <w:rPr>
          <w:rFonts w:ascii="Times New Roman" w:eastAsia="Times New Roman" w:hAnsi="Times New Roman" w:cs="Times New Roman"/>
          <w:sz w:val="24"/>
        </w:rPr>
        <w:t xml:space="preserve">Уровень 1-2 – </w:t>
      </w:r>
      <w:r>
        <w:rPr>
          <w:rFonts w:ascii="Times New Roman" w:eastAsia="Times New Roman" w:hAnsi="Times New Roman" w:cs="Times New Roman"/>
          <w:sz w:val="24"/>
        </w:rPr>
        <w:t xml:space="preserve">пациенты в критическом состоянии, медицинская эвакуация в ОРИТ. </w:t>
      </w:r>
    </w:p>
    <w:p w:rsidR="005A3F38" w:rsidRDefault="003114B5">
      <w:pPr>
        <w:spacing w:after="5"/>
        <w:ind w:left="10" w:right="2" w:hanging="10"/>
        <w:jc w:val="both"/>
      </w:pPr>
      <w:r>
        <w:rPr>
          <w:rFonts w:ascii="Times New Roman" w:eastAsia="Times New Roman" w:hAnsi="Times New Roman" w:cs="Times New Roman"/>
          <w:sz w:val="24"/>
        </w:rPr>
        <w:t xml:space="preserve">Уровень 3 – неотложные случаи, медицинская эвакуация в стационар, приоритетное лечение. </w:t>
      </w:r>
    </w:p>
    <w:p w:rsidR="005A3F38" w:rsidRDefault="003114B5">
      <w:pPr>
        <w:spacing w:after="5" w:line="238" w:lineRule="auto"/>
        <w:ind w:left="10" w:right="2" w:hanging="10"/>
        <w:jc w:val="both"/>
      </w:pPr>
      <w:r>
        <w:rPr>
          <w:rFonts w:ascii="Times New Roman" w:eastAsia="Times New Roman" w:hAnsi="Times New Roman" w:cs="Times New Roman"/>
          <w:sz w:val="24"/>
        </w:rPr>
        <w:t>Уровень 4 – полусрочные случаи со стабильными жизненными показателями, медицинской эвакуации в стацион</w:t>
      </w:r>
      <w:r>
        <w:rPr>
          <w:rFonts w:ascii="Times New Roman" w:eastAsia="Times New Roman" w:hAnsi="Times New Roman" w:cs="Times New Roman"/>
          <w:sz w:val="24"/>
        </w:rPr>
        <w:t xml:space="preserve">ар не требуют. В случае обращения в стационар лечение в порядке живой очереди. </w:t>
      </w:r>
    </w:p>
    <w:p w:rsidR="005A3F38" w:rsidRDefault="003114B5">
      <w:pPr>
        <w:spacing w:after="5"/>
        <w:ind w:left="10" w:right="2" w:hanging="10"/>
        <w:jc w:val="both"/>
      </w:pPr>
      <w:r>
        <w:rPr>
          <w:rFonts w:ascii="Times New Roman" w:eastAsia="Times New Roman" w:hAnsi="Times New Roman" w:cs="Times New Roman"/>
          <w:sz w:val="24"/>
        </w:rPr>
        <w:t xml:space="preserve">Уровень 5 – несрочные пациенты, показано амбулаторное лечение. </w:t>
      </w:r>
    </w:p>
    <w:p w:rsidR="005A3F38" w:rsidRDefault="003114B5">
      <w:pPr>
        <w:spacing w:after="0"/>
      </w:pPr>
      <w:r>
        <w:rPr>
          <w:rFonts w:ascii="Times New Roman" w:eastAsia="Times New Roman" w:hAnsi="Times New Roman" w:cs="Times New Roman"/>
          <w:sz w:val="24"/>
        </w:rPr>
        <w:t xml:space="preserve"> </w:t>
      </w:r>
    </w:p>
    <w:p w:rsidR="005A3F38" w:rsidRDefault="003114B5">
      <w:pPr>
        <w:spacing w:after="254"/>
      </w:pPr>
      <w:r>
        <w:rPr>
          <w:rFonts w:ascii="Times New Roman" w:eastAsia="Times New Roman" w:hAnsi="Times New Roman" w:cs="Times New Roman"/>
          <w:sz w:val="24"/>
        </w:rPr>
        <w:t xml:space="preserve"> </w:t>
      </w:r>
    </w:p>
    <w:p w:rsidR="005A3F38" w:rsidRDefault="003114B5">
      <w:pPr>
        <w:pStyle w:val="Heading1"/>
        <w:spacing w:after="105"/>
        <w:ind w:left="-5"/>
      </w:pPr>
      <w:bookmarkStart w:id="56" w:name="_Toc141929"/>
      <w:r>
        <w:t>Приложение Г</w:t>
      </w:r>
      <w:r>
        <w:t xml:space="preserve">3. </w:t>
      </w:r>
      <w:r>
        <w:t>Модифицированная шкала комы Глазго для младенцев и детей</w:t>
      </w:r>
      <w:r>
        <w:t xml:space="preserve"> </w:t>
      </w:r>
      <w:bookmarkEnd w:id="56"/>
    </w:p>
    <w:p w:rsidR="005A3F38" w:rsidRDefault="003114B5">
      <w:pPr>
        <w:spacing w:after="0"/>
      </w:pPr>
      <w:r>
        <w:rPr>
          <w:rFonts w:ascii="Times New Roman" w:eastAsia="Times New Roman" w:hAnsi="Times New Roman" w:cs="Times New Roman"/>
          <w:sz w:val="24"/>
        </w:rPr>
        <w:t xml:space="preserve"> </w:t>
      </w:r>
    </w:p>
    <w:p w:rsidR="005A3F38" w:rsidRDefault="003114B5">
      <w:pPr>
        <w:spacing w:after="171" w:line="248" w:lineRule="auto"/>
        <w:ind w:left="-5" w:hanging="10"/>
        <w:jc w:val="both"/>
      </w:pPr>
      <w:r>
        <w:rPr>
          <w:rFonts w:ascii="Times New Roman" w:eastAsia="Times New Roman" w:hAnsi="Times New Roman" w:cs="Times New Roman"/>
          <w:b/>
        </w:rPr>
        <w:t xml:space="preserve">Название на русском языке: </w:t>
      </w:r>
      <w:r>
        <w:rPr>
          <w:rFonts w:ascii="Times New Roman" w:eastAsia="Times New Roman" w:hAnsi="Times New Roman" w:cs="Times New Roman"/>
        </w:rPr>
        <w:t>Модифи</w:t>
      </w:r>
      <w:r>
        <w:rPr>
          <w:rFonts w:ascii="Times New Roman" w:eastAsia="Times New Roman" w:hAnsi="Times New Roman" w:cs="Times New Roman"/>
        </w:rPr>
        <w:t xml:space="preserve">цированная шкала комы Глазго для младенцев и детей </w:t>
      </w:r>
    </w:p>
    <w:p w:rsidR="005A3F38" w:rsidRDefault="003114B5">
      <w:pPr>
        <w:spacing w:after="158"/>
        <w:ind w:left="-5" w:hanging="10"/>
      </w:pPr>
      <w:r>
        <w:rPr>
          <w:rFonts w:ascii="Times New Roman" w:eastAsia="Times New Roman" w:hAnsi="Times New Roman" w:cs="Times New Roman"/>
          <w:b/>
        </w:rPr>
        <w:t>Оригинальное название (если есть):</w:t>
      </w:r>
      <w:r>
        <w:rPr>
          <w:rFonts w:ascii="Times New Roman" w:eastAsia="Times New Roman" w:hAnsi="Times New Roman" w:cs="Times New Roman"/>
        </w:rPr>
        <w:t xml:space="preserve"> Modified Glasgow Coma Scale </w:t>
      </w:r>
    </w:p>
    <w:p w:rsidR="005A3F38" w:rsidRDefault="003114B5">
      <w:pPr>
        <w:spacing w:line="257" w:lineRule="auto"/>
        <w:ind w:left="-5" w:hanging="10"/>
        <w:jc w:val="both"/>
      </w:pPr>
      <w:r>
        <w:rPr>
          <w:rFonts w:ascii="Times New Roman" w:eastAsia="Times New Roman" w:hAnsi="Times New Roman" w:cs="Times New Roman"/>
          <w:b/>
        </w:rPr>
        <w:t>Источник (официальный сайт разработчиков, публикация с валидацией):</w:t>
      </w:r>
      <w:r>
        <w:rPr>
          <w:rFonts w:ascii="Times New Roman" w:eastAsia="Times New Roman" w:hAnsi="Times New Roman" w:cs="Times New Roman"/>
        </w:rPr>
        <w:t xml:space="preserve"> Chaturvedi P, Kishore M. Modified Glasgow Coma Scale to predict mortalit</w:t>
      </w:r>
      <w:r>
        <w:rPr>
          <w:rFonts w:ascii="Times New Roman" w:eastAsia="Times New Roman" w:hAnsi="Times New Roman" w:cs="Times New Roman"/>
        </w:rPr>
        <w:t>y in febrile unconscious children. Indian J Pediatr. 2001 Apr;68(4):311-4. doi: 10.1007/BF02721834. PMID: 11370435, Awasthi S, Moin S, Iyer SM, Rehman H. Modified Glasgow Coma Scale to predict mortality in children with acute infections of the central nerv</w:t>
      </w:r>
      <w:r>
        <w:rPr>
          <w:rFonts w:ascii="Times New Roman" w:eastAsia="Times New Roman" w:hAnsi="Times New Roman" w:cs="Times New Roman"/>
        </w:rPr>
        <w:t xml:space="preserve">ous system. Natl Med J India. 1997 Sep-Oct;10(5):214-6. PMID: 9401379. </w:t>
      </w:r>
    </w:p>
    <w:p w:rsidR="005A3F38" w:rsidRDefault="003114B5">
      <w:pPr>
        <w:spacing w:after="158"/>
        <w:ind w:left="-5" w:hanging="10"/>
      </w:pPr>
      <w:r>
        <w:rPr>
          <w:rFonts w:ascii="Times New Roman" w:eastAsia="Times New Roman" w:hAnsi="Times New Roman" w:cs="Times New Roman"/>
          <w:b/>
        </w:rPr>
        <w:t>Тип (подчеркнуть):</w:t>
      </w:r>
      <w:r>
        <w:rPr>
          <w:rFonts w:ascii="Times New Roman" w:eastAsia="Times New Roman" w:hAnsi="Times New Roman" w:cs="Times New Roman"/>
        </w:rPr>
        <w:t xml:space="preserve"> - шкала оценки </w:t>
      </w:r>
    </w:p>
    <w:p w:rsidR="005A3F38" w:rsidRDefault="003114B5">
      <w:pPr>
        <w:spacing w:after="167" w:line="248" w:lineRule="auto"/>
        <w:ind w:left="-5" w:hanging="10"/>
        <w:jc w:val="both"/>
      </w:pPr>
      <w:r>
        <w:rPr>
          <w:rFonts w:ascii="Times New Roman" w:eastAsia="Times New Roman" w:hAnsi="Times New Roman" w:cs="Times New Roman"/>
          <w:b/>
        </w:rPr>
        <w:t>Назначение:</w:t>
      </w:r>
      <w:r>
        <w:rPr>
          <w:rFonts w:ascii="Times New Roman" w:eastAsia="Times New Roman" w:hAnsi="Times New Roman" w:cs="Times New Roman"/>
        </w:rPr>
        <w:t xml:space="preserve"> оценка признаков комы у детей  </w:t>
      </w:r>
    </w:p>
    <w:p w:rsidR="005A3F38" w:rsidRDefault="003114B5">
      <w:pPr>
        <w:spacing w:after="158"/>
        <w:ind w:left="-5" w:hanging="10"/>
      </w:pPr>
      <w:r>
        <w:rPr>
          <w:rFonts w:ascii="Times New Roman" w:eastAsia="Times New Roman" w:hAnsi="Times New Roman" w:cs="Times New Roman"/>
          <w:b/>
        </w:rPr>
        <w:t xml:space="preserve">Содержание (шаблон):  </w:t>
      </w:r>
    </w:p>
    <w:p w:rsidR="005A3F38" w:rsidRDefault="003114B5">
      <w:pPr>
        <w:spacing w:after="0"/>
      </w:pPr>
      <w:r>
        <w:rPr>
          <w:rFonts w:ascii="Times New Roman" w:eastAsia="Times New Roman" w:hAnsi="Times New Roman" w:cs="Times New Roman"/>
          <w:sz w:val="24"/>
        </w:rPr>
        <w:t xml:space="preserve"> </w:t>
      </w:r>
    </w:p>
    <w:p w:rsidR="005A3F38" w:rsidRDefault="003114B5">
      <w:pPr>
        <w:spacing w:after="0"/>
        <w:ind w:right="10"/>
        <w:jc w:val="center"/>
      </w:pPr>
      <w:r>
        <w:rPr>
          <w:rFonts w:ascii="Times New Roman" w:eastAsia="Times New Roman" w:hAnsi="Times New Roman" w:cs="Times New Roman"/>
          <w:b/>
          <w:sz w:val="24"/>
        </w:rPr>
        <w:t>Модифицированная шкала комы Глазго для младенцев и детей</w:t>
      </w:r>
      <w:r>
        <w:rPr>
          <w:rFonts w:ascii="Times New Roman" w:eastAsia="Times New Roman" w:hAnsi="Times New Roman" w:cs="Times New Roman"/>
          <w:sz w:val="24"/>
        </w:rPr>
        <w:t xml:space="preserve"> </w:t>
      </w:r>
    </w:p>
    <w:tbl>
      <w:tblPr>
        <w:tblStyle w:val="TableGrid"/>
        <w:tblW w:w="9348" w:type="dxa"/>
        <w:tblInd w:w="5" w:type="dxa"/>
        <w:tblCellMar>
          <w:top w:w="62" w:type="dxa"/>
          <w:left w:w="106" w:type="dxa"/>
          <w:bottom w:w="0" w:type="dxa"/>
          <w:right w:w="69" w:type="dxa"/>
        </w:tblCellMar>
        <w:tblLook w:val="04A0" w:firstRow="1" w:lastRow="0" w:firstColumn="1" w:lastColumn="0" w:noHBand="0" w:noVBand="1"/>
      </w:tblPr>
      <w:tblGrid>
        <w:gridCol w:w="2336"/>
        <w:gridCol w:w="2338"/>
        <w:gridCol w:w="2336"/>
        <w:gridCol w:w="2338"/>
      </w:tblGrid>
      <w:tr w:rsidR="005A3F38">
        <w:trPr>
          <w:trHeight w:val="286"/>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Признак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Младенцы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Дети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Баллы </w:t>
            </w:r>
          </w:p>
        </w:tc>
      </w:tr>
      <w:tr w:rsidR="005A3F38">
        <w:trPr>
          <w:trHeight w:val="286"/>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Открытие глаз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Никакого ответа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Никакого ответа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1 </w:t>
            </w:r>
          </w:p>
        </w:tc>
      </w:tr>
      <w:tr w:rsidR="005A3F38">
        <w:trPr>
          <w:trHeight w:val="5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Открывается только в ответ на боль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Открывается только в ответ на боль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2 </w:t>
            </w:r>
          </w:p>
        </w:tc>
      </w:tr>
      <w:tr w:rsidR="005A3F38">
        <w:trPr>
          <w:trHeight w:val="838"/>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Открывается в ответ на вербальные стимулы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Открывается в ответ на вербальные стимулы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3 </w:t>
            </w:r>
          </w:p>
        </w:tc>
      </w:tr>
      <w:tr w:rsidR="005A3F38">
        <w:trPr>
          <w:trHeight w:val="5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Открывается спонтанно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Открывается спонтанно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4 </w:t>
            </w:r>
          </w:p>
        </w:tc>
      </w:tr>
      <w:tr w:rsidR="005A3F38">
        <w:trPr>
          <w:trHeight w:val="286"/>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Вербальный ответ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Никакого ответа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Никакого ответа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1 </w:t>
            </w:r>
          </w:p>
        </w:tc>
      </w:tr>
      <w:tr w:rsidR="005A3F38">
        <w:trPr>
          <w:trHeight w:val="840"/>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Стоны в ответ на боль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line="238" w:lineRule="auto"/>
            </w:pPr>
            <w:r>
              <w:rPr>
                <w:rFonts w:ascii="Times New Roman" w:eastAsia="Times New Roman" w:hAnsi="Times New Roman" w:cs="Times New Roman"/>
                <w:sz w:val="24"/>
              </w:rPr>
              <w:t xml:space="preserve">Непонятные слова или несвязные </w:t>
            </w:r>
          </w:p>
          <w:p w:rsidR="005A3F38" w:rsidRDefault="003114B5">
            <w:pPr>
              <w:spacing w:after="0"/>
            </w:pPr>
            <w:r>
              <w:rPr>
                <w:rFonts w:ascii="Times New Roman" w:eastAsia="Times New Roman" w:hAnsi="Times New Roman" w:cs="Times New Roman"/>
                <w:sz w:val="24"/>
              </w:rPr>
              <w:t xml:space="preserve">звуки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2 </w:t>
            </w:r>
          </w:p>
        </w:tc>
      </w:tr>
      <w:tr w:rsidR="005A3F38">
        <w:trPr>
          <w:trHeight w:val="286"/>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Плачет от боли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Неуместные слова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3 </w:t>
            </w:r>
          </w:p>
        </w:tc>
      </w:tr>
      <w:tr w:rsidR="005A3F38">
        <w:trPr>
          <w:trHeight w:val="5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Раздражительные крики </w:t>
            </w:r>
          </w:p>
        </w:tc>
        <w:tc>
          <w:tcPr>
            <w:tcW w:w="2336"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 xml:space="preserve">Сбитый с толку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4</w:t>
            </w:r>
            <w:r>
              <w:rPr>
                <w:rFonts w:ascii="Times New Roman" w:eastAsia="Times New Roman" w:hAnsi="Times New Roman" w:cs="Times New Roman"/>
                <w:sz w:val="24"/>
              </w:rPr>
              <w:t xml:space="preserve"> </w:t>
            </w:r>
          </w:p>
        </w:tc>
      </w:tr>
      <w:tr w:rsidR="005A3F38">
        <w:trPr>
          <w:trHeight w:val="5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Воркует и лепечет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Ориентированный, соответствующий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5 </w:t>
            </w:r>
          </w:p>
        </w:tc>
      </w:tr>
      <w:tr w:rsidR="005A3F38">
        <w:trPr>
          <w:trHeight w:val="5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Двигательная реакция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Никакого ответа </w:t>
            </w:r>
          </w:p>
        </w:tc>
        <w:tc>
          <w:tcPr>
            <w:tcW w:w="2336"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 xml:space="preserve">Никакого ответа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1 </w:t>
            </w:r>
          </w:p>
        </w:tc>
      </w:tr>
      <w:tr w:rsidR="005A3F38">
        <w:trPr>
          <w:trHeight w:val="1114"/>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Реагирует на боль децеребрацией (аномальным разгибанием)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Реагирует на боль децеребрацией (аномальным разгибанием)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2 </w:t>
            </w:r>
          </w:p>
        </w:tc>
      </w:tr>
      <w:tr w:rsidR="005A3F38">
        <w:trPr>
          <w:trHeight w:val="1114"/>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Реагирует на боль декортикацией (аномальным сгибанием)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Реагирует на боль декортикацией (аномальным сгибанием)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3 </w:t>
            </w:r>
          </w:p>
        </w:tc>
      </w:tr>
      <w:tr w:rsidR="005A3F38">
        <w:trPr>
          <w:trHeight w:val="288"/>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Сжимается от боли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Сжимается от боли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4 </w:t>
            </w:r>
          </w:p>
        </w:tc>
      </w:tr>
      <w:tr w:rsidR="005A3F38">
        <w:trPr>
          <w:trHeight w:val="562"/>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right="29"/>
            </w:pPr>
            <w:r>
              <w:rPr>
                <w:rFonts w:ascii="Times New Roman" w:eastAsia="Times New Roman" w:hAnsi="Times New Roman" w:cs="Times New Roman"/>
                <w:sz w:val="24"/>
              </w:rPr>
              <w:t xml:space="preserve">Отстраняется, чтобы прикоснуться </w:t>
            </w:r>
          </w:p>
        </w:tc>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pPr>
            <w:r>
              <w:rPr>
                <w:rFonts w:ascii="Times New Roman" w:eastAsia="Times New Roman" w:hAnsi="Times New Roman" w:cs="Times New Roman"/>
                <w:sz w:val="24"/>
              </w:rPr>
              <w:t xml:space="preserve">Локализует болевой раздражитель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5 </w:t>
            </w:r>
          </w:p>
        </w:tc>
      </w:tr>
      <w:tr w:rsidR="005A3F38">
        <w:trPr>
          <w:trHeight w:val="838"/>
        </w:trPr>
        <w:tc>
          <w:tcPr>
            <w:tcW w:w="2336"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 </w:t>
            </w:r>
          </w:p>
        </w:tc>
        <w:tc>
          <w:tcPr>
            <w:tcW w:w="2338" w:type="dxa"/>
            <w:tcBorders>
              <w:top w:val="single" w:sz="4" w:space="0" w:color="000000"/>
              <w:left w:val="single" w:sz="4" w:space="0" w:color="000000"/>
              <w:bottom w:val="single" w:sz="4" w:space="0" w:color="000000"/>
              <w:right w:val="single" w:sz="4" w:space="0" w:color="000000"/>
            </w:tcBorders>
          </w:tcPr>
          <w:p w:rsidR="005A3F38" w:rsidRDefault="003114B5">
            <w:pPr>
              <w:spacing w:after="0"/>
              <w:ind w:left="2"/>
            </w:pPr>
            <w:r>
              <w:rPr>
                <w:rFonts w:ascii="Times New Roman" w:eastAsia="Times New Roman" w:hAnsi="Times New Roman" w:cs="Times New Roman"/>
                <w:sz w:val="24"/>
              </w:rPr>
              <w:t xml:space="preserve">Двигается спонтанно и целенаправленно </w:t>
            </w:r>
          </w:p>
        </w:tc>
        <w:tc>
          <w:tcPr>
            <w:tcW w:w="2336"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pPr>
            <w:r>
              <w:rPr>
                <w:rFonts w:ascii="Times New Roman" w:eastAsia="Times New Roman" w:hAnsi="Times New Roman" w:cs="Times New Roman"/>
                <w:sz w:val="24"/>
              </w:rPr>
              <w:t xml:space="preserve">Подчиняется командам </w:t>
            </w:r>
          </w:p>
        </w:tc>
        <w:tc>
          <w:tcPr>
            <w:tcW w:w="2338" w:type="dxa"/>
            <w:tcBorders>
              <w:top w:val="single" w:sz="4" w:space="0" w:color="000000"/>
              <w:left w:val="single" w:sz="4" w:space="0" w:color="000000"/>
              <w:bottom w:val="single" w:sz="4" w:space="0" w:color="000000"/>
              <w:right w:val="single" w:sz="4" w:space="0" w:color="000000"/>
            </w:tcBorders>
            <w:vAlign w:val="center"/>
          </w:tcPr>
          <w:p w:rsidR="005A3F38" w:rsidRDefault="003114B5">
            <w:pPr>
              <w:spacing w:after="0"/>
              <w:ind w:left="2"/>
            </w:pPr>
            <w:r>
              <w:rPr>
                <w:rFonts w:ascii="Times New Roman" w:eastAsia="Times New Roman" w:hAnsi="Times New Roman" w:cs="Times New Roman"/>
                <w:sz w:val="24"/>
              </w:rPr>
              <w:t xml:space="preserve">6 </w:t>
            </w:r>
          </w:p>
        </w:tc>
      </w:tr>
    </w:tbl>
    <w:p w:rsidR="005A3F38" w:rsidRDefault="003114B5">
      <w:pPr>
        <w:spacing w:after="194"/>
        <w:ind w:left="-5" w:hanging="10"/>
      </w:pPr>
      <w:r>
        <w:rPr>
          <w:rFonts w:ascii="Times New Roman" w:eastAsia="Times New Roman" w:hAnsi="Times New Roman" w:cs="Times New Roman"/>
          <w:b/>
        </w:rPr>
        <w:t xml:space="preserve">Ключ (интерпретация): </w:t>
      </w:r>
    </w:p>
    <w:p w:rsidR="005A3F38" w:rsidRDefault="003114B5">
      <w:pPr>
        <w:spacing w:after="180"/>
        <w:ind w:left="10" w:right="2" w:hanging="10"/>
        <w:jc w:val="both"/>
      </w:pPr>
      <w:r>
        <w:rPr>
          <w:rFonts w:ascii="Times New Roman" w:eastAsia="Times New Roman" w:hAnsi="Times New Roman" w:cs="Times New Roman"/>
          <w:sz w:val="24"/>
        </w:rPr>
        <w:t xml:space="preserve">15 баллов – сознание ясное </w:t>
      </w:r>
    </w:p>
    <w:p w:rsidR="005A3F38" w:rsidRDefault="003114B5">
      <w:pPr>
        <w:spacing w:after="180"/>
        <w:ind w:left="10" w:right="2" w:hanging="10"/>
        <w:jc w:val="both"/>
      </w:pPr>
      <w:r>
        <w:rPr>
          <w:rFonts w:ascii="Times New Roman" w:eastAsia="Times New Roman" w:hAnsi="Times New Roman" w:cs="Times New Roman"/>
          <w:sz w:val="24"/>
        </w:rPr>
        <w:t xml:space="preserve">13-14 баллов – оглушение </w:t>
      </w:r>
    </w:p>
    <w:p w:rsidR="005A3F38" w:rsidRDefault="003114B5">
      <w:pPr>
        <w:spacing w:after="180"/>
        <w:ind w:left="10" w:right="2" w:hanging="10"/>
        <w:jc w:val="both"/>
      </w:pPr>
      <w:r>
        <w:rPr>
          <w:rFonts w:ascii="Times New Roman" w:eastAsia="Times New Roman" w:hAnsi="Times New Roman" w:cs="Times New Roman"/>
          <w:sz w:val="24"/>
        </w:rPr>
        <w:t xml:space="preserve">9-12 баллов – сопор </w:t>
      </w:r>
    </w:p>
    <w:p w:rsidR="005A3F38" w:rsidRDefault="003114B5">
      <w:pPr>
        <w:spacing w:after="163"/>
        <w:ind w:left="10" w:right="2" w:hanging="10"/>
        <w:jc w:val="both"/>
      </w:pPr>
      <w:r>
        <w:rPr>
          <w:rFonts w:ascii="Times New Roman" w:eastAsia="Times New Roman" w:hAnsi="Times New Roman" w:cs="Times New Roman"/>
          <w:sz w:val="24"/>
        </w:rPr>
        <w:t xml:space="preserve">4-8 баллов – кома </w:t>
      </w:r>
    </w:p>
    <w:p w:rsidR="005A3F38" w:rsidRDefault="003114B5">
      <w:pPr>
        <w:spacing w:after="194"/>
      </w:pPr>
      <w:r>
        <w:rPr>
          <w:rFonts w:ascii="Times New Roman" w:eastAsia="Times New Roman" w:hAnsi="Times New Roman" w:cs="Times New Roman"/>
        </w:rPr>
        <w:t xml:space="preserve">  </w:t>
      </w:r>
    </w:p>
    <w:p w:rsidR="005A3F38" w:rsidRDefault="003114B5">
      <w:pPr>
        <w:spacing w:after="16" w:line="249" w:lineRule="auto"/>
        <w:ind w:left="10" w:hanging="10"/>
      </w:pPr>
      <w:r>
        <w:rPr>
          <w:rFonts w:ascii="Times New Roman" w:eastAsia="Times New Roman" w:hAnsi="Times New Roman" w:cs="Times New Roman"/>
          <w:b/>
          <w:sz w:val="24"/>
        </w:rPr>
        <w:t>Пояснения:</w:t>
      </w:r>
      <w:r>
        <w:rPr>
          <w:rFonts w:ascii="Times New Roman" w:eastAsia="Times New Roman" w:hAnsi="Times New Roman" w:cs="Times New Roman"/>
          <w:sz w:val="24"/>
        </w:rPr>
        <w:t xml:space="preserve"> нет. </w:t>
      </w:r>
    </w:p>
    <w:p w:rsidR="005A3F38" w:rsidRDefault="003114B5">
      <w:pPr>
        <w:spacing w:after="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sectPr w:rsidR="005A3F38">
      <w:footerReference w:type="even" r:id="rId248"/>
      <w:footerReference w:type="default" r:id="rId249"/>
      <w:footerReference w:type="first" r:id="rId250"/>
      <w:pgSz w:w="11906" w:h="16838"/>
      <w:pgMar w:top="623" w:right="845" w:bottom="1278" w:left="852"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114B5">
      <w:pPr>
        <w:spacing w:after="0" w:line="240" w:lineRule="auto"/>
      </w:pPr>
      <w:r>
        <w:separator/>
      </w:r>
    </w:p>
  </w:endnote>
  <w:endnote w:type="continuationSeparator" w:id="0">
    <w:p w:rsidR="00000000" w:rsidRDefault="00311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ind w:right="5"/>
      <w:jc w:val="right"/>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1068"/>
    </w:pPr>
    <w:r>
      <w:rPr>
        <w:rFonts w:ascii="Times New Roman" w:eastAsia="Times New Roman" w:hAnsi="Times New Roman" w:cs="Times New Roman"/>
        <w:sz w:val="24"/>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jc w:val="right"/>
    </w:pPr>
    <w:r>
      <w:fldChar w:fldCharType="begin"/>
    </w:r>
    <w:r>
      <w:instrText xml:space="preserve"> PAGE   \* MERGEFORMAT </w:instrText>
    </w:r>
    <w:r>
      <w:fldChar w:fldCharType="separate"/>
    </w:r>
    <w:r>
      <w:rPr>
        <w:rFonts w:ascii="Times New Roman" w:eastAsia="Times New Roman" w:hAnsi="Times New Roman" w:cs="Times New Roman"/>
        <w:sz w:val="24"/>
      </w:rPr>
      <w:t>86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708"/>
    </w:pPr>
    <w:r>
      <w:rPr>
        <w:rFonts w:ascii="Times New Roman" w:eastAsia="Times New Roman" w:hAnsi="Times New Roman" w:cs="Times New Roman"/>
        <w:sz w:val="24"/>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jc w:val="right"/>
    </w:pPr>
    <w:r>
      <w:fldChar w:fldCharType="begin"/>
    </w:r>
    <w:r>
      <w:instrText xml:space="preserve"> PAGE   \* MERGEFORMAT </w:instrText>
    </w:r>
    <w:r>
      <w:fldChar w:fldCharType="separate"/>
    </w:r>
    <w:r>
      <w:rPr>
        <w:rFonts w:ascii="Times New Roman" w:eastAsia="Times New Roman" w:hAnsi="Times New Roman" w:cs="Times New Roman"/>
        <w:sz w:val="24"/>
      </w:rPr>
      <w:t>86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708"/>
    </w:pPr>
    <w:r>
      <w:rPr>
        <w:rFonts w:ascii="Times New Roman" w:eastAsia="Times New Roman" w:hAnsi="Times New Roman" w:cs="Times New Roman"/>
        <w:sz w:val="24"/>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jc w:val="right"/>
    </w:pPr>
    <w:r>
      <w:fldChar w:fldCharType="begin"/>
    </w:r>
    <w:r>
      <w:instrText xml:space="preserve"> PAGE   \* MERGEFORMAT </w:instrText>
    </w:r>
    <w:r>
      <w:fldChar w:fldCharType="separate"/>
    </w:r>
    <w:r>
      <w:rPr>
        <w:rFonts w:ascii="Times New Roman" w:eastAsia="Times New Roman" w:hAnsi="Times New Roman" w:cs="Times New Roman"/>
        <w:sz w:val="24"/>
      </w:rPr>
      <w:t>86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708"/>
    </w:pPr>
    <w:r>
      <w:rPr>
        <w:rFonts w:ascii="Times New Roman" w:eastAsia="Times New Roman" w:hAnsi="Times New Roman" w:cs="Times New Roman"/>
        <w:sz w:val="24"/>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ind w:right="2"/>
      <w:jc w:val="right"/>
    </w:pPr>
    <w:r>
      <w:fldChar w:fldCharType="begin"/>
    </w:r>
    <w:r>
      <w:instrText xml:space="preserve"> PAGE   \* MERGEFORMAT </w:instrText>
    </w:r>
    <w:r>
      <w:fldChar w:fldCharType="separate"/>
    </w:r>
    <w:r>
      <w:rPr>
        <w:rFonts w:ascii="Times New Roman" w:eastAsia="Times New Roman" w:hAnsi="Times New Roman" w:cs="Times New Roman"/>
        <w:sz w:val="24"/>
      </w:rPr>
      <w:t>86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708"/>
    </w:pPr>
    <w:r>
      <w:rPr>
        <w:rFonts w:ascii="Times New Roman" w:eastAsia="Times New Roman" w:hAnsi="Times New Roman" w:cs="Times New Roman"/>
        <w:sz w:val="24"/>
      </w:rP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ind w:right="2"/>
      <w:jc w:val="right"/>
    </w:pPr>
    <w:r>
      <w:fldChar w:fldCharType="begin"/>
    </w:r>
    <w:r>
      <w:instrText xml:space="preserve"> PAGE   \* MERGEFORMAT </w:instrText>
    </w:r>
    <w:r>
      <w:fldChar w:fldCharType="separate"/>
    </w:r>
    <w:r>
      <w:rPr>
        <w:rFonts w:ascii="Times New Roman" w:eastAsia="Times New Roman" w:hAnsi="Times New Roman" w:cs="Times New Roman"/>
        <w:sz w:val="24"/>
      </w:rPr>
      <w:t>86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708"/>
    </w:pPr>
    <w:r>
      <w:rPr>
        <w:rFonts w:ascii="Times New Roman" w:eastAsia="Times New Roman" w:hAnsi="Times New Roman" w:cs="Times New Roman"/>
        <w:sz w:val="24"/>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ind w:right="2"/>
      <w:jc w:val="right"/>
    </w:pPr>
    <w:r>
      <w:fldChar w:fldCharType="begin"/>
    </w:r>
    <w:r>
      <w:instrText xml:space="preserve"> PAGE   \* MERGEFORMAT </w:instrText>
    </w:r>
    <w:r>
      <w:fldChar w:fldCharType="separate"/>
    </w:r>
    <w:r>
      <w:rPr>
        <w:rFonts w:ascii="Times New Roman" w:eastAsia="Times New Roman" w:hAnsi="Times New Roman" w:cs="Times New Roman"/>
        <w:sz w:val="24"/>
      </w:rPr>
      <w:t>86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708"/>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ind w:right="5"/>
      <w:jc w:val="right"/>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1068"/>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3114B5">
    <w:pPr>
      <w:spacing w:after="0"/>
      <w:ind w:right="5"/>
      <w:jc w:val="right"/>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A3F38" w:rsidRDefault="003114B5">
    <w:pPr>
      <w:spacing w:after="0"/>
      <w:ind w:left="1068"/>
    </w:pPr>
    <w:r>
      <w:rPr>
        <w:rFonts w:ascii="Times New Roman" w:eastAsia="Times New Roman" w:hAnsi="Times New Roman" w:cs="Times New Roman"/>
        <w:sz w:val="2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F38" w:rsidRDefault="005A3F3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114B5">
      <w:pPr>
        <w:spacing w:after="0" w:line="240" w:lineRule="auto"/>
      </w:pPr>
      <w:r>
        <w:separator/>
      </w:r>
    </w:p>
  </w:footnote>
  <w:footnote w:type="continuationSeparator" w:id="0">
    <w:p w:rsidR="00000000" w:rsidRDefault="003114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14E5"/>
    <w:multiLevelType w:val="hybridMultilevel"/>
    <w:tmpl w:val="8FF2D208"/>
    <w:lvl w:ilvl="0" w:tplc="068A1FD0">
      <w:start w:val="1"/>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86D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CE0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A8719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FEBC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C2B1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B234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625FB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B49DC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E85B6F"/>
    <w:multiLevelType w:val="hybridMultilevel"/>
    <w:tmpl w:val="17BAB706"/>
    <w:lvl w:ilvl="0" w:tplc="04DCB036">
      <w:start w:val="93"/>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54E8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6285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B233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4A97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E0B4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7E94A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E47F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3EC9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3F44AE"/>
    <w:multiLevelType w:val="hybridMultilevel"/>
    <w:tmpl w:val="15E088BE"/>
    <w:lvl w:ilvl="0" w:tplc="7E840188">
      <w:start w:val="1"/>
      <w:numFmt w:val="bullet"/>
      <w:lvlText w:val="-"/>
      <w:lvlJc w:val="left"/>
      <w:pPr>
        <w:ind w:left="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CCE32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38D5D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5A507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126CE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72D45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E2B18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52406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E8605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6E6604"/>
    <w:multiLevelType w:val="hybridMultilevel"/>
    <w:tmpl w:val="0ADAC9AE"/>
    <w:lvl w:ilvl="0" w:tplc="A6BE53F2">
      <w:start w:val="1"/>
      <w:numFmt w:val="bullet"/>
      <w:lvlText w:val="-"/>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26E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D4D6D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B40E2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826B5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1AC97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A4A83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0C24E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2457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992550"/>
    <w:multiLevelType w:val="hybridMultilevel"/>
    <w:tmpl w:val="71343DAA"/>
    <w:lvl w:ilvl="0" w:tplc="380236C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54397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2F04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806AB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AC604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EE4EE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A69D8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E45E2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F0796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DA4F92"/>
    <w:multiLevelType w:val="hybridMultilevel"/>
    <w:tmpl w:val="B450003C"/>
    <w:lvl w:ilvl="0" w:tplc="49104568">
      <w:start w:val="1"/>
      <w:numFmt w:val="decimal"/>
      <w:lvlText w:val="%1"/>
      <w:lvlJc w:val="left"/>
      <w:pPr>
        <w:ind w:left="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1" w:tplc="256C1C6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2" w:tplc="4EBCE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3" w:tplc="68225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4" w:tplc="DA62794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5" w:tplc="96FCB5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6" w:tplc="C6DEC97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7" w:tplc="3CC0EF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8" w:tplc="06DED31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abstractNum>
  <w:abstractNum w:abstractNumId="6" w15:restartNumberingAfterBreak="0">
    <w:nsid w:val="0DA9506A"/>
    <w:multiLevelType w:val="hybridMultilevel"/>
    <w:tmpl w:val="5C3842A0"/>
    <w:lvl w:ilvl="0" w:tplc="53A8D412">
      <w:start w:val="1"/>
      <w:numFmt w:val="bullet"/>
      <w:lvlText w:val="•"/>
      <w:lvlJc w:val="left"/>
      <w:pPr>
        <w:ind w:left="71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729C5956">
      <w:start w:val="1"/>
      <w:numFmt w:val="bullet"/>
      <w:lvlText w:val="o"/>
      <w:lvlJc w:val="left"/>
      <w:pPr>
        <w:ind w:left="16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8184E2C">
      <w:start w:val="1"/>
      <w:numFmt w:val="bullet"/>
      <w:lvlText w:val="▪"/>
      <w:lvlJc w:val="left"/>
      <w:pPr>
        <w:ind w:left="23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3B22768">
      <w:start w:val="1"/>
      <w:numFmt w:val="bullet"/>
      <w:lvlText w:val="•"/>
      <w:lvlJc w:val="left"/>
      <w:pPr>
        <w:ind w:left="30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2EEEC0D0">
      <w:start w:val="1"/>
      <w:numFmt w:val="bullet"/>
      <w:lvlText w:val="o"/>
      <w:lvlJc w:val="left"/>
      <w:pPr>
        <w:ind w:left="380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7BCE00E">
      <w:start w:val="1"/>
      <w:numFmt w:val="bullet"/>
      <w:lvlText w:val="▪"/>
      <w:lvlJc w:val="left"/>
      <w:pPr>
        <w:ind w:left="452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4AEA176">
      <w:start w:val="1"/>
      <w:numFmt w:val="bullet"/>
      <w:lvlText w:val="•"/>
      <w:lvlJc w:val="left"/>
      <w:pPr>
        <w:ind w:left="52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AF0AAB7A">
      <w:start w:val="1"/>
      <w:numFmt w:val="bullet"/>
      <w:lvlText w:val="o"/>
      <w:lvlJc w:val="left"/>
      <w:pPr>
        <w:ind w:left="59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C881088">
      <w:start w:val="1"/>
      <w:numFmt w:val="bullet"/>
      <w:lvlText w:val="▪"/>
      <w:lvlJc w:val="left"/>
      <w:pPr>
        <w:ind w:left="66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826164"/>
    <w:multiLevelType w:val="hybridMultilevel"/>
    <w:tmpl w:val="E63ACDF0"/>
    <w:lvl w:ilvl="0" w:tplc="0506F4CA">
      <w:start w:val="104"/>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727C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67B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802B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8CB0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866C8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5ECD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D021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E407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1E52643"/>
    <w:multiLevelType w:val="hybridMultilevel"/>
    <w:tmpl w:val="0F4E863A"/>
    <w:lvl w:ilvl="0" w:tplc="C48CA1A2">
      <w:start w:val="1"/>
      <w:numFmt w:val="decimal"/>
      <w:lvlText w:val="%1."/>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2C120">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1A6A26">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7EAB2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9EEC8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E6C5F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705C5C">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6469F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66ACD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49F45D2"/>
    <w:multiLevelType w:val="hybridMultilevel"/>
    <w:tmpl w:val="A05A2510"/>
    <w:lvl w:ilvl="0" w:tplc="516649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C8749E">
      <w:start w:val="1"/>
      <w:numFmt w:val="bullet"/>
      <w:lvlText w:val="o"/>
      <w:lvlJc w:val="left"/>
      <w:pPr>
        <w:ind w:left="177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3B32725A">
      <w:start w:val="1"/>
      <w:numFmt w:val="bullet"/>
      <w:lvlText w:val="▪"/>
      <w:lvlJc w:val="left"/>
      <w:pPr>
        <w:ind w:left="178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89F04176">
      <w:start w:val="1"/>
      <w:numFmt w:val="bullet"/>
      <w:lvlText w:val="•"/>
      <w:lvlJc w:val="left"/>
      <w:pPr>
        <w:ind w:left="25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918527E">
      <w:start w:val="1"/>
      <w:numFmt w:val="bullet"/>
      <w:lvlText w:val="o"/>
      <w:lvlJc w:val="left"/>
      <w:pPr>
        <w:ind w:left="322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5C042C8">
      <w:start w:val="1"/>
      <w:numFmt w:val="bullet"/>
      <w:lvlText w:val="▪"/>
      <w:lvlJc w:val="left"/>
      <w:pPr>
        <w:ind w:left="394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776E20A6">
      <w:start w:val="1"/>
      <w:numFmt w:val="bullet"/>
      <w:lvlText w:val="•"/>
      <w:lvlJc w:val="left"/>
      <w:pPr>
        <w:ind w:left="466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C42C830C">
      <w:start w:val="1"/>
      <w:numFmt w:val="bullet"/>
      <w:lvlText w:val="o"/>
      <w:lvlJc w:val="left"/>
      <w:pPr>
        <w:ind w:left="538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39C97EA">
      <w:start w:val="1"/>
      <w:numFmt w:val="bullet"/>
      <w:lvlText w:val="▪"/>
      <w:lvlJc w:val="left"/>
      <w:pPr>
        <w:ind w:left="61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E2607A"/>
    <w:multiLevelType w:val="hybridMultilevel"/>
    <w:tmpl w:val="F3547316"/>
    <w:lvl w:ilvl="0" w:tplc="8132C610">
      <w:start w:val="1"/>
      <w:numFmt w:val="bullet"/>
      <w:lvlText w:val="•"/>
      <w:lvlJc w:val="left"/>
      <w:pPr>
        <w:ind w:left="4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0801FE">
      <w:start w:val="1"/>
      <w:numFmt w:val="bullet"/>
      <w:lvlText w:val="o"/>
      <w:lvlJc w:val="left"/>
      <w:pPr>
        <w:ind w:left="12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8A9FD6">
      <w:start w:val="1"/>
      <w:numFmt w:val="bullet"/>
      <w:lvlText w:val="▪"/>
      <w:lvlJc w:val="left"/>
      <w:pPr>
        <w:ind w:left="19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0EC556">
      <w:start w:val="1"/>
      <w:numFmt w:val="bullet"/>
      <w:lvlText w:val="•"/>
      <w:lvlJc w:val="left"/>
      <w:pPr>
        <w:ind w:left="26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4463E2">
      <w:start w:val="1"/>
      <w:numFmt w:val="bullet"/>
      <w:lvlText w:val="o"/>
      <w:lvlJc w:val="left"/>
      <w:pPr>
        <w:ind w:left="33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B4A7A6">
      <w:start w:val="1"/>
      <w:numFmt w:val="bullet"/>
      <w:lvlText w:val="▪"/>
      <w:lvlJc w:val="left"/>
      <w:pPr>
        <w:ind w:left="40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E87BC0">
      <w:start w:val="1"/>
      <w:numFmt w:val="bullet"/>
      <w:lvlText w:val="•"/>
      <w:lvlJc w:val="left"/>
      <w:pPr>
        <w:ind w:left="48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CE7450">
      <w:start w:val="1"/>
      <w:numFmt w:val="bullet"/>
      <w:lvlText w:val="o"/>
      <w:lvlJc w:val="left"/>
      <w:pPr>
        <w:ind w:left="55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F4A2A8">
      <w:start w:val="1"/>
      <w:numFmt w:val="bullet"/>
      <w:lvlText w:val="▪"/>
      <w:lvlJc w:val="left"/>
      <w:pPr>
        <w:ind w:left="62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C077086"/>
    <w:multiLevelType w:val="hybridMultilevel"/>
    <w:tmpl w:val="40EE6214"/>
    <w:lvl w:ilvl="0" w:tplc="17DC9EEA">
      <w:start w:val="1"/>
      <w:numFmt w:val="bullet"/>
      <w:lvlText w:val="•"/>
      <w:lvlJc w:val="left"/>
      <w:pPr>
        <w:ind w:left="3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7A177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D8AFCB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1621D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E072C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9E7D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208651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E8FCF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284C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CC635D"/>
    <w:multiLevelType w:val="hybridMultilevel"/>
    <w:tmpl w:val="563A81AE"/>
    <w:lvl w:ilvl="0" w:tplc="8B2233D0">
      <w:start w:val="66"/>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6493A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3050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7CAF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0E18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0207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C08F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4677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2E1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3455456"/>
    <w:multiLevelType w:val="hybridMultilevel"/>
    <w:tmpl w:val="7792813E"/>
    <w:lvl w:ilvl="0" w:tplc="A8BCE8C6">
      <w:start w:val="183"/>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6C895A">
      <w:start w:val="1"/>
      <w:numFmt w:val="lowerLetter"/>
      <w:lvlText w:val="%2"/>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382F4A">
      <w:start w:val="1"/>
      <w:numFmt w:val="lowerRoman"/>
      <w:lvlText w:val="%3"/>
      <w:lvlJc w:val="left"/>
      <w:pPr>
        <w:ind w:left="1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F49550">
      <w:start w:val="1"/>
      <w:numFmt w:val="decimal"/>
      <w:lvlText w:val="%4"/>
      <w:lvlJc w:val="left"/>
      <w:pPr>
        <w:ind w:left="2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906886">
      <w:start w:val="1"/>
      <w:numFmt w:val="lowerLetter"/>
      <w:lvlText w:val="%5"/>
      <w:lvlJc w:val="left"/>
      <w:pPr>
        <w:ind w:left="3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AEC708">
      <w:start w:val="1"/>
      <w:numFmt w:val="lowerRoman"/>
      <w:lvlText w:val="%6"/>
      <w:lvlJc w:val="left"/>
      <w:pPr>
        <w:ind w:left="4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46F3C0">
      <w:start w:val="1"/>
      <w:numFmt w:val="decimal"/>
      <w:lvlText w:val="%7"/>
      <w:lvlJc w:val="left"/>
      <w:pPr>
        <w:ind w:left="4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E20632">
      <w:start w:val="1"/>
      <w:numFmt w:val="lowerLetter"/>
      <w:lvlText w:val="%8"/>
      <w:lvlJc w:val="left"/>
      <w:pPr>
        <w:ind w:left="5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B28BB8">
      <w:start w:val="1"/>
      <w:numFmt w:val="lowerRoman"/>
      <w:lvlText w:val="%9"/>
      <w:lvlJc w:val="left"/>
      <w:pPr>
        <w:ind w:left="6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1D57AA"/>
    <w:multiLevelType w:val="hybridMultilevel"/>
    <w:tmpl w:val="9F94718C"/>
    <w:lvl w:ilvl="0" w:tplc="6130EA0C">
      <w:start w:val="1"/>
      <w:numFmt w:val="decimal"/>
      <w:lvlText w:val="%1."/>
      <w:lvlJc w:val="left"/>
      <w:pPr>
        <w:ind w:left="1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50F10C">
      <w:start w:val="1"/>
      <w:numFmt w:val="lowerLetter"/>
      <w:lvlText w:val="%2"/>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F2CC00">
      <w:start w:val="1"/>
      <w:numFmt w:val="lowerRoman"/>
      <w:lvlText w:val="%3"/>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B07716">
      <w:start w:val="1"/>
      <w:numFmt w:val="decimal"/>
      <w:lvlText w:val="%4"/>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CC2B56">
      <w:start w:val="1"/>
      <w:numFmt w:val="lowerLetter"/>
      <w:lvlText w:val="%5"/>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EA625A">
      <w:start w:val="1"/>
      <w:numFmt w:val="lowerRoman"/>
      <w:lvlText w:val="%6"/>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1E4588">
      <w:start w:val="1"/>
      <w:numFmt w:val="decimal"/>
      <w:lvlText w:val="%7"/>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0ABAC8">
      <w:start w:val="1"/>
      <w:numFmt w:val="lowerLetter"/>
      <w:lvlText w:val="%8"/>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DE9B46">
      <w:start w:val="1"/>
      <w:numFmt w:val="lowerRoman"/>
      <w:lvlText w:val="%9"/>
      <w:lvlJc w:val="left"/>
      <w:pPr>
        <w:ind w:left="6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DE47FB"/>
    <w:multiLevelType w:val="hybridMultilevel"/>
    <w:tmpl w:val="349829E6"/>
    <w:lvl w:ilvl="0" w:tplc="DBD2A49A">
      <w:start w:val="222"/>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38E8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4C826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FAC57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8074D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3E328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C6521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30811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2A88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E93421"/>
    <w:multiLevelType w:val="hybridMultilevel"/>
    <w:tmpl w:val="373EB4E4"/>
    <w:lvl w:ilvl="0" w:tplc="FE6E89B6">
      <w:start w:val="1"/>
      <w:numFmt w:val="bullet"/>
      <w:lvlText w:val="-"/>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F0239A">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8086D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20869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8076C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C2BBF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3CBBE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02423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2EF3E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F7300A1"/>
    <w:multiLevelType w:val="hybridMultilevel"/>
    <w:tmpl w:val="84CE32B2"/>
    <w:lvl w:ilvl="0" w:tplc="612086D4">
      <w:start w:val="295"/>
      <w:numFmt w:val="decimal"/>
      <w:lvlText w:val="%1."/>
      <w:lvlJc w:val="left"/>
      <w:pPr>
        <w:ind w:left="1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4273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C82DC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4659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5423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D46F2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84C7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1C038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AECA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F7A2750"/>
    <w:multiLevelType w:val="hybridMultilevel"/>
    <w:tmpl w:val="AAE45FBE"/>
    <w:lvl w:ilvl="0" w:tplc="6D7CA7A6">
      <w:start w:val="207"/>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82A3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AC11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14D7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18EF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D2E4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EAB3B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BC9AB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3A66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FE36242"/>
    <w:multiLevelType w:val="hybridMultilevel"/>
    <w:tmpl w:val="86109EEE"/>
    <w:lvl w:ilvl="0" w:tplc="A2704D02">
      <w:start w:val="287"/>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76C7A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2AC0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50E1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AA9C8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7C331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56E3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2663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F86A1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01545C1"/>
    <w:multiLevelType w:val="hybridMultilevel"/>
    <w:tmpl w:val="8BA6DD6C"/>
    <w:lvl w:ilvl="0" w:tplc="0176601E">
      <w:start w:val="1"/>
      <w:numFmt w:val="bullet"/>
      <w:lvlText w:val="•"/>
      <w:lvlJc w:val="left"/>
      <w:pPr>
        <w:ind w:left="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281AE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FFC97A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6F0E79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92360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A1E193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14EFA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E925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D9E8AD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5886588"/>
    <w:multiLevelType w:val="hybridMultilevel"/>
    <w:tmpl w:val="E0A6F28E"/>
    <w:lvl w:ilvl="0" w:tplc="F628FB78">
      <w:start w:val="318"/>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E80C4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C4EB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AA27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9C91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64CF0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4AC7D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DE3F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60DA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7230440"/>
    <w:multiLevelType w:val="hybridMultilevel"/>
    <w:tmpl w:val="9B3CD122"/>
    <w:lvl w:ilvl="0" w:tplc="9846611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7A4B4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1A8F0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D62A7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040F3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F609F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8E27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41E9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BEEBD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7C507D"/>
    <w:multiLevelType w:val="hybridMultilevel"/>
    <w:tmpl w:val="339E8D0E"/>
    <w:lvl w:ilvl="0" w:tplc="DEA4F34C">
      <w:start w:val="1"/>
      <w:numFmt w:val="bullet"/>
      <w:lvlText w:val="•"/>
      <w:lvlJc w:val="left"/>
      <w:pPr>
        <w:ind w:left="1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547E1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64899D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4A2F7F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5E9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742C0F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F6D04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3299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B7EB77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A521904"/>
    <w:multiLevelType w:val="hybridMultilevel"/>
    <w:tmpl w:val="C5107054"/>
    <w:lvl w:ilvl="0" w:tplc="C1381D8E">
      <w:start w:val="234"/>
      <w:numFmt w:val="decimal"/>
      <w:lvlText w:val="%1."/>
      <w:lvlJc w:val="left"/>
      <w:pPr>
        <w:ind w:left="1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9CD6C6">
      <w:start w:val="278"/>
      <w:numFmt w:val="decimal"/>
      <w:lvlText w:val="%2."/>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8EB410">
      <w:start w:val="1"/>
      <w:numFmt w:val="lowerRoman"/>
      <w:lvlText w:val="%3"/>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1C57E0">
      <w:start w:val="1"/>
      <w:numFmt w:val="decimal"/>
      <w:lvlText w:val="%4"/>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D8844A">
      <w:start w:val="1"/>
      <w:numFmt w:val="lowerLetter"/>
      <w:lvlText w:val="%5"/>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367774">
      <w:start w:val="1"/>
      <w:numFmt w:val="lowerRoman"/>
      <w:lvlText w:val="%6"/>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8A8B50">
      <w:start w:val="1"/>
      <w:numFmt w:val="decimal"/>
      <w:lvlText w:val="%7"/>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A4DF98">
      <w:start w:val="1"/>
      <w:numFmt w:val="lowerLetter"/>
      <w:lvlText w:val="%8"/>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CC9248">
      <w:start w:val="1"/>
      <w:numFmt w:val="lowerRoman"/>
      <w:lvlText w:val="%9"/>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BE466E5"/>
    <w:multiLevelType w:val="hybridMultilevel"/>
    <w:tmpl w:val="38A8DC84"/>
    <w:lvl w:ilvl="0" w:tplc="596CEE76">
      <w:start w:val="31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5E69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66F2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F2BC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8C11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8AC6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441C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CE35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AED6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C193931"/>
    <w:multiLevelType w:val="hybridMultilevel"/>
    <w:tmpl w:val="7DF81AF8"/>
    <w:lvl w:ilvl="0" w:tplc="DFEC182E">
      <w:start w:val="177"/>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1A38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52DDD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A8C4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B0E9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9E8E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9EAFF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AE60C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0D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C3D2DD1"/>
    <w:multiLevelType w:val="hybridMultilevel"/>
    <w:tmpl w:val="BB2C3688"/>
    <w:lvl w:ilvl="0" w:tplc="6C5EE0F8">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905398">
      <w:start w:val="1"/>
      <w:numFmt w:val="bullet"/>
      <w:lvlText w:val="o"/>
      <w:lvlJc w:val="left"/>
      <w:pPr>
        <w:ind w:left="1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265D38">
      <w:start w:val="1"/>
      <w:numFmt w:val="bullet"/>
      <w:lvlText w:val="▪"/>
      <w:lvlJc w:val="left"/>
      <w:pPr>
        <w:ind w:left="2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1469F4">
      <w:start w:val="1"/>
      <w:numFmt w:val="bullet"/>
      <w:lvlText w:val="•"/>
      <w:lvlJc w:val="left"/>
      <w:pPr>
        <w:ind w:left="2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9E5096">
      <w:start w:val="1"/>
      <w:numFmt w:val="bullet"/>
      <w:lvlText w:val="o"/>
      <w:lvlJc w:val="left"/>
      <w:pPr>
        <w:ind w:left="3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E2DB56">
      <w:start w:val="1"/>
      <w:numFmt w:val="bullet"/>
      <w:lvlText w:val="▪"/>
      <w:lvlJc w:val="left"/>
      <w:pPr>
        <w:ind w:left="4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48DDEA">
      <w:start w:val="1"/>
      <w:numFmt w:val="bullet"/>
      <w:lvlText w:val="•"/>
      <w:lvlJc w:val="left"/>
      <w:pPr>
        <w:ind w:left="4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C18">
      <w:start w:val="1"/>
      <w:numFmt w:val="bullet"/>
      <w:lvlText w:val="o"/>
      <w:lvlJc w:val="left"/>
      <w:pPr>
        <w:ind w:left="5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5E04FC">
      <w:start w:val="1"/>
      <w:numFmt w:val="bullet"/>
      <w:lvlText w:val="▪"/>
      <w:lvlJc w:val="left"/>
      <w:pPr>
        <w:ind w:left="6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053650D"/>
    <w:multiLevelType w:val="hybridMultilevel"/>
    <w:tmpl w:val="EBE443D8"/>
    <w:lvl w:ilvl="0" w:tplc="29E6E1AC">
      <w:start w:val="305"/>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EC42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9076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FE8B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4A8D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E0A0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9AD9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66E15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82F8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34B51F2"/>
    <w:multiLevelType w:val="hybridMultilevel"/>
    <w:tmpl w:val="F782E01C"/>
    <w:lvl w:ilvl="0" w:tplc="0FBE2C10">
      <w:start w:val="1"/>
      <w:numFmt w:val="bullet"/>
      <w:lvlText w:val="•"/>
      <w:lvlJc w:val="left"/>
      <w:pPr>
        <w:ind w:left="10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D12F634">
      <w:start w:val="1"/>
      <w:numFmt w:val="bullet"/>
      <w:lvlText w:val="o"/>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B6963882">
      <w:start w:val="1"/>
      <w:numFmt w:val="bullet"/>
      <w:lvlText w:val="▪"/>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28A0528">
      <w:start w:val="1"/>
      <w:numFmt w:val="bullet"/>
      <w:lvlText w:val="•"/>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24367626">
      <w:start w:val="1"/>
      <w:numFmt w:val="bullet"/>
      <w:lvlText w:val="o"/>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AEC00A4">
      <w:start w:val="1"/>
      <w:numFmt w:val="bullet"/>
      <w:lvlText w:val="▪"/>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FEF21CA8">
      <w:start w:val="1"/>
      <w:numFmt w:val="bullet"/>
      <w:lvlText w:val="•"/>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C4464720">
      <w:start w:val="1"/>
      <w:numFmt w:val="bullet"/>
      <w:lvlText w:val="o"/>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18D8990A">
      <w:start w:val="1"/>
      <w:numFmt w:val="bullet"/>
      <w:lvlText w:val="▪"/>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37773CD"/>
    <w:multiLevelType w:val="hybridMultilevel"/>
    <w:tmpl w:val="A96C1CE8"/>
    <w:lvl w:ilvl="0" w:tplc="360CB106">
      <w:start w:val="1"/>
      <w:numFmt w:val="bullet"/>
      <w:lvlText w:val="•"/>
      <w:lvlJc w:val="left"/>
      <w:pPr>
        <w:ind w:left="3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2455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2C8CC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4645F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72071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594E85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5C52F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02DB8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52A26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3E30EFC"/>
    <w:multiLevelType w:val="hybridMultilevel"/>
    <w:tmpl w:val="3422527A"/>
    <w:lvl w:ilvl="0" w:tplc="66C052CA">
      <w:start w:val="1"/>
      <w:numFmt w:val="bullet"/>
      <w:lvlText w:val="•"/>
      <w:lvlJc w:val="left"/>
      <w:pPr>
        <w:ind w:left="3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FA44B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82EA1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D2A094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12815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640FFB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EAC83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6E1BF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4C80E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5884550"/>
    <w:multiLevelType w:val="hybridMultilevel"/>
    <w:tmpl w:val="9FE8F5A2"/>
    <w:lvl w:ilvl="0" w:tplc="06322F7E">
      <w:start w:val="113"/>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183E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4C09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8EEC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E050A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BC04B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9CC27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4444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B2F0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6032346"/>
    <w:multiLevelType w:val="hybridMultilevel"/>
    <w:tmpl w:val="B45CD578"/>
    <w:lvl w:ilvl="0" w:tplc="E31E8EBA">
      <w:start w:val="186"/>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44AD80">
      <w:start w:val="1"/>
      <w:numFmt w:val="lowerLetter"/>
      <w:lvlText w:val="%2"/>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F07A40">
      <w:start w:val="1"/>
      <w:numFmt w:val="lowerRoman"/>
      <w:lvlText w:val="%3"/>
      <w:lvlJc w:val="left"/>
      <w:pPr>
        <w:ind w:left="1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AE7B48">
      <w:start w:val="1"/>
      <w:numFmt w:val="decimal"/>
      <w:lvlText w:val="%4"/>
      <w:lvlJc w:val="left"/>
      <w:pPr>
        <w:ind w:left="2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0A443E">
      <w:start w:val="1"/>
      <w:numFmt w:val="lowerLetter"/>
      <w:lvlText w:val="%5"/>
      <w:lvlJc w:val="left"/>
      <w:pPr>
        <w:ind w:left="3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B2D16A">
      <w:start w:val="1"/>
      <w:numFmt w:val="lowerRoman"/>
      <w:lvlText w:val="%6"/>
      <w:lvlJc w:val="left"/>
      <w:pPr>
        <w:ind w:left="4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A297D6">
      <w:start w:val="1"/>
      <w:numFmt w:val="decimal"/>
      <w:lvlText w:val="%7"/>
      <w:lvlJc w:val="left"/>
      <w:pPr>
        <w:ind w:left="4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040694">
      <w:start w:val="1"/>
      <w:numFmt w:val="lowerLetter"/>
      <w:lvlText w:val="%8"/>
      <w:lvlJc w:val="left"/>
      <w:pPr>
        <w:ind w:left="5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679BC">
      <w:start w:val="1"/>
      <w:numFmt w:val="lowerRoman"/>
      <w:lvlText w:val="%9"/>
      <w:lvlJc w:val="left"/>
      <w:pPr>
        <w:ind w:left="6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9C1273A"/>
    <w:multiLevelType w:val="hybridMultilevel"/>
    <w:tmpl w:val="1F92B014"/>
    <w:lvl w:ilvl="0" w:tplc="6820E960">
      <w:start w:val="78"/>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265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6C17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F869E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A8CE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3EE1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9C2D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EAC10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46A2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C80096B"/>
    <w:multiLevelType w:val="hybridMultilevel"/>
    <w:tmpl w:val="E356DD76"/>
    <w:lvl w:ilvl="0" w:tplc="97681F14">
      <w:start w:val="1"/>
      <w:numFmt w:val="bullet"/>
      <w:lvlText w:val="-"/>
      <w:lvlJc w:val="left"/>
      <w:pPr>
        <w:ind w:left="12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953E16A4">
      <w:start w:val="1"/>
      <w:numFmt w:val="bullet"/>
      <w:lvlText w:val="o"/>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0BE9C5E">
      <w:start w:val="1"/>
      <w:numFmt w:val="bullet"/>
      <w:lvlText w:val="▪"/>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36F81F68">
      <w:start w:val="1"/>
      <w:numFmt w:val="bullet"/>
      <w:lvlText w:val="•"/>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B048E40">
      <w:start w:val="1"/>
      <w:numFmt w:val="bullet"/>
      <w:lvlText w:val="o"/>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D07840A8">
      <w:start w:val="1"/>
      <w:numFmt w:val="bullet"/>
      <w:lvlText w:val="▪"/>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8A05CF4">
      <w:start w:val="1"/>
      <w:numFmt w:val="bullet"/>
      <w:lvlText w:val="•"/>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6BCCE370">
      <w:start w:val="1"/>
      <w:numFmt w:val="bullet"/>
      <w:lvlText w:val="o"/>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A9ADDA2">
      <w:start w:val="1"/>
      <w:numFmt w:val="bullet"/>
      <w:lvlText w:val="▪"/>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F4835D5"/>
    <w:multiLevelType w:val="hybridMultilevel"/>
    <w:tmpl w:val="CA549DF8"/>
    <w:lvl w:ilvl="0" w:tplc="BC2A1ADA">
      <w:start w:val="1"/>
      <w:numFmt w:val="bullet"/>
      <w:lvlText w:val="-"/>
      <w:lvlJc w:val="left"/>
      <w:pPr>
        <w:ind w:left="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9E6A08">
      <w:start w:val="1"/>
      <w:numFmt w:val="bullet"/>
      <w:lvlText w:val="o"/>
      <w:lvlJc w:val="left"/>
      <w:pPr>
        <w:ind w:left="160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284C2E20">
      <w:start w:val="1"/>
      <w:numFmt w:val="bullet"/>
      <w:lvlText w:val="▪"/>
      <w:lvlJc w:val="left"/>
      <w:pPr>
        <w:ind w:left="196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66EDE92">
      <w:start w:val="1"/>
      <w:numFmt w:val="bullet"/>
      <w:lvlText w:val="•"/>
      <w:lvlJc w:val="left"/>
      <w:pPr>
        <w:ind w:left="268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1A60194E">
      <w:start w:val="1"/>
      <w:numFmt w:val="bullet"/>
      <w:lvlText w:val="o"/>
      <w:lvlJc w:val="left"/>
      <w:pPr>
        <w:ind w:left="340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0F987E6E">
      <w:start w:val="1"/>
      <w:numFmt w:val="bullet"/>
      <w:lvlText w:val="▪"/>
      <w:lvlJc w:val="left"/>
      <w:pPr>
        <w:ind w:left="41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DFD0CEA2">
      <w:start w:val="1"/>
      <w:numFmt w:val="bullet"/>
      <w:lvlText w:val="•"/>
      <w:lvlJc w:val="left"/>
      <w:pPr>
        <w:ind w:left="484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96F0DFB4">
      <w:start w:val="1"/>
      <w:numFmt w:val="bullet"/>
      <w:lvlText w:val="o"/>
      <w:lvlJc w:val="left"/>
      <w:pPr>
        <w:ind w:left="556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7F28EC8">
      <w:start w:val="1"/>
      <w:numFmt w:val="bullet"/>
      <w:lvlText w:val="▪"/>
      <w:lvlJc w:val="left"/>
      <w:pPr>
        <w:ind w:left="628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460229"/>
    <w:multiLevelType w:val="hybridMultilevel"/>
    <w:tmpl w:val="F642D702"/>
    <w:lvl w:ilvl="0" w:tplc="1A8CCF4C">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7ABF72">
      <w:start w:val="1"/>
      <w:numFmt w:val="bullet"/>
      <w:lvlText w:val="•"/>
      <w:lvlJc w:val="left"/>
      <w:pPr>
        <w:ind w:left="1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3EE8AC2">
      <w:start w:val="1"/>
      <w:numFmt w:val="bullet"/>
      <w:lvlText w:val="▪"/>
      <w:lvlJc w:val="left"/>
      <w:pPr>
        <w:ind w:left="1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62A5E2">
      <w:start w:val="1"/>
      <w:numFmt w:val="bullet"/>
      <w:lvlText w:val="•"/>
      <w:lvlJc w:val="left"/>
      <w:pPr>
        <w:ind w:left="2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ACA172">
      <w:start w:val="1"/>
      <w:numFmt w:val="bullet"/>
      <w:lvlText w:val="o"/>
      <w:lvlJc w:val="left"/>
      <w:pPr>
        <w:ind w:left="34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404710">
      <w:start w:val="1"/>
      <w:numFmt w:val="bullet"/>
      <w:lvlText w:val="▪"/>
      <w:lvlJc w:val="left"/>
      <w:pPr>
        <w:ind w:left="4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44EB232">
      <w:start w:val="1"/>
      <w:numFmt w:val="bullet"/>
      <w:lvlText w:val="•"/>
      <w:lvlJc w:val="left"/>
      <w:pPr>
        <w:ind w:left="48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D4B57A">
      <w:start w:val="1"/>
      <w:numFmt w:val="bullet"/>
      <w:lvlText w:val="o"/>
      <w:lvlJc w:val="left"/>
      <w:pPr>
        <w:ind w:left="55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E271AE">
      <w:start w:val="1"/>
      <w:numFmt w:val="bullet"/>
      <w:lvlText w:val="▪"/>
      <w:lvlJc w:val="left"/>
      <w:pPr>
        <w:ind w:left="62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5987703"/>
    <w:multiLevelType w:val="hybridMultilevel"/>
    <w:tmpl w:val="00FAE3AC"/>
    <w:lvl w:ilvl="0" w:tplc="C098FEEE">
      <w:start w:val="96"/>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943E1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C8727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C4D5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2EA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044B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24903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422D1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78BF7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6606E80"/>
    <w:multiLevelType w:val="hybridMultilevel"/>
    <w:tmpl w:val="D03AE684"/>
    <w:lvl w:ilvl="0" w:tplc="0890E652">
      <w:start w:val="19"/>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26A2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E695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29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7CAB4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DC64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D097C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2886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5CEA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6C04B36"/>
    <w:multiLevelType w:val="hybridMultilevel"/>
    <w:tmpl w:val="4888DBF0"/>
    <w:lvl w:ilvl="0" w:tplc="14F8BEBC">
      <w:start w:val="1"/>
      <w:numFmt w:val="bullet"/>
      <w:lvlText w:val="•"/>
      <w:lvlJc w:val="left"/>
      <w:pPr>
        <w:ind w:left="3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98A9A2">
      <w:start w:val="1"/>
      <w:numFmt w:val="bullet"/>
      <w:lvlText w:val="o"/>
      <w:lvlJc w:val="left"/>
      <w:pPr>
        <w:ind w:left="1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380E96">
      <w:start w:val="1"/>
      <w:numFmt w:val="bullet"/>
      <w:lvlText w:val="▪"/>
      <w:lvlJc w:val="left"/>
      <w:pPr>
        <w:ind w:left="18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658A7B0">
      <w:start w:val="1"/>
      <w:numFmt w:val="bullet"/>
      <w:lvlText w:val="•"/>
      <w:lvlJc w:val="left"/>
      <w:pPr>
        <w:ind w:left="2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02F7A2">
      <w:start w:val="1"/>
      <w:numFmt w:val="bullet"/>
      <w:lvlText w:val="o"/>
      <w:lvlJc w:val="left"/>
      <w:pPr>
        <w:ind w:left="3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FEF3E2">
      <w:start w:val="1"/>
      <w:numFmt w:val="bullet"/>
      <w:lvlText w:val="▪"/>
      <w:lvlJc w:val="left"/>
      <w:pPr>
        <w:ind w:left="40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12FBBC">
      <w:start w:val="1"/>
      <w:numFmt w:val="bullet"/>
      <w:lvlText w:val="•"/>
      <w:lvlJc w:val="left"/>
      <w:pPr>
        <w:ind w:left="4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96D6A6">
      <w:start w:val="1"/>
      <w:numFmt w:val="bullet"/>
      <w:lvlText w:val="o"/>
      <w:lvlJc w:val="left"/>
      <w:pPr>
        <w:ind w:left="5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F85D20">
      <w:start w:val="1"/>
      <w:numFmt w:val="bullet"/>
      <w:lvlText w:val="▪"/>
      <w:lvlJc w:val="left"/>
      <w:pPr>
        <w:ind w:left="62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779081F"/>
    <w:multiLevelType w:val="hybridMultilevel"/>
    <w:tmpl w:val="56B6E8BC"/>
    <w:lvl w:ilvl="0" w:tplc="3B78DC04">
      <w:start w:val="1"/>
      <w:numFmt w:val="bullet"/>
      <w:lvlText w:val="-"/>
      <w:lvlJc w:val="left"/>
      <w:pPr>
        <w:ind w:left="48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005E5292">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301E4BD2">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706BF7A">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50E03364">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910B0A2">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E640B3AE">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B5C4BE1A">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4D2C48A">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77A2A9F"/>
    <w:multiLevelType w:val="hybridMultilevel"/>
    <w:tmpl w:val="7C0683E0"/>
    <w:lvl w:ilvl="0" w:tplc="C160F4CC">
      <w:start w:val="23"/>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70E4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CA74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AE29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E470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6E309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3846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D8E5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062A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9294475"/>
    <w:multiLevelType w:val="hybridMultilevel"/>
    <w:tmpl w:val="030A0B8C"/>
    <w:lvl w:ilvl="0" w:tplc="4970DCF4">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8AA052">
      <w:start w:val="1"/>
      <w:numFmt w:val="bullet"/>
      <w:lvlText w:val="o"/>
      <w:lvlJc w:val="left"/>
      <w:pPr>
        <w:ind w:left="1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324D20">
      <w:start w:val="1"/>
      <w:numFmt w:val="bullet"/>
      <w:lvlText w:val="▪"/>
      <w:lvlJc w:val="left"/>
      <w:pPr>
        <w:ind w:left="2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EC22E8">
      <w:start w:val="1"/>
      <w:numFmt w:val="bullet"/>
      <w:lvlText w:val="•"/>
      <w:lvlJc w:val="left"/>
      <w:pPr>
        <w:ind w:left="2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4C15D4">
      <w:start w:val="1"/>
      <w:numFmt w:val="bullet"/>
      <w:lvlText w:val="o"/>
      <w:lvlJc w:val="left"/>
      <w:pPr>
        <w:ind w:left="3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660240">
      <w:start w:val="1"/>
      <w:numFmt w:val="bullet"/>
      <w:lvlText w:val="▪"/>
      <w:lvlJc w:val="left"/>
      <w:pPr>
        <w:ind w:left="4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E6428">
      <w:start w:val="1"/>
      <w:numFmt w:val="bullet"/>
      <w:lvlText w:val="•"/>
      <w:lvlJc w:val="left"/>
      <w:pPr>
        <w:ind w:left="4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84E500">
      <w:start w:val="1"/>
      <w:numFmt w:val="bullet"/>
      <w:lvlText w:val="o"/>
      <w:lvlJc w:val="left"/>
      <w:pPr>
        <w:ind w:left="5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CCCD6">
      <w:start w:val="1"/>
      <w:numFmt w:val="bullet"/>
      <w:lvlText w:val="▪"/>
      <w:lvlJc w:val="left"/>
      <w:pPr>
        <w:ind w:left="6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ACE4A0B"/>
    <w:multiLevelType w:val="hybridMultilevel"/>
    <w:tmpl w:val="9AC02946"/>
    <w:lvl w:ilvl="0" w:tplc="D348EA0E">
      <w:start w:val="191"/>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76795A">
      <w:start w:val="1"/>
      <w:numFmt w:val="lowerLetter"/>
      <w:lvlText w:val="%2"/>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509C1C">
      <w:start w:val="1"/>
      <w:numFmt w:val="lowerRoman"/>
      <w:lvlText w:val="%3"/>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2C48F2">
      <w:start w:val="1"/>
      <w:numFmt w:val="decimal"/>
      <w:lvlText w:val="%4"/>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2E5164">
      <w:start w:val="1"/>
      <w:numFmt w:val="lowerLetter"/>
      <w:lvlText w:val="%5"/>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3EE56A">
      <w:start w:val="1"/>
      <w:numFmt w:val="lowerRoman"/>
      <w:lvlText w:val="%6"/>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2A3690">
      <w:start w:val="1"/>
      <w:numFmt w:val="decimal"/>
      <w:lvlText w:val="%7"/>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C7A9C">
      <w:start w:val="1"/>
      <w:numFmt w:val="lowerLetter"/>
      <w:lvlText w:val="%8"/>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B26B50">
      <w:start w:val="1"/>
      <w:numFmt w:val="lowerRoman"/>
      <w:lvlText w:val="%9"/>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B83780C"/>
    <w:multiLevelType w:val="hybridMultilevel"/>
    <w:tmpl w:val="7F94DB5E"/>
    <w:lvl w:ilvl="0" w:tplc="5E545640">
      <w:start w:val="1"/>
      <w:numFmt w:val="decimal"/>
      <w:lvlText w:val="%1."/>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10E1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9C99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748D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8E27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8E69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54AB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DEC43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56D0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EFA78EA"/>
    <w:multiLevelType w:val="hybridMultilevel"/>
    <w:tmpl w:val="E6AE3C02"/>
    <w:lvl w:ilvl="0" w:tplc="6D908EFE">
      <w:start w:val="229"/>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3AB3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8D62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1C9D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029F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425A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107F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AA91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5208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F296CA6"/>
    <w:multiLevelType w:val="hybridMultilevel"/>
    <w:tmpl w:val="C50295E6"/>
    <w:lvl w:ilvl="0" w:tplc="05B43C36">
      <w:start w:val="2"/>
      <w:numFmt w:val="upperLetter"/>
      <w:lvlText w:val="%1"/>
      <w:lvlJc w:val="left"/>
      <w:pPr>
        <w:ind w:left="2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8D888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403B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F86A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494D2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51CFD1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89240F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9207A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5007D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58D2FDD"/>
    <w:multiLevelType w:val="hybridMultilevel"/>
    <w:tmpl w:val="CD6888BA"/>
    <w:lvl w:ilvl="0" w:tplc="B6B00396">
      <w:start w:val="1"/>
      <w:numFmt w:val="bullet"/>
      <w:lvlText w:val="-"/>
      <w:lvlJc w:val="left"/>
      <w:pPr>
        <w:ind w:left="48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E516422C">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5C40BDE">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C5D4ED22">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2968CA0">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2FE5BAE">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6880BC6">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78ECBA8">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795E9F5C">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89E435B"/>
    <w:multiLevelType w:val="hybridMultilevel"/>
    <w:tmpl w:val="9C225116"/>
    <w:lvl w:ilvl="0" w:tplc="2C90F9A6">
      <w:start w:val="1"/>
      <w:numFmt w:val="bullet"/>
      <w:lvlText w:val="•"/>
      <w:lvlJc w:val="left"/>
      <w:pPr>
        <w:ind w:left="3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50763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2EE9B7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4266F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CC8E5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3854D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290BD0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A4872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DE299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A4A54A4"/>
    <w:multiLevelType w:val="hybridMultilevel"/>
    <w:tmpl w:val="B640441E"/>
    <w:lvl w:ilvl="0" w:tplc="8D404C70">
      <w:start w:val="4"/>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BAD8A24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65F6FA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1756C6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FA38FF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F6A80E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6ED673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B03688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7D92B6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51" w15:restartNumberingAfterBreak="0">
    <w:nsid w:val="6E8E0A69"/>
    <w:multiLevelType w:val="hybridMultilevel"/>
    <w:tmpl w:val="0E80C54C"/>
    <w:lvl w:ilvl="0" w:tplc="8E8ADA32">
      <w:start w:val="300"/>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12C2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7A93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3EE77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D8AC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DCAA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C010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1A95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1EFF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EF02A37"/>
    <w:multiLevelType w:val="hybridMultilevel"/>
    <w:tmpl w:val="8DD6C84A"/>
    <w:lvl w:ilvl="0" w:tplc="3DBA81BE">
      <w:start w:val="1"/>
      <w:numFmt w:val="bullet"/>
      <w:lvlText w:val="•"/>
      <w:lvlJc w:val="left"/>
      <w:pPr>
        <w:ind w:left="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0C2BF4">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16C1C2">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3C40C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96694A">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152CA0C">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3C5FB2">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3AF2D4">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9CC9E3A">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12169B"/>
    <w:multiLevelType w:val="hybridMultilevel"/>
    <w:tmpl w:val="D532620C"/>
    <w:lvl w:ilvl="0" w:tplc="BE2C18F0">
      <w:start w:val="85"/>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B687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50B1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44E69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080FE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4C36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C3D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1E43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3CB8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3EF5AC5"/>
    <w:multiLevelType w:val="hybridMultilevel"/>
    <w:tmpl w:val="0A5021D0"/>
    <w:lvl w:ilvl="0" w:tplc="953809BC">
      <w:start w:val="1"/>
      <w:numFmt w:val="bullet"/>
      <w:lvlText w:val="•"/>
      <w:lvlJc w:val="left"/>
      <w:pPr>
        <w:ind w:left="3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1E1A9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F4B1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CA3E0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DE78E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9E97E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A205C3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DADA2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ACCDF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7001D99"/>
    <w:multiLevelType w:val="hybridMultilevel"/>
    <w:tmpl w:val="3B7C72C4"/>
    <w:lvl w:ilvl="0" w:tplc="5F7A641A">
      <w:start w:val="144"/>
      <w:numFmt w:val="decimal"/>
      <w:lvlText w:val="%1."/>
      <w:lvlJc w:val="left"/>
      <w:pPr>
        <w:ind w:left="1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B01C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0E85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B458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1E22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2A51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183A7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88C65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08D0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EC23D3E"/>
    <w:multiLevelType w:val="hybridMultilevel"/>
    <w:tmpl w:val="73F2ACA4"/>
    <w:lvl w:ilvl="0" w:tplc="897A888E">
      <w:start w:val="29"/>
      <w:numFmt w:val="decimal"/>
      <w:lvlText w:val="%1."/>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A0FC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86A8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1E4D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B801C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284C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2ECBD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D053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2A5B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7"/>
  </w:num>
  <w:num w:numId="2">
    <w:abstractNumId w:val="41"/>
  </w:num>
  <w:num w:numId="3">
    <w:abstractNumId w:val="31"/>
  </w:num>
  <w:num w:numId="4">
    <w:abstractNumId w:val="20"/>
  </w:num>
  <w:num w:numId="5">
    <w:abstractNumId w:val="16"/>
  </w:num>
  <w:num w:numId="6">
    <w:abstractNumId w:val="54"/>
  </w:num>
  <w:num w:numId="7">
    <w:abstractNumId w:val="48"/>
  </w:num>
  <w:num w:numId="8">
    <w:abstractNumId w:val="11"/>
  </w:num>
  <w:num w:numId="9">
    <w:abstractNumId w:val="30"/>
  </w:num>
  <w:num w:numId="10">
    <w:abstractNumId w:val="49"/>
  </w:num>
  <w:num w:numId="11">
    <w:abstractNumId w:val="40"/>
  </w:num>
  <w:num w:numId="12">
    <w:abstractNumId w:val="10"/>
  </w:num>
  <w:num w:numId="13">
    <w:abstractNumId w:val="29"/>
  </w:num>
  <w:num w:numId="14">
    <w:abstractNumId w:val="35"/>
  </w:num>
  <w:num w:numId="15">
    <w:abstractNumId w:val="3"/>
  </w:num>
  <w:num w:numId="16">
    <w:abstractNumId w:val="9"/>
  </w:num>
  <w:num w:numId="17">
    <w:abstractNumId w:val="23"/>
  </w:num>
  <w:num w:numId="18">
    <w:abstractNumId w:val="2"/>
  </w:num>
  <w:num w:numId="19">
    <w:abstractNumId w:val="52"/>
  </w:num>
  <w:num w:numId="20">
    <w:abstractNumId w:val="37"/>
  </w:num>
  <w:num w:numId="21">
    <w:abstractNumId w:val="36"/>
  </w:num>
  <w:num w:numId="22">
    <w:abstractNumId w:val="0"/>
  </w:num>
  <w:num w:numId="23">
    <w:abstractNumId w:val="39"/>
  </w:num>
  <w:num w:numId="24">
    <w:abstractNumId w:val="42"/>
  </w:num>
  <w:num w:numId="25">
    <w:abstractNumId w:val="56"/>
  </w:num>
  <w:num w:numId="26">
    <w:abstractNumId w:val="12"/>
  </w:num>
  <w:num w:numId="27">
    <w:abstractNumId w:val="34"/>
  </w:num>
  <w:num w:numId="28">
    <w:abstractNumId w:val="53"/>
  </w:num>
  <w:num w:numId="29">
    <w:abstractNumId w:val="1"/>
  </w:num>
  <w:num w:numId="30">
    <w:abstractNumId w:val="38"/>
  </w:num>
  <w:num w:numId="31">
    <w:abstractNumId w:val="7"/>
  </w:num>
  <w:num w:numId="32">
    <w:abstractNumId w:val="32"/>
  </w:num>
  <w:num w:numId="33">
    <w:abstractNumId w:val="55"/>
  </w:num>
  <w:num w:numId="34">
    <w:abstractNumId w:val="26"/>
  </w:num>
  <w:num w:numId="35">
    <w:abstractNumId w:val="13"/>
  </w:num>
  <w:num w:numId="36">
    <w:abstractNumId w:val="33"/>
  </w:num>
  <w:num w:numId="37">
    <w:abstractNumId w:val="44"/>
  </w:num>
  <w:num w:numId="38">
    <w:abstractNumId w:val="18"/>
  </w:num>
  <w:num w:numId="39">
    <w:abstractNumId w:val="15"/>
  </w:num>
  <w:num w:numId="40">
    <w:abstractNumId w:val="46"/>
  </w:num>
  <w:num w:numId="41">
    <w:abstractNumId w:val="24"/>
  </w:num>
  <w:num w:numId="42">
    <w:abstractNumId w:val="19"/>
  </w:num>
  <w:num w:numId="43">
    <w:abstractNumId w:val="17"/>
  </w:num>
  <w:num w:numId="44">
    <w:abstractNumId w:val="51"/>
  </w:num>
  <w:num w:numId="45">
    <w:abstractNumId w:val="28"/>
  </w:num>
  <w:num w:numId="46">
    <w:abstractNumId w:val="25"/>
  </w:num>
  <w:num w:numId="47">
    <w:abstractNumId w:val="21"/>
  </w:num>
  <w:num w:numId="48">
    <w:abstractNumId w:val="45"/>
  </w:num>
  <w:num w:numId="49">
    <w:abstractNumId w:val="8"/>
  </w:num>
  <w:num w:numId="50">
    <w:abstractNumId w:val="14"/>
  </w:num>
  <w:num w:numId="51">
    <w:abstractNumId w:val="22"/>
  </w:num>
  <w:num w:numId="52">
    <w:abstractNumId w:val="4"/>
  </w:num>
  <w:num w:numId="53">
    <w:abstractNumId w:val="5"/>
  </w:num>
  <w:num w:numId="54">
    <w:abstractNumId w:val="47"/>
  </w:num>
  <w:num w:numId="55">
    <w:abstractNumId w:val="50"/>
  </w:num>
  <w:num w:numId="56">
    <w:abstractNumId w:val="6"/>
  </w:num>
  <w:num w:numId="57">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F38"/>
    <w:rsid w:val="003114B5"/>
    <w:rsid w:val="005A3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1F3F4E5-A87B-4655-97C5-54AC33F7A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3" w:line="248" w:lineRule="auto"/>
      <w:ind w:left="1078" w:hanging="10"/>
      <w:jc w:val="both"/>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09" w:line="265" w:lineRule="auto"/>
      <w:ind w:left="1078" w:hanging="10"/>
      <w:jc w:val="both"/>
      <w:outlineLvl w:val="1"/>
    </w:pPr>
    <w:rPr>
      <w:rFonts w:ascii="Times New Roman" w:eastAsia="Times New Roman" w:hAnsi="Times New Roman" w:cs="Times New Roman"/>
      <w:b/>
      <w:color w:val="000000"/>
      <w:sz w:val="24"/>
      <w:u w:val="single" w:color="000000"/>
    </w:rPr>
  </w:style>
  <w:style w:type="paragraph" w:styleId="Heading3">
    <w:name w:val="heading 3"/>
    <w:next w:val="Normal"/>
    <w:link w:val="Heading3Char"/>
    <w:uiPriority w:val="9"/>
    <w:unhideWhenUsed/>
    <w:qFormat/>
    <w:pPr>
      <w:keepNext/>
      <w:keepLines/>
      <w:spacing w:after="117"/>
      <w:ind w:left="370" w:right="11" w:hanging="10"/>
      <w:jc w:val="both"/>
      <w:outlineLvl w:val="2"/>
    </w:pPr>
    <w:rPr>
      <w:rFonts w:ascii="Times New Roman" w:eastAsia="Times New Roman" w:hAnsi="Times New Roman" w:cs="Times New Roman"/>
      <w:b/>
      <w:i/>
      <w:color w:val="000000"/>
      <w:sz w:val="24"/>
    </w:rPr>
  </w:style>
  <w:style w:type="paragraph" w:styleId="Heading4">
    <w:name w:val="heading 4"/>
    <w:next w:val="Normal"/>
    <w:link w:val="Heading4Char"/>
    <w:uiPriority w:val="9"/>
    <w:unhideWhenUsed/>
    <w:qFormat/>
    <w:pPr>
      <w:keepNext/>
      <w:keepLines/>
      <w:spacing w:after="109" w:line="265" w:lineRule="auto"/>
      <w:ind w:left="1078" w:hanging="10"/>
      <w:jc w:val="both"/>
      <w:outlineLvl w:val="3"/>
    </w:pPr>
    <w:rPr>
      <w:rFonts w:ascii="Times New Roman" w:eastAsia="Times New Roman" w:hAnsi="Times New Roman" w:cs="Times New Roman"/>
      <w:b/>
      <w:color w:val="000000"/>
      <w:sz w:val="24"/>
      <w:u w:val="single" w:color="000000"/>
    </w:rPr>
  </w:style>
  <w:style w:type="paragraph" w:styleId="Heading5">
    <w:name w:val="heading 5"/>
    <w:next w:val="Normal"/>
    <w:link w:val="Heading5Char"/>
    <w:uiPriority w:val="9"/>
    <w:unhideWhenUsed/>
    <w:qFormat/>
    <w:pPr>
      <w:keepNext/>
      <w:keepLines/>
      <w:spacing w:after="109" w:line="265" w:lineRule="auto"/>
      <w:ind w:left="1078" w:hanging="10"/>
      <w:jc w:val="both"/>
      <w:outlineLvl w:val="4"/>
    </w:pPr>
    <w:rPr>
      <w:rFonts w:ascii="Times New Roman" w:eastAsia="Times New Roman" w:hAnsi="Times New Roman" w:cs="Times New Roman"/>
      <w:b/>
      <w:color w:val="000000"/>
      <w:sz w:val="24"/>
      <w:u w:val="single" w:color="000000"/>
    </w:rPr>
  </w:style>
  <w:style w:type="paragraph" w:styleId="Heading6">
    <w:name w:val="heading 6"/>
    <w:next w:val="Normal"/>
    <w:link w:val="Heading6Char"/>
    <w:uiPriority w:val="9"/>
    <w:unhideWhenUsed/>
    <w:qFormat/>
    <w:pPr>
      <w:keepNext/>
      <w:keepLines/>
      <w:spacing w:after="109" w:line="265" w:lineRule="auto"/>
      <w:ind w:left="1078" w:hanging="10"/>
      <w:jc w:val="both"/>
      <w:outlineLvl w:val="5"/>
    </w:pPr>
    <w:rPr>
      <w:rFonts w:ascii="Times New Roman" w:eastAsia="Times New Roman" w:hAnsi="Times New Roman" w:cs="Times New Roman"/>
      <w:b/>
      <w:color w:val="000000"/>
      <w:sz w:val="24"/>
      <w:u w:val="single" w:color="000000"/>
    </w:rPr>
  </w:style>
  <w:style w:type="paragraph" w:styleId="Heading7">
    <w:name w:val="heading 7"/>
    <w:next w:val="Normal"/>
    <w:link w:val="Heading7Char"/>
    <w:uiPriority w:val="9"/>
    <w:unhideWhenUsed/>
    <w:qFormat/>
    <w:pPr>
      <w:keepNext/>
      <w:keepLines/>
      <w:spacing w:after="114"/>
      <w:ind w:left="1078" w:hanging="10"/>
      <w:outlineLvl w:val="6"/>
    </w:pPr>
    <w:rPr>
      <w:rFonts w:ascii="Times New Roman" w:eastAsia="Times New Roman" w:hAnsi="Times New Roman" w:cs="Times New Roman"/>
      <w:b/>
      <w:i/>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b/>
      <w:color w:val="000000"/>
      <w:sz w:val="24"/>
      <w:u w:val="single" w:color="000000"/>
    </w:rPr>
  </w:style>
  <w:style w:type="character" w:customStyle="1" w:styleId="Heading7Char">
    <w:name w:val="Heading 7 Char"/>
    <w:link w:val="Heading7"/>
    <w:rPr>
      <w:rFonts w:ascii="Times New Roman" w:eastAsia="Times New Roman" w:hAnsi="Times New Roman" w:cs="Times New Roman"/>
      <w:b/>
      <w:i/>
      <w:color w:val="000000"/>
      <w:sz w:val="24"/>
      <w:u w:val="single" w:color="000000"/>
    </w:rPr>
  </w:style>
  <w:style w:type="character" w:customStyle="1" w:styleId="Heading5Char">
    <w:name w:val="Heading 5 Char"/>
    <w:link w:val="Heading5"/>
    <w:rPr>
      <w:rFonts w:ascii="Times New Roman" w:eastAsia="Times New Roman" w:hAnsi="Times New Roman" w:cs="Times New Roman"/>
      <w:b/>
      <w:color w:val="000000"/>
      <w:sz w:val="24"/>
      <w:u w:val="single" w:color="000000"/>
    </w:rPr>
  </w:style>
  <w:style w:type="character" w:customStyle="1" w:styleId="Heading6Char">
    <w:name w:val="Heading 6 Char"/>
    <w:link w:val="Heading6"/>
    <w:rPr>
      <w:rFonts w:ascii="Times New Roman" w:eastAsia="Times New Roman" w:hAnsi="Times New Roman" w:cs="Times New Roman"/>
      <w:b/>
      <w:color w:val="000000"/>
      <w:sz w:val="24"/>
      <w:u w:val="single" w:color="000000"/>
    </w:rPr>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4"/>
      <w:u w:val="single" w:color="000000"/>
    </w:rPr>
  </w:style>
  <w:style w:type="character" w:customStyle="1" w:styleId="Heading3Char">
    <w:name w:val="Heading 3 Char"/>
    <w:link w:val="Heading3"/>
    <w:rPr>
      <w:rFonts w:ascii="Times New Roman" w:eastAsia="Times New Roman" w:hAnsi="Times New Roman" w:cs="Times New Roman"/>
      <w:b/>
      <w:i/>
      <w:color w:val="000000"/>
      <w:sz w:val="24"/>
    </w:rPr>
  </w:style>
  <w:style w:type="paragraph" w:styleId="TOC1">
    <w:name w:val="toc 1"/>
    <w:hidden/>
    <w:pPr>
      <w:spacing w:after="5" w:line="249" w:lineRule="auto"/>
      <w:ind w:left="385" w:right="23" w:hanging="10"/>
    </w:pPr>
    <w:rPr>
      <w:rFonts w:ascii="Times New Roman" w:eastAsia="Times New Roman" w:hAnsi="Times New Roman" w:cs="Times New Roman"/>
      <w:color w:val="000000"/>
      <w:sz w:val="24"/>
    </w:rPr>
  </w:style>
  <w:style w:type="paragraph" w:styleId="TOC2">
    <w:name w:val="toc 2"/>
    <w:hidden/>
    <w:pPr>
      <w:spacing w:after="11" w:line="249" w:lineRule="auto"/>
      <w:ind w:left="385" w:right="24" w:hanging="10"/>
    </w:pPr>
    <w:rPr>
      <w:rFonts w:ascii="Times New Roman" w:eastAsia="Times New Roman" w:hAnsi="Times New Roman" w:cs="Times New Roman"/>
      <w:color w:val="000000"/>
      <w:sz w:val="24"/>
    </w:rPr>
  </w:style>
  <w:style w:type="paragraph" w:styleId="TOC3">
    <w:name w:val="toc 3"/>
    <w:hidden/>
    <w:pPr>
      <w:spacing w:after="11" w:line="249" w:lineRule="auto"/>
      <w:ind w:left="385" w:right="24" w:hanging="10"/>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doi.org/10.21518/2079-701X-2020-17-114-122" TargetMode="External"/><Relationship Id="rId21" Type="http://schemas.openxmlformats.org/officeDocument/2006/relationships/hyperlink" Target="https://www.who.int/ru/news-room/questions-and-answers/item/human-tapneumovirus-(hmpv)-infection" TargetMode="External"/><Relationship Id="rId42" Type="http://schemas.openxmlformats.org/officeDocument/2006/relationships/hyperlink" Target="https://doi.org/10.33029/2305-3496-2024-13-4-125-138" TargetMode="External"/><Relationship Id="rId63" Type="http://schemas.openxmlformats.org/officeDocument/2006/relationships/hyperlink" Target="https://doi.org/10.18692/1810-4800-2021-1-102-117" TargetMode="External"/><Relationship Id="rId84" Type="http://schemas.openxmlformats.org/officeDocument/2006/relationships/hyperlink" Target="https://doi.org/10.22627/2072-8107-2012-11-0-9-15" TargetMode="External"/><Relationship Id="rId138" Type="http://schemas.openxmlformats.org/officeDocument/2006/relationships/hyperlink" Target="https://doi.org/10.33029/2305-3496-2024-13-4-139-149" TargetMode="External"/><Relationship Id="rId159" Type="http://schemas.openxmlformats.org/officeDocument/2006/relationships/hyperlink" Target="https://doi.org/10.22627/2072-8107-2015-14-4-26-30" TargetMode="External"/><Relationship Id="rId170" Type="http://schemas.openxmlformats.org/officeDocument/2006/relationships/hyperlink" Target="https://doi.org/10.22627/2072-8107-2015-14-4-26-30" TargetMode="External"/><Relationship Id="rId191" Type="http://schemas.openxmlformats.org/officeDocument/2006/relationships/hyperlink" Target="https://doi.org/10.21508/1027-4065-2019-64-3-103-108" TargetMode="External"/><Relationship Id="rId205" Type="http://schemas.openxmlformats.org/officeDocument/2006/relationships/hyperlink" Target="https://doi.org/10.22627/2072-8107-2016-15-4-48-53" TargetMode="External"/><Relationship Id="rId226" Type="http://schemas.openxmlformats.org/officeDocument/2006/relationships/hyperlink" Target="https://www.ohsu.edu/sites/default/files/2022-01/Dehydration-Clinical-Pathway-OHSU%20Health.pdf" TargetMode="External"/><Relationship Id="rId247" Type="http://schemas.openxmlformats.org/officeDocument/2006/relationships/image" Target="media/image3.jpg"/><Relationship Id="rId107" Type="http://schemas.openxmlformats.org/officeDocument/2006/relationships/hyperlink" Target="https://doi.org/10.21518/2079-701X-2020-17-114-122" TargetMode="External"/><Relationship Id="rId11" Type="http://schemas.openxmlformats.org/officeDocument/2006/relationships/hyperlink" Target="https://www.who.int/ru/news-room/questions-and-answers/item/human-tapneumovirus-(hmpv)-infection" TargetMode="External"/><Relationship Id="rId32" Type="http://schemas.openxmlformats.org/officeDocument/2006/relationships/hyperlink" Target="https://doi.org/10.33029/2305-3496-2024-13-4-125-138" TargetMode="External"/><Relationship Id="rId53" Type="http://schemas.openxmlformats.org/officeDocument/2006/relationships/hyperlink" Target="https://publications.aap.org/pediatrics/article/127/3/e20103852/65016/Fever-and-Antipyretic-Use-in-Children?autologincheck=redirected" TargetMode="External"/><Relationship Id="rId74" Type="http://schemas.openxmlformats.org/officeDocument/2006/relationships/hyperlink" Target="http://whqlibdoc.who.int/hq/2001/WHO_FCH_%20CAH_01.02.pdf" TargetMode="External"/><Relationship Id="rId128" Type="http://schemas.openxmlformats.org/officeDocument/2006/relationships/hyperlink" Target="https://doi.org/10.21518/2079-701X-2021-16-204-211" TargetMode="External"/><Relationship Id="rId149" Type="http://schemas.openxmlformats.org/officeDocument/2006/relationships/hyperlink" Target="https://klnran.ru/2025/05/zayavlenie-o-lekarstvennyh-preparatah-ne-soderzhashhih-dejstvujushhih-veshhestv/" TargetMode="External"/><Relationship Id="rId5" Type="http://schemas.openxmlformats.org/officeDocument/2006/relationships/footnotes" Target="footnotes.xml"/><Relationship Id="rId95" Type="http://schemas.openxmlformats.org/officeDocument/2006/relationships/hyperlink" Target="https://doi.org/10.22627/2072-8107-2016-15-3-25-30" TargetMode="External"/><Relationship Id="rId160" Type="http://schemas.openxmlformats.org/officeDocument/2006/relationships/hyperlink" Target="https://doi.org/10.22627/2072-8107-2015-14-4-26-30" TargetMode="External"/><Relationship Id="rId181" Type="http://schemas.openxmlformats.org/officeDocument/2006/relationships/hyperlink" Target="https://grls.rosminzdrav.ru/Grls_View_v2.aspx?routingGuid=1be5f2f3-9629-4399-afb3-79567fc73f15&amp;t" TargetMode="External"/><Relationship Id="rId216" Type="http://schemas.openxmlformats.org/officeDocument/2006/relationships/hyperlink" Target="https://doi.org/10.1186/s12931-024-03030-7" TargetMode="External"/><Relationship Id="rId237" Type="http://schemas.openxmlformats.org/officeDocument/2006/relationships/footer" Target="footer7.xml"/><Relationship Id="rId22" Type="http://schemas.openxmlformats.org/officeDocument/2006/relationships/hyperlink" Target="https://www.who.int/ru/news-room/questions-and-answers/item/human-tapneumovirus-(hmpv)-infection" TargetMode="External"/><Relationship Id="rId43" Type="http://schemas.openxmlformats.org/officeDocument/2006/relationships/hyperlink" Target="https://doi.org/10.1371/journal.pone.0245815" TargetMode="External"/><Relationship Id="rId64" Type="http://schemas.openxmlformats.org/officeDocument/2006/relationships/hyperlink" Target="https://doi.org/10.18692/1810-4800-2021-1-102-117" TargetMode="External"/><Relationship Id="rId118" Type="http://schemas.openxmlformats.org/officeDocument/2006/relationships/hyperlink" Target="https://doi.org/10.21518/2079-701X-2020-17-114-122" TargetMode="External"/><Relationship Id="rId139" Type="http://schemas.openxmlformats.org/officeDocument/2006/relationships/hyperlink" Target="https://doi.org/10.33029/2305-3496-2024-13-4-139-149" TargetMode="External"/><Relationship Id="rId85" Type="http://schemas.openxmlformats.org/officeDocument/2006/relationships/hyperlink" Target="https://doi.org/10.22627/2072-8107-2012-11-0-9-15" TargetMode="External"/><Relationship Id="rId150" Type="http://schemas.openxmlformats.org/officeDocument/2006/relationships/hyperlink" Target="https://klnran.ru/2025/05/zayavlenie-o-lekarstvennyh-preparatah-ne-soderzhashhih-dejstvujushhih-veshhestv/" TargetMode="External"/><Relationship Id="rId171" Type="http://schemas.openxmlformats.org/officeDocument/2006/relationships/hyperlink" Target="https://doi.org/10.22627/2072-8107-2015-14-4-26-30" TargetMode="External"/><Relationship Id="rId192" Type="http://schemas.openxmlformats.org/officeDocument/2006/relationships/hyperlink" Target="https://doi.org/10.21508/1027-4065-2019-64-3-103-108" TargetMode="External"/><Relationship Id="rId206" Type="http://schemas.openxmlformats.org/officeDocument/2006/relationships/hyperlink" Target="https://doi.org/10.22627/2072-8107-2016-15-4-48-53" TargetMode="External"/><Relationship Id="rId227" Type="http://schemas.openxmlformats.org/officeDocument/2006/relationships/hyperlink" Target="https://www.ohsu.edu/sites/default/files/2022-01/Dehydration-Clinical-Pathway-OHSU%20Health.pdf" TargetMode="External"/><Relationship Id="rId248" Type="http://schemas.openxmlformats.org/officeDocument/2006/relationships/footer" Target="footer16.xml"/><Relationship Id="rId12" Type="http://schemas.openxmlformats.org/officeDocument/2006/relationships/hyperlink" Target="https://www.who.int/ru/news-room/questions-and-answers/item/human-tapneumovirus-(hmpv)-infection" TargetMode="External"/><Relationship Id="rId33" Type="http://schemas.openxmlformats.org/officeDocument/2006/relationships/hyperlink" Target="https://doi.org/10.33029/2305-3496-2024-13-4-125-138" TargetMode="External"/><Relationship Id="rId108" Type="http://schemas.openxmlformats.org/officeDocument/2006/relationships/hyperlink" Target="https://doi.org/10.21518/2079-701X-2020-17-114-122" TargetMode="External"/><Relationship Id="rId129" Type="http://schemas.openxmlformats.org/officeDocument/2006/relationships/hyperlink" Target="https://doi.org/10.21518/2079-701X-2021-16-204-211" TargetMode="External"/><Relationship Id="rId54" Type="http://schemas.openxmlformats.org/officeDocument/2006/relationships/hyperlink" Target="https://publications.aap.org/pediatrics/article/127/3/e20103852/65016/Fever-and-Antipyretic-Use-in-Children?autologincheck=redirected" TargetMode="External"/><Relationship Id="rId75" Type="http://schemas.openxmlformats.org/officeDocument/2006/relationships/hyperlink" Target="https://doi.org/10.22627/2072-8107-2012-11-0-9-15" TargetMode="External"/><Relationship Id="rId96" Type="http://schemas.openxmlformats.org/officeDocument/2006/relationships/hyperlink" Target="https://doi.org/10.22627/2072-8107-2016-15-3-25-30" TargetMode="External"/><Relationship Id="rId140" Type="http://schemas.openxmlformats.org/officeDocument/2006/relationships/hyperlink" Target="https://doi.org/10.33029/2305-3496-2024-13-4-139-149" TargetMode="External"/><Relationship Id="rId161" Type="http://schemas.openxmlformats.org/officeDocument/2006/relationships/hyperlink" Target="https://doi.org/10.22627/2072-8107-2015-14-4-26-30" TargetMode="External"/><Relationship Id="rId182" Type="http://schemas.openxmlformats.org/officeDocument/2006/relationships/hyperlink" Target="https://grls.rosminzdrav.ru/Grls_View_v2.aspx?routingGuid=1be5f2f3-9629-4399-afb3-79567fc73f15&amp;t" TargetMode="External"/><Relationship Id="rId217" Type="http://schemas.openxmlformats.org/officeDocument/2006/relationships/hyperlink" Target="https://doi.org/10.1186/s12931-024-03030-7" TargetMode="External"/><Relationship Id="rId6" Type="http://schemas.openxmlformats.org/officeDocument/2006/relationships/endnotes" Target="endnotes.xml"/><Relationship Id="rId238" Type="http://schemas.openxmlformats.org/officeDocument/2006/relationships/footer" Target="footer8.xml"/><Relationship Id="rId23" Type="http://schemas.openxmlformats.org/officeDocument/2006/relationships/hyperlink" Target="https://www.who.int/ru/news-room/questions-and-answers/item/human-tapneumovirus-(hmpv)-infection" TargetMode="External"/><Relationship Id="rId119" Type="http://schemas.openxmlformats.org/officeDocument/2006/relationships/hyperlink" Target="https://doi.org/10.21518/2079-701X-2021-16-204-211" TargetMode="External"/><Relationship Id="rId44" Type="http://schemas.openxmlformats.org/officeDocument/2006/relationships/hyperlink" Target="https://doi.org/10.1371/journal.pone.0245815" TargetMode="External"/><Relationship Id="rId65" Type="http://schemas.openxmlformats.org/officeDocument/2006/relationships/hyperlink" Target="https://doi.org/10.18692/1810-4800-2021-1-102-117" TargetMode="External"/><Relationship Id="rId86" Type="http://schemas.openxmlformats.org/officeDocument/2006/relationships/hyperlink" Target="https://doi.org/10.22627/2072-8107-2012-11-0-9-15" TargetMode="External"/><Relationship Id="rId130" Type="http://schemas.openxmlformats.org/officeDocument/2006/relationships/hyperlink" Target="https://doi.org/10.21518/2079-701X-2021-16-204-211" TargetMode="External"/><Relationship Id="rId151" Type="http://schemas.openxmlformats.org/officeDocument/2006/relationships/hyperlink" Target="https://klnran.ru/2025/05/zayavlenie-o-lekarstvennyh-preparatah-ne-soderzhashhih-dejstvujushhih-veshhestv/" TargetMode="External"/><Relationship Id="rId172" Type="http://schemas.openxmlformats.org/officeDocument/2006/relationships/hyperlink" Target="https://doi.org/10.22627/2072-8107-2015-14-4-26-30" TargetMode="External"/><Relationship Id="rId193" Type="http://schemas.openxmlformats.org/officeDocument/2006/relationships/hyperlink" Target="https://doi.org/10.21508/1027-4065-2019-64-3-103-108" TargetMode="External"/><Relationship Id="rId207" Type="http://schemas.openxmlformats.org/officeDocument/2006/relationships/hyperlink" Target="https://doi.org/10.22627/2072-8107-2016-15-4-48-53" TargetMode="External"/><Relationship Id="rId228" Type="http://schemas.openxmlformats.org/officeDocument/2006/relationships/hyperlink" Target="https://www.ohsu.edu/sites/default/files/2022-01/Dehydration-Clinical-Pathway-OHSU%20Health.pdf" TargetMode="External"/><Relationship Id="rId249" Type="http://schemas.openxmlformats.org/officeDocument/2006/relationships/footer" Target="footer17.xml"/><Relationship Id="rId13" Type="http://schemas.openxmlformats.org/officeDocument/2006/relationships/hyperlink" Target="https://www.who.int/ru/news-room/questions-and-answers/item/human-tapneumovirus-(hmpv)-infection" TargetMode="External"/><Relationship Id="rId109" Type="http://schemas.openxmlformats.org/officeDocument/2006/relationships/hyperlink" Target="https://doi.org/10.21518/2079-701X-2020-17-114-122" TargetMode="External"/><Relationship Id="rId34" Type="http://schemas.openxmlformats.org/officeDocument/2006/relationships/hyperlink" Target="https://doi.org/10.33029/2305-3496-2024-13-4-125-138" TargetMode="External"/><Relationship Id="rId55" Type="http://schemas.openxmlformats.org/officeDocument/2006/relationships/hyperlink" Target="https://publications.aap.org/pediatrics/article/127/3/e20103852/65016/Fever-and-Antipyretic-Use-in-Children?autologincheck=redirected" TargetMode="External"/><Relationship Id="rId76" Type="http://schemas.openxmlformats.org/officeDocument/2006/relationships/hyperlink" Target="https://doi.org/10.22627/2072-8107-2012-11-0-9-15" TargetMode="External"/><Relationship Id="rId97" Type="http://schemas.openxmlformats.org/officeDocument/2006/relationships/hyperlink" Target="https://doi.org/10.22627/2072-8107-2016-15-3-25-30" TargetMode="External"/><Relationship Id="rId120" Type="http://schemas.openxmlformats.org/officeDocument/2006/relationships/hyperlink" Target="https://doi.org/10.21518/2079-701X-2021-16-204-211" TargetMode="External"/><Relationship Id="rId141" Type="http://schemas.openxmlformats.org/officeDocument/2006/relationships/hyperlink" Target="https://doi.org/10.33029/2305-3496-2024-13-4-139-149" TargetMode="External"/><Relationship Id="rId7" Type="http://schemas.openxmlformats.org/officeDocument/2006/relationships/image" Target="media/image1.jpg"/><Relationship Id="rId162" Type="http://schemas.openxmlformats.org/officeDocument/2006/relationships/hyperlink" Target="https://doi.org/10.22627/2072-8107-2015-14-4-26-30" TargetMode="External"/><Relationship Id="rId183" Type="http://schemas.openxmlformats.org/officeDocument/2006/relationships/hyperlink" Target="https://doi.org/10.21508/1027-4065-2019-64-3-103-108" TargetMode="External"/><Relationship Id="rId218" Type="http://schemas.openxmlformats.org/officeDocument/2006/relationships/hyperlink" Target="https://doi.org/10.1186/s12931-024-03030-7" TargetMode="External"/><Relationship Id="rId239" Type="http://schemas.openxmlformats.org/officeDocument/2006/relationships/footer" Target="footer9.xml"/><Relationship Id="rId250" Type="http://schemas.openxmlformats.org/officeDocument/2006/relationships/footer" Target="footer18.xml"/><Relationship Id="rId24" Type="http://schemas.openxmlformats.org/officeDocument/2006/relationships/hyperlink" Target="https://www.who.int/ru/news-room/questions-and-answers/item/human-tapneumovirus-(hmpv)-infection" TargetMode="External"/><Relationship Id="rId45" Type="http://schemas.openxmlformats.org/officeDocument/2006/relationships/hyperlink" Target="https://publications.aap.org/pediatrics/article/127/3/e20103852/65016/Fever-and-Antipyretic-Use-in-Children?autologincheck=redirected" TargetMode="External"/><Relationship Id="rId66" Type="http://schemas.openxmlformats.org/officeDocument/2006/relationships/hyperlink" Target="https://doi.org/10.18692/1810-4800-2021-1-102-117" TargetMode="External"/><Relationship Id="rId87" Type="http://schemas.openxmlformats.org/officeDocument/2006/relationships/hyperlink" Target="https://doi.org/10.22627/2072-8107-2012-11-0-9-15" TargetMode="External"/><Relationship Id="rId110" Type="http://schemas.openxmlformats.org/officeDocument/2006/relationships/hyperlink" Target="https://doi.org/10.21518/2079-701X-2020-17-114-122" TargetMode="External"/><Relationship Id="rId131" Type="http://schemas.openxmlformats.org/officeDocument/2006/relationships/hyperlink" Target="https://doi.org/10.33029/2305-3496-2024-13-4-139-149" TargetMode="External"/><Relationship Id="rId152" Type="http://schemas.openxmlformats.org/officeDocument/2006/relationships/hyperlink" Target="https://klnran.ru/2025/05/zayavlenie-o-lekarstvennyh-preparatah-ne-soderzhashhih-dejstvujushhih-veshhestv/" TargetMode="External"/><Relationship Id="rId173" Type="http://schemas.openxmlformats.org/officeDocument/2006/relationships/hyperlink" Target="https://grls.rosminzdrav.ru/Grls_View_v2.aspx?routingGuid=1be5f2f3-9629-4399-afb3-79567fc73f15&amp;t" TargetMode="External"/><Relationship Id="rId194" Type="http://schemas.openxmlformats.org/officeDocument/2006/relationships/hyperlink" Target="https://doi.org/10.21508/1027-4065-2019-64-3-103-108" TargetMode="External"/><Relationship Id="rId208" Type="http://schemas.openxmlformats.org/officeDocument/2006/relationships/hyperlink" Target="https://doi.org/10.22627/2072-8107-2016-15-4-48-53" TargetMode="External"/><Relationship Id="rId229" Type="http://schemas.openxmlformats.org/officeDocument/2006/relationships/hyperlink" Target="https://www.ohsu.edu/sites/default/files/2022-01/Dehydration-Clinical-Pathway-OHSU%20Health.pdf" TargetMode="External"/><Relationship Id="rId240" Type="http://schemas.openxmlformats.org/officeDocument/2006/relationships/footer" Target="footer10.xml"/><Relationship Id="rId14" Type="http://schemas.openxmlformats.org/officeDocument/2006/relationships/hyperlink" Target="https://www.who.int/ru/news-room/questions-and-answers/item/human-tapneumovirus-(hmpv)-infection" TargetMode="External"/><Relationship Id="rId35" Type="http://schemas.openxmlformats.org/officeDocument/2006/relationships/hyperlink" Target="https://doi.org/10.33029/2305-3496-2024-13-4-125-138" TargetMode="External"/><Relationship Id="rId56" Type="http://schemas.openxmlformats.org/officeDocument/2006/relationships/hyperlink" Target="https://publications.aap.org/pediatrics/article/127/3/e20103852/65016/Fever-and-Antipyretic-Use-in-Children?autologincheck=redirected" TargetMode="External"/><Relationship Id="rId77" Type="http://schemas.openxmlformats.org/officeDocument/2006/relationships/hyperlink" Target="https://doi.org/10.22627/2072-8107-2012-11-0-9-15" TargetMode="External"/><Relationship Id="rId100" Type="http://schemas.openxmlformats.org/officeDocument/2006/relationships/hyperlink" Target="https://doi.org/10.22627/2072-8107-2016-15-3-25-30" TargetMode="External"/><Relationship Id="rId8" Type="http://schemas.openxmlformats.org/officeDocument/2006/relationships/hyperlink" Target="https://ru.wikipedia.org/wiki/%D0%A0%D0%B8%D0%B1%D0%BE%D0%BD%D1%83%D0%BA%D0%BB%D0%B5%D0%B8%D0%BD%D0%BE%D0%B2%D0%B0%D1%8F_%D0%BA%D0%B8%D1%81%D0%BB%D0%BE%D1%82%D0%B0" TargetMode="External"/><Relationship Id="rId98" Type="http://schemas.openxmlformats.org/officeDocument/2006/relationships/hyperlink" Target="https://doi.org/10.22627/2072-8107-2016-15-3-25-30" TargetMode="External"/><Relationship Id="rId121" Type="http://schemas.openxmlformats.org/officeDocument/2006/relationships/hyperlink" Target="https://doi.org/10.21518/2079-701X-2021-16-204-211" TargetMode="External"/><Relationship Id="rId142" Type="http://schemas.openxmlformats.org/officeDocument/2006/relationships/hyperlink" Target="https://doi.org/10.33029/2305-3496-2024-13-4-139-149" TargetMode="External"/><Relationship Id="rId163" Type="http://schemas.openxmlformats.org/officeDocument/2006/relationships/hyperlink" Target="https://doi.org/10.22627/2072-8107-2015-14-4-26-30" TargetMode="External"/><Relationship Id="rId184" Type="http://schemas.openxmlformats.org/officeDocument/2006/relationships/hyperlink" Target="https://doi.org/10.21508/1027-4065-2019-64-3-103-108" TargetMode="External"/><Relationship Id="rId219" Type="http://schemas.openxmlformats.org/officeDocument/2006/relationships/hyperlink" Target="https://doi.org/10.1186/s12931-024-03030-7" TargetMode="External"/><Relationship Id="rId230" Type="http://schemas.openxmlformats.org/officeDocument/2006/relationships/hyperlink" Target="https://www.ohsu.edu/sites/default/files/2022-01/Dehydration-Clinical-Pathway-OHSU%20Health.pdf" TargetMode="External"/><Relationship Id="rId251" Type="http://schemas.openxmlformats.org/officeDocument/2006/relationships/fontTable" Target="fontTable.xml"/><Relationship Id="rId25" Type="http://schemas.openxmlformats.org/officeDocument/2006/relationships/hyperlink" Target="http://dx.doi.org/10.1136/bmj.f7027" TargetMode="External"/><Relationship Id="rId46" Type="http://schemas.openxmlformats.org/officeDocument/2006/relationships/hyperlink" Target="https://publications.aap.org/pediatrics/article/127/3/e20103852/65016/Fever-and-Antipyretic-Use-in-Children?autologincheck=redirected" TargetMode="External"/><Relationship Id="rId67" Type="http://schemas.openxmlformats.org/officeDocument/2006/relationships/hyperlink" Target="https://doi.org/10.18692/1810-4800-2021-1-102-117" TargetMode="External"/><Relationship Id="rId88" Type="http://schemas.openxmlformats.org/officeDocument/2006/relationships/hyperlink" Target="https://doi.org/10.22627/2072-8107-2012-11-0-9-15" TargetMode="External"/><Relationship Id="rId111" Type="http://schemas.openxmlformats.org/officeDocument/2006/relationships/hyperlink" Target="https://doi.org/10.21518/2079-701X-2020-17-114-122" TargetMode="External"/><Relationship Id="rId132" Type="http://schemas.openxmlformats.org/officeDocument/2006/relationships/hyperlink" Target="https://doi.org/10.33029/2305-3496-2024-13-4-139-149" TargetMode="External"/><Relationship Id="rId153" Type="http://schemas.openxmlformats.org/officeDocument/2006/relationships/hyperlink" Target="https://klnran.ru/2025/05/zayavlenie-o-lekarstvennyh-preparatah-ne-soderzhashhih-dejstvujushhih-veshhestv/" TargetMode="External"/><Relationship Id="rId174" Type="http://schemas.openxmlformats.org/officeDocument/2006/relationships/hyperlink" Target="https://grls.rosminzdrav.ru/Grls_View_v2.aspx?routingGuid=1be5f2f3-9629-4399-afb3-79567fc73f15&amp;t" TargetMode="External"/><Relationship Id="rId195" Type="http://schemas.openxmlformats.org/officeDocument/2006/relationships/hyperlink" Target="https://doi.org/10.21508/1027-4065-2019-64-3-103-108" TargetMode="External"/><Relationship Id="rId209" Type="http://schemas.openxmlformats.org/officeDocument/2006/relationships/hyperlink" Target="https://doi.org/10.22627/2072-8107-2016-15-4-48-53" TargetMode="External"/><Relationship Id="rId220" Type="http://schemas.openxmlformats.org/officeDocument/2006/relationships/hyperlink" Target="https://doi.org/10.1186/s12931-024-03030-7" TargetMode="External"/><Relationship Id="rId241" Type="http://schemas.openxmlformats.org/officeDocument/2006/relationships/footer" Target="footer11.xml"/><Relationship Id="rId15" Type="http://schemas.openxmlformats.org/officeDocument/2006/relationships/hyperlink" Target="https://www.who.int/ru/news-room/questions-and-answers/item/human-tapneumovirus-(hmpv)-infection" TargetMode="External"/><Relationship Id="rId36" Type="http://schemas.openxmlformats.org/officeDocument/2006/relationships/hyperlink" Target="https://doi.org/10.33029/2305-3496-2024-13-4-125-138" TargetMode="External"/><Relationship Id="rId57" Type="http://schemas.openxmlformats.org/officeDocument/2006/relationships/hyperlink" Target="https://www.ncbi.nlm.nih.gov/books/NBK552086/" TargetMode="External"/><Relationship Id="rId78" Type="http://schemas.openxmlformats.org/officeDocument/2006/relationships/hyperlink" Target="https://doi.org/10.22627/2072-8107-2012-11-0-9-15" TargetMode="External"/><Relationship Id="rId99" Type="http://schemas.openxmlformats.org/officeDocument/2006/relationships/hyperlink" Target="https://doi.org/10.22627/2072-8107-2016-15-3-25-30" TargetMode="External"/><Relationship Id="rId101" Type="http://schemas.openxmlformats.org/officeDocument/2006/relationships/hyperlink" Target="https://doi.org/10.22627/2072-8107-2016-15-3-25-30" TargetMode="External"/><Relationship Id="rId122" Type="http://schemas.openxmlformats.org/officeDocument/2006/relationships/hyperlink" Target="https://doi.org/10.21518/2079-701X-2021-16-204-211" TargetMode="External"/><Relationship Id="rId143" Type="http://schemas.openxmlformats.org/officeDocument/2006/relationships/hyperlink" Target="https://doi.org/10.33029/2305-3496-2024-13-4-139-149" TargetMode="External"/><Relationship Id="rId164" Type="http://schemas.openxmlformats.org/officeDocument/2006/relationships/hyperlink" Target="https://doi.org/10.22627/2072-8107-2015-14-4-26-30" TargetMode="External"/><Relationship Id="rId185" Type="http://schemas.openxmlformats.org/officeDocument/2006/relationships/hyperlink" Target="https://doi.org/10.21508/1027-4065-2019-64-3-103-108" TargetMode="External"/><Relationship Id="rId4" Type="http://schemas.openxmlformats.org/officeDocument/2006/relationships/webSettings" Target="webSettings.xml"/><Relationship Id="rId9" Type="http://schemas.openxmlformats.org/officeDocument/2006/relationships/hyperlink" Target="https://ru.wikipedia.org/wiki/%D0%A0%D0%B8%D0%B1%D0%BE%D0%BD%D1%83%D0%BA%D0%BB%D0%B5%D0%B8%D0%BD%D0%BE%D0%B2%D0%B0%D1%8F_%D0%BA%D0%B8%D1%81%D0%BB%D0%BE%D1%82%D0%B0" TargetMode="External"/><Relationship Id="rId180" Type="http://schemas.openxmlformats.org/officeDocument/2006/relationships/hyperlink" Target="https://grls.rosminzdrav.ru/Grls_View_v2.aspx?routingGuid=1be5f2f3-9629-4399-afb3-79567fc73f15&amp;t" TargetMode="External"/><Relationship Id="rId210" Type="http://schemas.openxmlformats.org/officeDocument/2006/relationships/hyperlink" Target="https://doi.org/10.22627/2072-8107-2016-15-4-48-53" TargetMode="External"/><Relationship Id="rId215" Type="http://schemas.openxmlformats.org/officeDocument/2006/relationships/hyperlink" Target="https://doi.org/10.1186/s12931-024-03030-7" TargetMode="External"/><Relationship Id="rId236" Type="http://schemas.openxmlformats.org/officeDocument/2006/relationships/footer" Target="footer6.xml"/><Relationship Id="rId26" Type="http://schemas.openxmlformats.org/officeDocument/2006/relationships/hyperlink" Target="http://dx.doi.org/10.1136/bmj.f7027" TargetMode="External"/><Relationship Id="rId231" Type="http://schemas.openxmlformats.org/officeDocument/2006/relationships/footer" Target="footer1.xml"/><Relationship Id="rId252" Type="http://schemas.openxmlformats.org/officeDocument/2006/relationships/theme" Target="theme/theme1.xml"/><Relationship Id="rId47" Type="http://schemas.openxmlformats.org/officeDocument/2006/relationships/hyperlink" Target="https://publications.aap.org/pediatrics/article/127/3/e20103852/65016/Fever-and-Antipyretic-Use-in-Children?autologincheck=redirected" TargetMode="External"/><Relationship Id="rId68" Type="http://schemas.openxmlformats.org/officeDocument/2006/relationships/hyperlink" Target="https://doi.org/10.18692/1810-4800-2021-1-102-117" TargetMode="External"/><Relationship Id="rId89" Type="http://schemas.openxmlformats.org/officeDocument/2006/relationships/hyperlink" Target="https://doi.org/10.22627/2072-8107-2016-15-3-25-30" TargetMode="External"/><Relationship Id="rId112" Type="http://schemas.openxmlformats.org/officeDocument/2006/relationships/hyperlink" Target="https://doi.org/10.21518/2079-701X-2020-17-114-122" TargetMode="External"/><Relationship Id="rId133" Type="http://schemas.openxmlformats.org/officeDocument/2006/relationships/hyperlink" Target="https://doi.org/10.33029/2305-3496-2024-13-4-139-149" TargetMode="External"/><Relationship Id="rId154" Type="http://schemas.openxmlformats.org/officeDocument/2006/relationships/hyperlink" Target="https://klnran.ru/2025/05/zayavlenie-o-lekarstvennyh-preparatah-ne-soderzhashhih-dejstvujushhih-veshhestv/" TargetMode="External"/><Relationship Id="rId175" Type="http://schemas.openxmlformats.org/officeDocument/2006/relationships/hyperlink" Target="https://grls.rosminzdrav.ru/Grls_View_v2.aspx?routingGuid=1be5f2f3-9629-4399-afb3-79567fc73f15&amp;t" TargetMode="External"/><Relationship Id="rId196" Type="http://schemas.openxmlformats.org/officeDocument/2006/relationships/hyperlink" Target="https://doi.org/10.21508/1027-4065-2019-64-3-103-108" TargetMode="External"/><Relationship Id="rId200" Type="http://schemas.openxmlformats.org/officeDocument/2006/relationships/hyperlink" Target="https://doi.org/10.22627/2072-8107-2016-15-4-48-53" TargetMode="External"/><Relationship Id="rId16" Type="http://schemas.openxmlformats.org/officeDocument/2006/relationships/hyperlink" Target="https://www.who.int/ru/news-room/questions-and-answers/item/human-tapneumovirus-(hmpv)-infection" TargetMode="External"/><Relationship Id="rId221" Type="http://schemas.openxmlformats.org/officeDocument/2006/relationships/hyperlink" Target="https://www.ohsu.edu/sites/default/files/2022-01/Dehydration-Clinical-Pathway-OHSU%20Health.pdf" TargetMode="External"/><Relationship Id="rId242" Type="http://schemas.openxmlformats.org/officeDocument/2006/relationships/footer" Target="footer12.xml"/><Relationship Id="rId37" Type="http://schemas.openxmlformats.org/officeDocument/2006/relationships/hyperlink" Target="https://doi.org/10.33029/2305-3496-2024-13-4-125-138" TargetMode="External"/><Relationship Id="rId58" Type="http://schemas.openxmlformats.org/officeDocument/2006/relationships/hyperlink" Target="https://www.ncbi.nlm.nih.gov/books/NBK552086/" TargetMode="External"/><Relationship Id="rId79" Type="http://schemas.openxmlformats.org/officeDocument/2006/relationships/hyperlink" Target="https://doi.org/10.22627/2072-8107-2012-11-0-9-15" TargetMode="External"/><Relationship Id="rId102" Type="http://schemas.openxmlformats.org/officeDocument/2006/relationships/hyperlink" Target="https://doi.org/10.22627/2072-8107-2016-15-3-25-30" TargetMode="External"/><Relationship Id="rId123" Type="http://schemas.openxmlformats.org/officeDocument/2006/relationships/hyperlink" Target="https://doi.org/10.21518/2079-701X-2021-16-204-211" TargetMode="External"/><Relationship Id="rId144" Type="http://schemas.openxmlformats.org/officeDocument/2006/relationships/hyperlink" Target="https://doi.org/10.33029/2305-3496-2024-13-4-139-149" TargetMode="External"/><Relationship Id="rId90" Type="http://schemas.openxmlformats.org/officeDocument/2006/relationships/hyperlink" Target="https://doi.org/10.22627/2072-8107-2016-15-3-25-30" TargetMode="External"/><Relationship Id="rId165" Type="http://schemas.openxmlformats.org/officeDocument/2006/relationships/hyperlink" Target="https://doi.org/10.22627/2072-8107-2015-14-4-26-30" TargetMode="External"/><Relationship Id="rId186" Type="http://schemas.openxmlformats.org/officeDocument/2006/relationships/hyperlink" Target="https://doi.org/10.21508/1027-4065-2019-64-3-103-108" TargetMode="External"/><Relationship Id="rId211" Type="http://schemas.openxmlformats.org/officeDocument/2006/relationships/hyperlink" Target="https://doi.org/10.15690/pf.v9i2.258" TargetMode="External"/><Relationship Id="rId232" Type="http://schemas.openxmlformats.org/officeDocument/2006/relationships/footer" Target="footer2.xml"/><Relationship Id="rId27" Type="http://schemas.openxmlformats.org/officeDocument/2006/relationships/hyperlink" Target="https://doi.org/10.1093/cid/ciy866" TargetMode="External"/><Relationship Id="rId48" Type="http://schemas.openxmlformats.org/officeDocument/2006/relationships/hyperlink" Target="https://publications.aap.org/pediatrics/article/127/3/e20103852/65016/Fever-and-Antipyretic-Use-in-Children?autologincheck=redirected" TargetMode="External"/><Relationship Id="rId69" Type="http://schemas.openxmlformats.org/officeDocument/2006/relationships/hyperlink" Target="https://doi.org/10.18692/1810-4800-2021-1-102-117" TargetMode="External"/><Relationship Id="rId113" Type="http://schemas.openxmlformats.org/officeDocument/2006/relationships/hyperlink" Target="https://doi.org/10.21518/2079-701X-2020-17-114-122" TargetMode="External"/><Relationship Id="rId134" Type="http://schemas.openxmlformats.org/officeDocument/2006/relationships/hyperlink" Target="https://doi.org/10.33029/2305-3496-2024-13-4-139-149" TargetMode="External"/><Relationship Id="rId80" Type="http://schemas.openxmlformats.org/officeDocument/2006/relationships/hyperlink" Target="https://doi.org/10.22627/2072-8107-2012-11-0-9-15" TargetMode="External"/><Relationship Id="rId155" Type="http://schemas.openxmlformats.org/officeDocument/2006/relationships/hyperlink" Target="https://klnran.ru/2025/05/zayavlenie-o-lekarstvennyh-preparatah-ne-soderzhashhih-dejstvujushhih-veshhestv/" TargetMode="External"/><Relationship Id="rId176" Type="http://schemas.openxmlformats.org/officeDocument/2006/relationships/hyperlink" Target="https://grls.rosminzdrav.ru/Grls_View_v2.aspx?routingGuid=1be5f2f3-9629-4399-afb3-79567fc73f15&amp;t" TargetMode="External"/><Relationship Id="rId197" Type="http://schemas.openxmlformats.org/officeDocument/2006/relationships/hyperlink" Target="https://doi.org/10.22627/2072-8107-2016-15-4-48-53" TargetMode="External"/><Relationship Id="rId201" Type="http://schemas.openxmlformats.org/officeDocument/2006/relationships/hyperlink" Target="https://doi.org/10.22627/2072-8107-2016-15-4-48-53" TargetMode="External"/><Relationship Id="rId222" Type="http://schemas.openxmlformats.org/officeDocument/2006/relationships/hyperlink" Target="https://www.ohsu.edu/sites/default/files/2022-01/Dehydration-Clinical-Pathway-OHSU%20Health.pdf" TargetMode="External"/><Relationship Id="rId243" Type="http://schemas.openxmlformats.org/officeDocument/2006/relationships/image" Target="media/image2.jpg"/><Relationship Id="rId17" Type="http://schemas.openxmlformats.org/officeDocument/2006/relationships/hyperlink" Target="https://www.who.int/ru/news-room/questions-and-answers/item/human-tapneumovirus-(hmpv)-infection" TargetMode="External"/><Relationship Id="rId38" Type="http://schemas.openxmlformats.org/officeDocument/2006/relationships/hyperlink" Target="https://doi.org/10.33029/2305-3496-2024-13-4-125-138" TargetMode="External"/><Relationship Id="rId59" Type="http://schemas.openxmlformats.org/officeDocument/2006/relationships/hyperlink" Target="https://www.ema.europa.eu/en/documents/referral/metamizolearticle-31-referral-annex-ii_pl.pdf" TargetMode="External"/><Relationship Id="rId103" Type="http://schemas.openxmlformats.org/officeDocument/2006/relationships/hyperlink" Target="https://www.doi.org/10.1038/nrmicro3475" TargetMode="External"/><Relationship Id="rId124" Type="http://schemas.openxmlformats.org/officeDocument/2006/relationships/hyperlink" Target="https://doi.org/10.21518/2079-701X-2021-16-204-211" TargetMode="External"/><Relationship Id="rId70" Type="http://schemas.openxmlformats.org/officeDocument/2006/relationships/hyperlink" Target="https://doi.org/10.18692/1810-4800-2021-1-102-117" TargetMode="External"/><Relationship Id="rId91" Type="http://schemas.openxmlformats.org/officeDocument/2006/relationships/hyperlink" Target="https://doi.org/10.22627/2072-8107-2016-15-3-25-30" TargetMode="External"/><Relationship Id="rId145" Type="http://schemas.openxmlformats.org/officeDocument/2006/relationships/hyperlink" Target="https://klnran.ru/2025/05/zayavlenie-o-lekarstvennyh-preparatah-ne-soderzhashhih-dejstvujushhih-veshhestv/" TargetMode="External"/><Relationship Id="rId166" Type="http://schemas.openxmlformats.org/officeDocument/2006/relationships/hyperlink" Target="https://doi.org/10.22627/2072-8107-2015-14-4-26-30" TargetMode="External"/><Relationship Id="rId187" Type="http://schemas.openxmlformats.org/officeDocument/2006/relationships/hyperlink" Target="https://doi.org/10.21508/1027-4065-2019-64-3-103-108" TargetMode="External"/><Relationship Id="rId1" Type="http://schemas.openxmlformats.org/officeDocument/2006/relationships/numbering" Target="numbering.xml"/><Relationship Id="rId212" Type="http://schemas.openxmlformats.org/officeDocument/2006/relationships/hyperlink" Target="https://doi.org/10.15690/pf.v9i2.258" TargetMode="External"/><Relationship Id="rId233" Type="http://schemas.openxmlformats.org/officeDocument/2006/relationships/footer" Target="footer3.xml"/><Relationship Id="rId28" Type="http://schemas.openxmlformats.org/officeDocument/2006/relationships/hyperlink" Target="https://doi.org/10.1093/cid/ciy866" TargetMode="External"/><Relationship Id="rId49" Type="http://schemas.openxmlformats.org/officeDocument/2006/relationships/hyperlink" Target="https://publications.aap.org/pediatrics/article/127/3/e20103852/65016/Fever-and-Antipyretic-Use-in-Children?autologincheck=redirected" TargetMode="External"/><Relationship Id="rId114" Type="http://schemas.openxmlformats.org/officeDocument/2006/relationships/hyperlink" Target="https://doi.org/10.21518/2079-701X-2020-17-114-122" TargetMode="External"/><Relationship Id="rId60" Type="http://schemas.openxmlformats.org/officeDocument/2006/relationships/hyperlink" Target="https://www.ema.europa.eu/en/documents/referral/metamizolearticle-31-referral-annex-ii_pl.pdf" TargetMode="External"/><Relationship Id="rId81" Type="http://schemas.openxmlformats.org/officeDocument/2006/relationships/hyperlink" Target="https://doi.org/10.22627/2072-8107-2012-11-0-9-15" TargetMode="External"/><Relationship Id="rId135" Type="http://schemas.openxmlformats.org/officeDocument/2006/relationships/hyperlink" Target="https://doi.org/10.33029/2305-3496-2024-13-4-139-149" TargetMode="External"/><Relationship Id="rId156" Type="http://schemas.openxmlformats.org/officeDocument/2006/relationships/hyperlink" Target="https://klnran.ru/2025/05/zayavlenie-o-lekarstvennyh-preparatah-ne-soderzhashhih-dejstvujushhih-veshhestv/" TargetMode="External"/><Relationship Id="rId177" Type="http://schemas.openxmlformats.org/officeDocument/2006/relationships/hyperlink" Target="https://grls.rosminzdrav.ru/Grls_View_v2.aspx?routingGuid=1be5f2f3-9629-4399-afb3-79567fc73f15&amp;t" TargetMode="External"/><Relationship Id="rId198" Type="http://schemas.openxmlformats.org/officeDocument/2006/relationships/hyperlink" Target="https://doi.org/10.22627/2072-8107-2016-15-4-48-53" TargetMode="External"/><Relationship Id="rId202" Type="http://schemas.openxmlformats.org/officeDocument/2006/relationships/hyperlink" Target="https://doi.org/10.22627/2072-8107-2016-15-4-48-53" TargetMode="External"/><Relationship Id="rId223" Type="http://schemas.openxmlformats.org/officeDocument/2006/relationships/hyperlink" Target="https://www.ohsu.edu/sites/default/files/2022-01/Dehydration-Clinical-Pathway-OHSU%20Health.pdf" TargetMode="External"/><Relationship Id="rId244" Type="http://schemas.openxmlformats.org/officeDocument/2006/relationships/footer" Target="footer13.xml"/><Relationship Id="rId18" Type="http://schemas.openxmlformats.org/officeDocument/2006/relationships/hyperlink" Target="https://www.who.int/ru/news-room/questions-and-answers/item/human-tapneumovirus-(hmpv)-infection" TargetMode="External"/><Relationship Id="rId39" Type="http://schemas.openxmlformats.org/officeDocument/2006/relationships/hyperlink" Target="https://doi.org/10.33029/2305-3496-2024-13-4-125-138" TargetMode="External"/><Relationship Id="rId50" Type="http://schemas.openxmlformats.org/officeDocument/2006/relationships/hyperlink" Target="https://publications.aap.org/pediatrics/article/127/3/e20103852/65016/Fever-and-Antipyretic-Use-in-Children?autologincheck=redirected" TargetMode="External"/><Relationship Id="rId104" Type="http://schemas.openxmlformats.org/officeDocument/2006/relationships/hyperlink" Target="https://www.doi.org/10.1038/nrmicro3475" TargetMode="External"/><Relationship Id="rId125" Type="http://schemas.openxmlformats.org/officeDocument/2006/relationships/hyperlink" Target="https://doi.org/10.21518/2079-701X-2021-16-204-211" TargetMode="External"/><Relationship Id="rId146" Type="http://schemas.openxmlformats.org/officeDocument/2006/relationships/hyperlink" Target="https://klnran.ru/2025/05/zayavlenie-o-lekarstvennyh-preparatah-ne-soderzhashhih-dejstvujushhih-veshhestv/" TargetMode="External"/><Relationship Id="rId167" Type="http://schemas.openxmlformats.org/officeDocument/2006/relationships/hyperlink" Target="https://doi.org/10.22627/2072-8107-2015-14-4-26-30" TargetMode="External"/><Relationship Id="rId188" Type="http://schemas.openxmlformats.org/officeDocument/2006/relationships/hyperlink" Target="https://doi.org/10.21508/1027-4065-2019-64-3-103-108" TargetMode="External"/><Relationship Id="rId71" Type="http://schemas.openxmlformats.org/officeDocument/2006/relationships/hyperlink" Target="https://doi.org/10.18692/1810-4800-2021-1-102-117" TargetMode="External"/><Relationship Id="rId92" Type="http://schemas.openxmlformats.org/officeDocument/2006/relationships/hyperlink" Target="https://doi.org/10.22627/2072-8107-2016-15-3-25-30" TargetMode="External"/><Relationship Id="rId213" Type="http://schemas.openxmlformats.org/officeDocument/2006/relationships/hyperlink" Target="https://doi.org/10.1186/s12931-024-03030-7" TargetMode="External"/><Relationship Id="rId234" Type="http://schemas.openxmlformats.org/officeDocument/2006/relationships/footer" Target="footer4.xml"/><Relationship Id="rId2" Type="http://schemas.openxmlformats.org/officeDocument/2006/relationships/styles" Target="styles.xml"/><Relationship Id="rId29" Type="http://schemas.openxmlformats.org/officeDocument/2006/relationships/hyperlink" Target="https://doi.org/10.33029/2305-3496-2024-13-4-125-138" TargetMode="External"/><Relationship Id="rId40" Type="http://schemas.openxmlformats.org/officeDocument/2006/relationships/hyperlink" Target="https://doi.org/10.33029/2305-3496-2024-13-4-125-138" TargetMode="External"/><Relationship Id="rId115" Type="http://schemas.openxmlformats.org/officeDocument/2006/relationships/hyperlink" Target="https://doi.org/10.21518/2079-701X-2020-17-114-122" TargetMode="External"/><Relationship Id="rId136" Type="http://schemas.openxmlformats.org/officeDocument/2006/relationships/hyperlink" Target="https://doi.org/10.33029/2305-3496-2024-13-4-139-149" TargetMode="External"/><Relationship Id="rId157" Type="http://schemas.openxmlformats.org/officeDocument/2006/relationships/hyperlink" Target="https://klnran.ru/2025/05/zayavlenie-o-lekarstvennyh-preparatah-ne-soderzhashhih-dejstvujushhih-veshhestv/" TargetMode="External"/><Relationship Id="rId178" Type="http://schemas.openxmlformats.org/officeDocument/2006/relationships/hyperlink" Target="https://grls.rosminzdrav.ru/Grls_View_v2.aspx?routingGuid=1be5f2f3-9629-4399-afb3-79567fc73f15&amp;t" TargetMode="External"/><Relationship Id="rId61" Type="http://schemas.openxmlformats.org/officeDocument/2006/relationships/hyperlink" Target="https://doi.org/10.18692/1810-4800-2021-1-102-117" TargetMode="External"/><Relationship Id="rId82" Type="http://schemas.openxmlformats.org/officeDocument/2006/relationships/hyperlink" Target="https://doi.org/10.22627/2072-8107-2012-11-0-9-15" TargetMode="External"/><Relationship Id="rId199" Type="http://schemas.openxmlformats.org/officeDocument/2006/relationships/hyperlink" Target="https://doi.org/10.22627/2072-8107-2016-15-4-48-53" TargetMode="External"/><Relationship Id="rId203" Type="http://schemas.openxmlformats.org/officeDocument/2006/relationships/hyperlink" Target="https://doi.org/10.22627/2072-8107-2016-15-4-48-53" TargetMode="External"/><Relationship Id="rId19" Type="http://schemas.openxmlformats.org/officeDocument/2006/relationships/hyperlink" Target="https://www.who.int/ru/news-room/questions-and-answers/item/human-tapneumovirus-(hmpv)-infection" TargetMode="External"/><Relationship Id="rId224" Type="http://schemas.openxmlformats.org/officeDocument/2006/relationships/hyperlink" Target="https://www.ohsu.edu/sites/default/files/2022-01/Dehydration-Clinical-Pathway-OHSU%20Health.pdf" TargetMode="External"/><Relationship Id="rId245" Type="http://schemas.openxmlformats.org/officeDocument/2006/relationships/footer" Target="footer14.xml"/><Relationship Id="rId30" Type="http://schemas.openxmlformats.org/officeDocument/2006/relationships/hyperlink" Target="https://doi.org/10.33029/2305-3496-2024-13-4-125-138" TargetMode="External"/><Relationship Id="rId105" Type="http://schemas.openxmlformats.org/officeDocument/2006/relationships/hyperlink" Target="https://doi.org/10.3390/v13081665" TargetMode="External"/><Relationship Id="rId126" Type="http://schemas.openxmlformats.org/officeDocument/2006/relationships/hyperlink" Target="https://doi.org/10.21518/2079-701X-2021-16-204-211" TargetMode="External"/><Relationship Id="rId147" Type="http://schemas.openxmlformats.org/officeDocument/2006/relationships/hyperlink" Target="https://klnran.ru/2025/05/zayavlenie-o-lekarstvennyh-preparatah-ne-soderzhashhih-dejstvujushhih-veshhestv/" TargetMode="External"/><Relationship Id="rId168" Type="http://schemas.openxmlformats.org/officeDocument/2006/relationships/hyperlink" Target="https://doi.org/10.22627/2072-8107-2015-14-4-26-30" TargetMode="External"/><Relationship Id="rId51" Type="http://schemas.openxmlformats.org/officeDocument/2006/relationships/hyperlink" Target="https://publications.aap.org/pediatrics/article/127/3/e20103852/65016/Fever-and-Antipyretic-Use-in-Children?autologincheck=redirected" TargetMode="External"/><Relationship Id="rId72" Type="http://schemas.openxmlformats.org/officeDocument/2006/relationships/hyperlink" Target="https://doi.org/10.18692/1810-4800-2021-1-102-117" TargetMode="External"/><Relationship Id="rId93" Type="http://schemas.openxmlformats.org/officeDocument/2006/relationships/hyperlink" Target="https://doi.org/10.22627/2072-8107-2016-15-3-25-30" TargetMode="External"/><Relationship Id="rId189" Type="http://schemas.openxmlformats.org/officeDocument/2006/relationships/hyperlink" Target="https://doi.org/10.21508/1027-4065-2019-64-3-103-108" TargetMode="External"/><Relationship Id="rId3" Type="http://schemas.openxmlformats.org/officeDocument/2006/relationships/settings" Target="settings.xml"/><Relationship Id="rId214" Type="http://schemas.openxmlformats.org/officeDocument/2006/relationships/hyperlink" Target="https://doi.org/10.1186/s12931-024-03030-7" TargetMode="External"/><Relationship Id="rId235" Type="http://schemas.openxmlformats.org/officeDocument/2006/relationships/footer" Target="footer5.xml"/><Relationship Id="rId116" Type="http://schemas.openxmlformats.org/officeDocument/2006/relationships/hyperlink" Target="https://doi.org/10.21518/2079-701X-2020-17-114-122" TargetMode="External"/><Relationship Id="rId137" Type="http://schemas.openxmlformats.org/officeDocument/2006/relationships/hyperlink" Target="https://doi.org/10.33029/2305-3496-2024-13-4-139-149" TargetMode="External"/><Relationship Id="rId158" Type="http://schemas.openxmlformats.org/officeDocument/2006/relationships/hyperlink" Target="https://klnran.ru/2025/05/zayavlenie-o-lekarstvennyh-preparatah-ne-soderzhashhih-dejstvujushhih-veshhestv/" TargetMode="External"/><Relationship Id="rId20" Type="http://schemas.openxmlformats.org/officeDocument/2006/relationships/hyperlink" Target="https://www.who.int/ru/news-room/questions-and-answers/item/human-tapneumovirus-(hmpv)-infection" TargetMode="External"/><Relationship Id="rId41" Type="http://schemas.openxmlformats.org/officeDocument/2006/relationships/hyperlink" Target="https://doi.org/10.33029/2305-3496-2024-13-4-125-138" TargetMode="External"/><Relationship Id="rId62" Type="http://schemas.openxmlformats.org/officeDocument/2006/relationships/hyperlink" Target="https://doi.org/10.18692/1810-4800-2021-1-102-117" TargetMode="External"/><Relationship Id="rId83" Type="http://schemas.openxmlformats.org/officeDocument/2006/relationships/hyperlink" Target="https://doi.org/10.22627/2072-8107-2012-11-0-9-15" TargetMode="External"/><Relationship Id="rId179" Type="http://schemas.openxmlformats.org/officeDocument/2006/relationships/hyperlink" Target="https://grls.rosminzdrav.ru/Grls_View_v2.aspx?routingGuid=1be5f2f3-9629-4399-afb3-79567fc73f15&amp;t" TargetMode="External"/><Relationship Id="rId190" Type="http://schemas.openxmlformats.org/officeDocument/2006/relationships/hyperlink" Target="https://doi.org/10.21508/1027-4065-2019-64-3-103-108" TargetMode="External"/><Relationship Id="rId204" Type="http://schemas.openxmlformats.org/officeDocument/2006/relationships/hyperlink" Target="https://doi.org/10.22627/2072-8107-2016-15-4-48-53" TargetMode="External"/><Relationship Id="rId225" Type="http://schemas.openxmlformats.org/officeDocument/2006/relationships/hyperlink" Target="https://www.ohsu.edu/sites/default/files/2022-01/Dehydration-Clinical-Pathway-OHSU%20Health.pdf" TargetMode="External"/><Relationship Id="rId246" Type="http://schemas.openxmlformats.org/officeDocument/2006/relationships/footer" Target="footer15.xml"/><Relationship Id="rId106" Type="http://schemas.openxmlformats.org/officeDocument/2006/relationships/hyperlink" Target="https://doi.org/10.3390/v13081665" TargetMode="External"/><Relationship Id="rId127" Type="http://schemas.openxmlformats.org/officeDocument/2006/relationships/hyperlink" Target="https://doi.org/10.21518/2079-701X-2021-16-204-211" TargetMode="External"/><Relationship Id="rId10" Type="http://schemas.openxmlformats.org/officeDocument/2006/relationships/hyperlink" Target="https://ru.wikipedia.org/wiki/%D0%92%D0%B8%D1%80%D1%83%D1%81%D1%8B" TargetMode="External"/><Relationship Id="rId31" Type="http://schemas.openxmlformats.org/officeDocument/2006/relationships/hyperlink" Target="https://doi.org/10.33029/2305-3496-2024-13-4-125-138" TargetMode="External"/><Relationship Id="rId52" Type="http://schemas.openxmlformats.org/officeDocument/2006/relationships/hyperlink" Target="https://publications.aap.org/pediatrics/article/127/3/e20103852/65016/Fever-and-Antipyretic-Use-in-Children?autologincheck=redirected" TargetMode="External"/><Relationship Id="rId73" Type="http://schemas.openxmlformats.org/officeDocument/2006/relationships/hyperlink" Target="http://whqlibdoc.who.int/hq/2001/WHO_FCH_%20CAH_01.02.pdf" TargetMode="External"/><Relationship Id="rId94" Type="http://schemas.openxmlformats.org/officeDocument/2006/relationships/hyperlink" Target="https://doi.org/10.22627/2072-8107-2016-15-3-25-30" TargetMode="External"/><Relationship Id="rId148" Type="http://schemas.openxmlformats.org/officeDocument/2006/relationships/hyperlink" Target="https://klnran.ru/2025/05/zayavlenie-o-lekarstvennyh-preparatah-ne-soderzhashhih-dejstvujushhih-veshhestv/" TargetMode="External"/><Relationship Id="rId169" Type="http://schemas.openxmlformats.org/officeDocument/2006/relationships/hyperlink" Target="https://doi.org/10.22627/2072-8107-2015-14-4-26-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36961</Words>
  <Characters>210678</Characters>
  <Application>Microsoft Office Word</Application>
  <DocSecurity>4</DocSecurity>
  <Lines>1755</Lines>
  <Paragraphs>494</Paragraphs>
  <ScaleCrop>false</ScaleCrop>
  <Company/>
  <LinksUpToDate>false</LinksUpToDate>
  <CharactersWithSpaces>247145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Ординаторы Детское отделение</dc:creator>
  <cp:keywords/>
  <cp:lastModifiedBy>word</cp:lastModifiedBy>
  <cp:revision>2</cp:revision>
  <dcterms:created xsi:type="dcterms:W3CDTF">2026-09-03T09:25:00Z</dcterms:created>
  <dcterms:modified xsi:type="dcterms:W3CDTF">2026-09-03T09:25:00Z</dcterms:modified>
</cp:coreProperties>
</file>