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6823" w:rsidRDefault="00F54A3E">
      <w:pPr>
        <w:spacing w:after="0" w:line="259" w:lineRule="auto"/>
        <w:ind w:left="-1440" w:right="10526" w:firstLine="0"/>
        <w:jc w:val="left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128</wp:posOffset>
            </wp:positionV>
            <wp:extent cx="7598410" cy="10710545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98410" cy="1071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6823" w:rsidRDefault="004A6823">
      <w:pPr>
        <w:sectPr w:rsidR="004A6823">
          <w:footerReference w:type="even" r:id="rId8"/>
          <w:footerReference w:type="default" r:id="rId9"/>
          <w:footerReference w:type="first" r:id="rId10"/>
          <w:pgSz w:w="11966" w:h="16867"/>
          <w:pgMar w:top="1440" w:right="1440" w:bottom="1440" w:left="1440" w:header="720" w:footer="720" w:gutter="0"/>
          <w:cols w:space="720"/>
        </w:sectPr>
      </w:pPr>
    </w:p>
    <w:p w:rsidR="004A6823" w:rsidRDefault="00F54A3E">
      <w:pPr>
        <w:spacing w:after="317" w:line="259" w:lineRule="auto"/>
        <w:ind w:left="0" w:firstLine="0"/>
        <w:jc w:val="left"/>
      </w:pPr>
      <w:r>
        <w:lastRenderedPageBreak/>
        <w:t xml:space="preserve"> </w:t>
      </w:r>
    </w:p>
    <w:p w:rsidR="004A6823" w:rsidRDefault="00F54A3E">
      <w:pPr>
        <w:pStyle w:val="Heading1"/>
      </w:pPr>
      <w:r>
        <w:t xml:space="preserve">Оглавление </w:t>
      </w:r>
    </w:p>
    <w:p w:rsidR="004A6823" w:rsidRDefault="00F54A3E">
      <w:pPr>
        <w:spacing w:after="242"/>
        <w:ind w:left="-5" w:right="307"/>
      </w:pPr>
      <w:r>
        <w:t>Оглавление ..................................................................................................................................... 2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231"/>
        <w:ind w:left="-5" w:right="307"/>
      </w:pPr>
      <w:r>
        <w:t>Список сокращений ....................................................................................................................... 4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numPr>
          <w:ilvl w:val="0"/>
          <w:numId w:val="1"/>
        </w:numPr>
        <w:spacing w:after="90" w:line="363" w:lineRule="auto"/>
        <w:ind w:right="307"/>
      </w:pPr>
      <w:r>
        <w:t xml:space="preserve">Краткая информация по заболеванию или состоянию (группе заболеваний или состояний) </w:t>
      </w:r>
      <w:r>
        <w:t>...................................................................................................................................... 6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numPr>
          <w:ilvl w:val="1"/>
          <w:numId w:val="1"/>
        </w:numPr>
        <w:spacing w:after="210" w:line="266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 xml:space="preserve">Определение заболевания или состояния (группы заболеваний или состояний) .................... 6 </w:t>
      </w:r>
    </w:p>
    <w:p w:rsidR="004A6823" w:rsidRDefault="00F54A3E">
      <w:pPr>
        <w:numPr>
          <w:ilvl w:val="1"/>
          <w:numId w:val="1"/>
        </w:numPr>
        <w:spacing w:after="210" w:line="266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>Этиология и патогенез</w:t>
      </w:r>
      <w:r>
        <w:rPr>
          <w:rFonts w:ascii="Calibri" w:eastAsia="Calibri" w:hAnsi="Calibri" w:cs="Calibri"/>
          <w:sz w:val="22"/>
        </w:rPr>
        <w:t xml:space="preserve"> заболевания или состояния (группы заболеваний или состояний). .... 6 </w:t>
      </w:r>
    </w:p>
    <w:p w:rsidR="004A6823" w:rsidRDefault="00F54A3E">
      <w:pPr>
        <w:numPr>
          <w:ilvl w:val="1"/>
          <w:numId w:val="1"/>
        </w:numPr>
        <w:spacing w:after="210" w:line="266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 xml:space="preserve">Эпидемиология заболевания или состояния (группы заболеваний или состояний) ................ 6 </w:t>
      </w:r>
    </w:p>
    <w:p w:rsidR="004A6823" w:rsidRDefault="00F54A3E">
      <w:pPr>
        <w:numPr>
          <w:ilvl w:val="1"/>
          <w:numId w:val="1"/>
        </w:numPr>
        <w:spacing w:after="11" w:line="266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>Особенности кодирования заболевания или состояния (группы заболеваний или состояний) по Ме</w:t>
      </w:r>
      <w:r>
        <w:rPr>
          <w:rFonts w:ascii="Calibri" w:eastAsia="Calibri" w:hAnsi="Calibri" w:cs="Calibri"/>
          <w:sz w:val="22"/>
        </w:rPr>
        <w:t xml:space="preserve">ждународной статистической классификации болезней и проблем, связанных со </w:t>
      </w:r>
    </w:p>
    <w:p w:rsidR="004A6823" w:rsidRDefault="00F54A3E">
      <w:pPr>
        <w:spacing w:after="218" w:line="259" w:lineRule="auto"/>
        <w:ind w:left="0" w:right="320" w:firstLine="0"/>
        <w:jc w:val="right"/>
      </w:pPr>
      <w:r>
        <w:rPr>
          <w:rFonts w:ascii="Calibri" w:eastAsia="Calibri" w:hAnsi="Calibri" w:cs="Calibri"/>
          <w:sz w:val="22"/>
        </w:rPr>
        <w:t xml:space="preserve">здоровьем ................................................................................................................................................ 7 </w:t>
      </w:r>
    </w:p>
    <w:p w:rsidR="004A6823" w:rsidRDefault="00F54A3E">
      <w:pPr>
        <w:numPr>
          <w:ilvl w:val="1"/>
          <w:numId w:val="1"/>
        </w:numPr>
        <w:spacing w:after="210" w:line="266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>Классификация заболеван</w:t>
      </w:r>
      <w:r>
        <w:rPr>
          <w:rFonts w:ascii="Calibri" w:eastAsia="Calibri" w:hAnsi="Calibri" w:cs="Calibri"/>
          <w:sz w:val="22"/>
        </w:rPr>
        <w:t xml:space="preserve">ия или состояния (группы заболеваний или состояний) ................. 7 </w:t>
      </w:r>
    </w:p>
    <w:p w:rsidR="004A6823" w:rsidRDefault="00F54A3E">
      <w:pPr>
        <w:numPr>
          <w:ilvl w:val="1"/>
          <w:numId w:val="1"/>
        </w:numPr>
        <w:spacing w:line="421" w:lineRule="auto"/>
        <w:ind w:right="37" w:firstLine="173"/>
        <w:jc w:val="left"/>
      </w:pPr>
      <w:r>
        <w:rPr>
          <w:rFonts w:ascii="Calibri" w:eastAsia="Calibri" w:hAnsi="Calibri" w:cs="Calibri"/>
          <w:sz w:val="22"/>
        </w:rPr>
        <w:t xml:space="preserve">Клиническая картина заболевания или состояния (группы заболеваний или состояний) ....... 7 </w:t>
      </w:r>
      <w:r>
        <w:t>2. Диагностика заболевания или состояния (группы заболеваний или состояний), медицинские пок</w:t>
      </w:r>
      <w:r>
        <w:t>азания и противопоказания к применению методов диагностики .............. 8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numPr>
          <w:ilvl w:val="1"/>
          <w:numId w:val="2"/>
        </w:numPr>
        <w:spacing w:after="210" w:line="266" w:lineRule="auto"/>
        <w:ind w:right="37" w:hanging="598"/>
        <w:jc w:val="left"/>
      </w:pPr>
      <w:r>
        <w:rPr>
          <w:rFonts w:ascii="Calibri" w:eastAsia="Calibri" w:hAnsi="Calibri" w:cs="Calibri"/>
          <w:sz w:val="22"/>
        </w:rPr>
        <w:t xml:space="preserve">Жалобы и анамнез ........................................................................................................................... 9 </w:t>
      </w:r>
    </w:p>
    <w:p w:rsidR="004A6823" w:rsidRDefault="00F54A3E">
      <w:pPr>
        <w:numPr>
          <w:ilvl w:val="1"/>
          <w:numId w:val="2"/>
        </w:numPr>
        <w:spacing w:after="210" w:line="266" w:lineRule="auto"/>
        <w:ind w:right="37" w:hanging="598"/>
        <w:jc w:val="left"/>
      </w:pPr>
      <w:r>
        <w:rPr>
          <w:rFonts w:ascii="Calibri" w:eastAsia="Calibri" w:hAnsi="Calibri" w:cs="Calibri"/>
          <w:sz w:val="22"/>
        </w:rPr>
        <w:t>Физикальное обследование ..........</w:t>
      </w:r>
      <w:r>
        <w:rPr>
          <w:rFonts w:ascii="Calibri" w:eastAsia="Calibri" w:hAnsi="Calibri" w:cs="Calibri"/>
          <w:sz w:val="22"/>
        </w:rPr>
        <w:t xml:space="preserve">.................................................................................................. 9 </w:t>
      </w:r>
    </w:p>
    <w:p w:rsidR="004A6823" w:rsidRDefault="00F54A3E">
      <w:pPr>
        <w:numPr>
          <w:ilvl w:val="1"/>
          <w:numId w:val="2"/>
        </w:numPr>
        <w:spacing w:after="210" w:line="266" w:lineRule="auto"/>
        <w:ind w:right="37" w:hanging="598"/>
        <w:jc w:val="left"/>
      </w:pPr>
      <w:r>
        <w:rPr>
          <w:rFonts w:ascii="Calibri" w:eastAsia="Calibri" w:hAnsi="Calibri" w:cs="Calibri"/>
          <w:sz w:val="22"/>
        </w:rPr>
        <w:t xml:space="preserve">Лабораторные диагностические исследования ............................................................................ 9 </w:t>
      </w:r>
    </w:p>
    <w:p w:rsidR="004A6823" w:rsidRDefault="00F54A3E">
      <w:pPr>
        <w:numPr>
          <w:ilvl w:val="1"/>
          <w:numId w:val="2"/>
        </w:numPr>
        <w:spacing w:after="210" w:line="266" w:lineRule="auto"/>
        <w:ind w:right="37" w:hanging="598"/>
        <w:jc w:val="left"/>
      </w:pPr>
      <w:r>
        <w:rPr>
          <w:rFonts w:ascii="Calibri" w:eastAsia="Calibri" w:hAnsi="Calibri" w:cs="Calibri"/>
          <w:sz w:val="22"/>
        </w:rPr>
        <w:t>Инструментальные диагностические</w:t>
      </w:r>
      <w:r>
        <w:rPr>
          <w:rFonts w:ascii="Calibri" w:eastAsia="Calibri" w:hAnsi="Calibri" w:cs="Calibri"/>
          <w:sz w:val="22"/>
        </w:rPr>
        <w:t xml:space="preserve"> исследования .................................................................. 10 </w:t>
      </w:r>
    </w:p>
    <w:p w:rsidR="004A6823" w:rsidRDefault="00F54A3E">
      <w:pPr>
        <w:numPr>
          <w:ilvl w:val="1"/>
          <w:numId w:val="2"/>
        </w:numPr>
        <w:spacing w:after="210" w:line="266" w:lineRule="auto"/>
        <w:ind w:right="37" w:hanging="598"/>
        <w:jc w:val="left"/>
      </w:pPr>
      <w:r>
        <w:rPr>
          <w:rFonts w:ascii="Calibri" w:eastAsia="Calibri" w:hAnsi="Calibri" w:cs="Calibri"/>
          <w:sz w:val="22"/>
        </w:rPr>
        <w:t xml:space="preserve">Иные диагностические исследования ..................................................................................... 11 </w:t>
      </w:r>
    </w:p>
    <w:p w:rsidR="004A6823" w:rsidRDefault="00F54A3E">
      <w:pPr>
        <w:numPr>
          <w:ilvl w:val="0"/>
          <w:numId w:val="3"/>
        </w:numPr>
        <w:spacing w:after="95" w:line="359" w:lineRule="auto"/>
        <w:ind w:right="307" w:hanging="511"/>
      </w:pPr>
      <w:r>
        <w:t>Лечение, включая медикаментозную и немедикаментозную терапии, диетотерапию, обезболивание, медицинские показания и противопоказания к применению методов лечения ...............................................................................................</w:t>
      </w:r>
      <w:r>
        <w:t>.......................................... 12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numPr>
          <w:ilvl w:val="1"/>
          <w:numId w:val="3"/>
        </w:numPr>
        <w:spacing w:after="210" w:line="266" w:lineRule="auto"/>
        <w:ind w:right="37" w:hanging="386"/>
        <w:jc w:val="left"/>
      </w:pPr>
      <w:r>
        <w:rPr>
          <w:rFonts w:ascii="Calibri" w:eastAsia="Calibri" w:hAnsi="Calibri" w:cs="Calibri"/>
          <w:sz w:val="22"/>
        </w:rPr>
        <w:t xml:space="preserve">Консервативное лечение ............................................................................................................... 12 </w:t>
      </w:r>
    </w:p>
    <w:p w:rsidR="004A6823" w:rsidRDefault="00F54A3E">
      <w:pPr>
        <w:numPr>
          <w:ilvl w:val="1"/>
          <w:numId w:val="3"/>
        </w:numPr>
        <w:spacing w:after="210" w:line="266" w:lineRule="auto"/>
        <w:ind w:right="37" w:hanging="386"/>
        <w:jc w:val="left"/>
      </w:pPr>
      <w:r>
        <w:rPr>
          <w:rFonts w:ascii="Calibri" w:eastAsia="Calibri" w:hAnsi="Calibri" w:cs="Calibri"/>
          <w:sz w:val="22"/>
        </w:rPr>
        <w:t>Хирургическое лечение ................................................</w:t>
      </w:r>
      <w:r>
        <w:rPr>
          <w:rFonts w:ascii="Calibri" w:eastAsia="Calibri" w:hAnsi="Calibri" w:cs="Calibri"/>
          <w:sz w:val="22"/>
        </w:rPr>
        <w:t xml:space="preserve">................................................................. 13 </w:t>
      </w:r>
    </w:p>
    <w:p w:rsidR="004A6823" w:rsidRDefault="00F54A3E">
      <w:pPr>
        <w:numPr>
          <w:ilvl w:val="2"/>
          <w:numId w:val="3"/>
        </w:numPr>
        <w:spacing w:after="210" w:line="266" w:lineRule="auto"/>
        <w:ind w:right="37" w:hanging="554"/>
        <w:jc w:val="left"/>
      </w:pPr>
      <w:r>
        <w:rPr>
          <w:rFonts w:ascii="Calibri" w:eastAsia="Calibri" w:hAnsi="Calibri" w:cs="Calibri"/>
          <w:sz w:val="22"/>
        </w:rPr>
        <w:t xml:space="preserve">Дивертикулэктомия. .................................................................................................................. 13 </w:t>
      </w:r>
    </w:p>
    <w:p w:rsidR="004A6823" w:rsidRDefault="00F54A3E">
      <w:pPr>
        <w:numPr>
          <w:ilvl w:val="2"/>
          <w:numId w:val="3"/>
        </w:numPr>
        <w:spacing w:after="210" w:line="266" w:lineRule="auto"/>
        <w:ind w:right="37" w:hanging="554"/>
        <w:jc w:val="left"/>
      </w:pPr>
      <w:r>
        <w:rPr>
          <w:rFonts w:ascii="Calibri" w:eastAsia="Calibri" w:hAnsi="Calibri" w:cs="Calibri"/>
          <w:sz w:val="22"/>
        </w:rPr>
        <w:t>Трансуретральная инцизия шейки дивертикула. ....</w:t>
      </w:r>
      <w:r>
        <w:rPr>
          <w:rFonts w:ascii="Calibri" w:eastAsia="Calibri" w:hAnsi="Calibri" w:cs="Calibri"/>
          <w:sz w:val="22"/>
        </w:rPr>
        <w:t xml:space="preserve">................................................................ 14 </w:t>
      </w:r>
    </w:p>
    <w:p w:rsidR="004A6823" w:rsidRDefault="00F54A3E">
      <w:pPr>
        <w:numPr>
          <w:ilvl w:val="1"/>
          <w:numId w:val="3"/>
        </w:numPr>
        <w:spacing w:after="210" w:line="266" w:lineRule="auto"/>
        <w:ind w:right="37" w:hanging="386"/>
        <w:jc w:val="left"/>
      </w:pPr>
      <w:r>
        <w:rPr>
          <w:rFonts w:ascii="Calibri" w:eastAsia="Calibri" w:hAnsi="Calibri" w:cs="Calibri"/>
          <w:sz w:val="22"/>
        </w:rPr>
        <w:t xml:space="preserve">Лечение при опухолях дивертикула. ........................................................................................... 15 </w:t>
      </w:r>
    </w:p>
    <w:p w:rsidR="004A6823" w:rsidRDefault="00F54A3E">
      <w:pPr>
        <w:numPr>
          <w:ilvl w:val="0"/>
          <w:numId w:val="3"/>
        </w:numPr>
        <w:spacing w:after="123" w:line="371" w:lineRule="auto"/>
        <w:ind w:right="307" w:hanging="511"/>
      </w:pPr>
      <w:r>
        <w:t>Медицинская реабилитация и санаторно-курортное лечение, м</w:t>
      </w:r>
      <w:r>
        <w:t>едицинские показания и противопоказания к применению методов медицинской реабилитации, в том числе основанных на использовании природных лечебных факторов ............................................. 15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numPr>
          <w:ilvl w:val="0"/>
          <w:numId w:val="3"/>
        </w:numPr>
        <w:spacing w:after="159"/>
        <w:ind w:right="307" w:hanging="511"/>
      </w:pPr>
      <w:r>
        <w:t xml:space="preserve">Профилактика </w:t>
      </w:r>
      <w:r>
        <w:tab/>
        <w:t xml:space="preserve">и </w:t>
      </w:r>
      <w:r>
        <w:tab/>
        <w:t xml:space="preserve">диспансерное </w:t>
      </w:r>
      <w:r>
        <w:tab/>
        <w:t xml:space="preserve">наблюдение, </w:t>
      </w:r>
      <w:r>
        <w:tab/>
        <w:t>медицин</w:t>
      </w:r>
      <w:r>
        <w:t xml:space="preserve">ские </w:t>
      </w:r>
      <w:r>
        <w:tab/>
        <w:t xml:space="preserve">показания </w:t>
      </w:r>
      <w:r>
        <w:tab/>
        <w:t xml:space="preserve">и </w:t>
      </w:r>
    </w:p>
    <w:p w:rsidR="004A6823" w:rsidRDefault="00F54A3E">
      <w:pPr>
        <w:spacing w:line="471" w:lineRule="auto"/>
        <w:ind w:left="-5" w:right="307"/>
      </w:pPr>
      <w:r>
        <w:t>противопоказания к применению методов профилактики ...................................................... 15</w:t>
      </w:r>
      <w:r>
        <w:rPr>
          <w:rFonts w:ascii="Calibri" w:eastAsia="Calibri" w:hAnsi="Calibri" w:cs="Calibri"/>
          <w:sz w:val="22"/>
        </w:rPr>
        <w:t xml:space="preserve"> </w:t>
      </w:r>
      <w:r>
        <w:t>6. Организация оказания медицинской помощи ...................................................................... 15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244"/>
        <w:ind w:left="-5" w:right="307"/>
      </w:pPr>
      <w:r>
        <w:t xml:space="preserve">Критерии </w:t>
      </w:r>
      <w:r>
        <w:t>оценки качества медицинской помощи ................................................................... 16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231"/>
        <w:ind w:left="-5" w:right="307"/>
      </w:pPr>
      <w:r>
        <w:t>Список литературы ...................................................................................................................... 16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131"/>
        <w:ind w:left="-5" w:right="307"/>
      </w:pPr>
      <w:r>
        <w:t>Приложен</w:t>
      </w:r>
      <w:r>
        <w:t xml:space="preserve">ие А1. Состав рабочей группы по разработке и пересмотру клинических </w:t>
      </w:r>
    </w:p>
    <w:p w:rsidR="004A6823" w:rsidRDefault="00F54A3E">
      <w:pPr>
        <w:spacing w:after="268"/>
        <w:ind w:left="-5" w:right="307"/>
      </w:pPr>
      <w:r>
        <w:t>рекомендаций ............................................................................................................................... 19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231"/>
        <w:ind w:left="-5" w:right="307"/>
      </w:pPr>
      <w:r>
        <w:t>Приложение А2. Методология разработки клинических рекомендаций .............................. 20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line="358" w:lineRule="auto"/>
        <w:ind w:left="-5" w:right="307"/>
      </w:pPr>
      <w:r>
        <w:t>Приложение А3. Справочные материалы, включая соответствие показаний к применению и противопоказаний, способов применения и доз лекарственных препаратов, инстр</w:t>
      </w:r>
      <w:r>
        <w:t xml:space="preserve">укции </w:t>
      </w:r>
    </w:p>
    <w:p w:rsidR="004A6823" w:rsidRDefault="00F54A3E">
      <w:pPr>
        <w:spacing w:line="470" w:lineRule="auto"/>
        <w:ind w:left="-5" w:right="307"/>
      </w:pPr>
      <w:r>
        <w:t>по применению лекарственного препарата............................................................................... 22</w:t>
      </w:r>
      <w:r>
        <w:rPr>
          <w:rFonts w:ascii="Calibri" w:eastAsia="Calibri" w:hAnsi="Calibri" w:cs="Calibri"/>
          <w:sz w:val="22"/>
        </w:rPr>
        <w:t xml:space="preserve"> </w:t>
      </w:r>
      <w:r>
        <w:t>Приложение Б. Алгоритмы действий врача ............................................................................. 23</w:t>
      </w:r>
      <w:r>
        <w:rPr>
          <w:rFonts w:ascii="Calibri" w:eastAsia="Calibri" w:hAnsi="Calibri" w:cs="Calibri"/>
          <w:sz w:val="22"/>
        </w:rPr>
        <w:t xml:space="preserve"> </w:t>
      </w:r>
      <w:r>
        <w:t>Приложен</w:t>
      </w:r>
      <w:r>
        <w:t>ие В. Информация для пациента .............................................................................. 24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157"/>
        <w:ind w:left="-5" w:right="307"/>
      </w:pPr>
      <w:r>
        <w:t xml:space="preserve">Приложение Г1-ГN. Шкалы оценки, вопросники и другие оценочные инструменты </w:t>
      </w:r>
    </w:p>
    <w:p w:rsidR="004A6823" w:rsidRDefault="00F54A3E">
      <w:pPr>
        <w:spacing w:after="234"/>
        <w:ind w:left="-5" w:right="307"/>
      </w:pPr>
      <w:r>
        <w:t xml:space="preserve">состояния пациента, приведенные в клинических рекомендациях </w:t>
      </w:r>
      <w:r>
        <w:t>........................................ 25</w:t>
      </w:r>
      <w:r>
        <w:rPr>
          <w:rFonts w:ascii="Calibri" w:eastAsia="Calibri" w:hAnsi="Calibri" w:cs="Calibri"/>
          <w:sz w:val="22"/>
        </w:rPr>
        <w:t xml:space="preserve"> </w:t>
      </w:r>
    </w:p>
    <w:p w:rsidR="004A6823" w:rsidRDefault="00F54A3E">
      <w:pPr>
        <w:spacing w:after="0" w:line="259" w:lineRule="auto"/>
        <w:ind w:left="0" w:firstLine="0"/>
        <w:jc w:val="left"/>
      </w:pPr>
      <w:r>
        <w:t xml:space="preserve"> </w:t>
      </w:r>
    </w:p>
    <w:p w:rsidR="004A6823" w:rsidRDefault="00F54A3E">
      <w:pPr>
        <w:spacing w:after="324" w:line="259" w:lineRule="auto"/>
        <w:ind w:left="0" w:firstLine="0"/>
        <w:jc w:val="left"/>
      </w:pPr>
      <w:r>
        <w:rPr>
          <w:sz w:val="28"/>
        </w:rPr>
        <w:t xml:space="preserve"> </w:t>
      </w:r>
    </w:p>
    <w:p w:rsidR="004A6823" w:rsidRDefault="00F54A3E">
      <w:pPr>
        <w:pStyle w:val="Heading1"/>
        <w:spacing w:after="135"/>
        <w:ind w:right="312"/>
      </w:pPr>
      <w:r>
        <w:t xml:space="preserve">Список сокращений </w:t>
      </w:r>
    </w:p>
    <w:p w:rsidR="004A6823" w:rsidRDefault="00F54A3E">
      <w:pPr>
        <w:spacing w:after="169"/>
        <w:ind w:left="718" w:right="307"/>
      </w:pPr>
      <w:r>
        <w:rPr>
          <w:b/>
        </w:rPr>
        <w:t>МП</w:t>
      </w:r>
      <w:r>
        <w:t xml:space="preserve"> – мочевой пузырь </w:t>
      </w:r>
    </w:p>
    <w:p w:rsidR="004A6823" w:rsidRDefault="00F54A3E">
      <w:pPr>
        <w:spacing w:after="163"/>
        <w:ind w:left="718" w:right="307"/>
      </w:pPr>
      <w:r>
        <w:rPr>
          <w:b/>
        </w:rPr>
        <w:t>УЗИ</w:t>
      </w:r>
      <w:r>
        <w:t xml:space="preserve"> – ультразвуковое исследование </w:t>
      </w:r>
    </w:p>
    <w:p w:rsidR="004A6823" w:rsidRDefault="00F54A3E">
      <w:pPr>
        <w:spacing w:line="384" w:lineRule="auto"/>
        <w:ind w:left="-15" w:right="307" w:firstLine="708"/>
      </w:pPr>
      <w:r>
        <w:rPr>
          <w:b/>
        </w:rPr>
        <w:t>КУДИ</w:t>
      </w:r>
      <w:r>
        <w:t xml:space="preserve"> – комплексное уродинамическое исследование (A12.28.006 – Урофлоуметрия + A12.28.007 Цистометрия + A12.28.008 Профилометрия </w:t>
      </w:r>
    </w:p>
    <w:p w:rsidR="004A6823" w:rsidRDefault="00F54A3E">
      <w:pPr>
        <w:spacing w:after="159"/>
        <w:ind w:left="-5" w:right="307"/>
      </w:pPr>
      <w:r>
        <w:t xml:space="preserve">внутриуретрального давления + A05.19.001.001 Электромиография мышц тазового дна + </w:t>
      </w:r>
    </w:p>
    <w:p w:rsidR="004A6823" w:rsidRDefault="00F54A3E">
      <w:pPr>
        <w:spacing w:after="172"/>
        <w:ind w:left="-5" w:right="307"/>
      </w:pPr>
      <w:r>
        <w:t xml:space="preserve">A12.28.005 Исследование объёма остаточной мочи) </w:t>
      </w:r>
    </w:p>
    <w:p w:rsidR="004A6823" w:rsidRDefault="00F54A3E">
      <w:pPr>
        <w:spacing w:after="168"/>
        <w:ind w:left="718" w:right="307"/>
      </w:pPr>
      <w:r>
        <w:rPr>
          <w:b/>
        </w:rPr>
        <w:t>БЦЖ</w:t>
      </w:r>
      <w:r>
        <w:t xml:space="preserve"> – бацилла Кальметта–Герена  </w:t>
      </w:r>
    </w:p>
    <w:p w:rsidR="004A6823" w:rsidRDefault="00F54A3E">
      <w:pPr>
        <w:spacing w:after="171"/>
        <w:ind w:left="718" w:right="307"/>
      </w:pPr>
      <w:r>
        <w:rPr>
          <w:b/>
        </w:rPr>
        <w:t xml:space="preserve">РМП – </w:t>
      </w:r>
      <w:r>
        <w:t xml:space="preserve">рак мочевого пузыря </w:t>
      </w:r>
    </w:p>
    <w:p w:rsidR="004A6823" w:rsidRDefault="00F54A3E">
      <w:pPr>
        <w:ind w:left="718" w:right="307"/>
      </w:pPr>
      <w:r>
        <w:rPr>
          <w:b/>
        </w:rPr>
        <w:t>НМИ</w:t>
      </w:r>
      <w:r>
        <w:t xml:space="preserve">– немышечно-инвазивный  </w:t>
      </w:r>
      <w:r>
        <w:br w:type="page"/>
      </w:r>
    </w:p>
    <w:p w:rsidR="004A6823" w:rsidRDefault="00F54A3E">
      <w:pPr>
        <w:spacing w:after="174"/>
        <w:ind w:left="718" w:right="307"/>
      </w:pPr>
      <w:r>
        <w:t xml:space="preserve">Термины и определения </w:t>
      </w:r>
    </w:p>
    <w:p w:rsidR="004A6823" w:rsidRDefault="00F54A3E">
      <w:pPr>
        <w:spacing w:line="377" w:lineRule="auto"/>
        <w:ind w:left="-15" w:right="307" w:firstLine="708"/>
      </w:pPr>
      <w:r>
        <w:rPr>
          <w:b/>
        </w:rPr>
        <w:t>Дивертикул м</w:t>
      </w:r>
      <w:r>
        <w:rPr>
          <w:b/>
        </w:rPr>
        <w:t>очевого пузыря</w:t>
      </w:r>
      <w:r>
        <w:t xml:space="preserve"> – это пролабирование слизистой оболочки мочевого пузыря через мышечные волокна стенки мочевого пузыря с образованием, тонкостенной патологической полости, сообщающейся с мочевым пузырем через узкую или широкую шейку и как правило характеризу</w:t>
      </w:r>
      <w:r>
        <w:t xml:space="preserve">ющуюся неполным опорожнением при мочеиспускании. </w:t>
      </w:r>
    </w:p>
    <w:p w:rsidR="004A6823" w:rsidRDefault="00F54A3E">
      <w:pPr>
        <w:spacing w:line="367" w:lineRule="auto"/>
        <w:ind w:left="-15" w:right="307" w:firstLine="708"/>
      </w:pPr>
      <w:r>
        <w:rPr>
          <w:b/>
        </w:rPr>
        <w:t>Комплексное уродинамическое исследование</w:t>
      </w:r>
      <w:r>
        <w:t xml:space="preserve"> – это метод, позволяющий оценить накопительную и выделительную функции мочевого пузыря, функцию сфинктеров, а также мышц, участвующих в мочеиспускании, и таким образ</w:t>
      </w:r>
      <w:r>
        <w:t xml:space="preserve">ом установить возможные причины имеющихся нарушений (A12.28.006 – Урофлоуметрия + A12.28.007 </w:t>
      </w:r>
    </w:p>
    <w:p w:rsidR="004A6823" w:rsidRDefault="00F54A3E">
      <w:pPr>
        <w:spacing w:after="26" w:line="377" w:lineRule="auto"/>
        <w:ind w:left="-5" w:right="307"/>
      </w:pPr>
      <w:r>
        <w:t>Цистометрия + A12.28.008 Профилометрия внутриуретрального давления + A05.19.001.001 Электромиография мышц тазового дна + A12.28.005 Исследование объёма остаточной</w:t>
      </w:r>
      <w:r>
        <w:t xml:space="preserve"> мочи). </w:t>
      </w:r>
    </w:p>
    <w:p w:rsidR="004A6823" w:rsidRDefault="00F54A3E">
      <w:pPr>
        <w:spacing w:after="26" w:line="376" w:lineRule="auto"/>
        <w:ind w:left="-15" w:right="307" w:firstLine="708"/>
      </w:pPr>
      <w:r>
        <w:rPr>
          <w:b/>
        </w:rPr>
        <w:t>Детрузор</w:t>
      </w:r>
      <w:r>
        <w:t xml:space="preserve"> (мочевого пузыря) – это мышечная оболочка мочевого пузыря, состоящая из трех переплетающихся слоёв, образующих единую мышцу, изгоняющую мочу. </w:t>
      </w:r>
    </w:p>
    <w:p w:rsidR="004A6823" w:rsidRDefault="00F54A3E">
      <w:pPr>
        <w:spacing w:line="377" w:lineRule="auto"/>
        <w:ind w:left="-15" w:right="307" w:firstLine="708"/>
      </w:pPr>
      <w:r>
        <w:rPr>
          <w:b/>
        </w:rPr>
        <w:t>Дивертикулэктомия мочевого пузыря –</w:t>
      </w:r>
      <w:r>
        <w:t xml:space="preserve"> </w:t>
      </w:r>
      <w:r>
        <w:t xml:space="preserve">операция по иссечению патологической слепо заканчивающейся полости с последующим восстановлением анатомической целостности органа. </w:t>
      </w:r>
    </w:p>
    <w:p w:rsidR="004A6823" w:rsidRDefault="00F54A3E">
      <w:pPr>
        <w:spacing w:line="377" w:lineRule="auto"/>
        <w:ind w:left="-15" w:right="307" w:firstLine="708"/>
      </w:pPr>
      <w:r>
        <w:rPr>
          <w:b/>
        </w:rPr>
        <w:t xml:space="preserve">Дивертикулэктомия мочевого пузыря с использованием видеоэндоскопических технологий </w:t>
      </w:r>
      <w:r>
        <w:t>– эндоскопическая операция, подразумевающ</w:t>
      </w:r>
      <w:r>
        <w:t xml:space="preserve">ая рассечение шейки дивертикула мочевого пузыря для расширения сообщения между полостью мочевого пузыря и полостью дивертикула с помощью инструмента, проведенного через мочеиспускательный канал. </w:t>
      </w:r>
    </w:p>
    <w:p w:rsidR="004A6823" w:rsidRDefault="00F54A3E">
      <w:pPr>
        <w:spacing w:after="31" w:line="371" w:lineRule="auto"/>
        <w:ind w:left="-15" w:right="307" w:firstLine="708"/>
      </w:pPr>
      <w:r>
        <w:rPr>
          <w:b/>
        </w:rPr>
        <w:t>Инфравезикальная обструкция (ИВО</w:t>
      </w:r>
      <w:r>
        <w:t>) - представляет собой общий</w:t>
      </w:r>
      <w:r>
        <w:t xml:space="preserve"> термин для описания обструкции во время мочеиспускания, характеризуется повышением давления детрузора и снижением скорости мочеиспускания, ИВО диагностируется при одновременном определении скорости мочеиспускания и давления детрузора. </w:t>
      </w:r>
    </w:p>
    <w:p w:rsidR="004A6823" w:rsidRDefault="00F54A3E">
      <w:pPr>
        <w:spacing w:line="399" w:lineRule="auto"/>
        <w:ind w:left="-15" w:right="307" w:firstLine="708"/>
      </w:pPr>
      <w:r>
        <w:rPr>
          <w:b/>
        </w:rPr>
        <w:t>Интрадивертикулярна</w:t>
      </w:r>
      <w:r>
        <w:rPr>
          <w:b/>
        </w:rPr>
        <w:t>я опухоль</w:t>
      </w:r>
      <w:r>
        <w:t xml:space="preserve"> – новообразование уротелия, происходящее из слизистой дивертикула мочевого пузыря. </w:t>
      </w:r>
    </w:p>
    <w:p w:rsidR="004A6823" w:rsidRDefault="00F54A3E">
      <w:pPr>
        <w:spacing w:line="377" w:lineRule="auto"/>
        <w:ind w:left="-15" w:right="307" w:firstLine="708"/>
      </w:pPr>
      <w:r>
        <w:rPr>
          <w:b/>
        </w:rPr>
        <w:t>Измерение скорости потока мочи (урофлоуметрия</w:t>
      </w:r>
      <w:r>
        <w:t xml:space="preserve">) </w:t>
      </w:r>
      <w:r>
        <w:rPr>
          <w:b/>
        </w:rPr>
        <w:t xml:space="preserve">- </w:t>
      </w:r>
      <w:r>
        <w:t>это скрининговый неинвазивный метод диагностики, применяемый для оценки функций мочевыводящей системы – сфинктера</w:t>
      </w:r>
      <w:r>
        <w:t xml:space="preserve"> уретры и мочевого пузыря. </w:t>
      </w:r>
    </w:p>
    <w:p w:rsidR="004A6823" w:rsidRDefault="00F54A3E">
      <w:pPr>
        <w:spacing w:after="0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spacing w:after="453" w:line="259" w:lineRule="auto"/>
        <w:ind w:left="708" w:firstLine="0"/>
        <w:jc w:val="left"/>
      </w:pPr>
      <w:r>
        <w:t xml:space="preserve">                                    </w:t>
      </w:r>
    </w:p>
    <w:p w:rsidR="004A6823" w:rsidRDefault="00F54A3E">
      <w:pPr>
        <w:pStyle w:val="Heading1"/>
        <w:spacing w:after="386"/>
        <w:ind w:right="315"/>
      </w:pPr>
      <w:r>
        <w:t xml:space="preserve">1. Краткая информация по заболеванию или состоянию (группе заболеваний или состояний) </w:t>
      </w:r>
    </w:p>
    <w:p w:rsidR="004A6823" w:rsidRDefault="00F54A3E">
      <w:pPr>
        <w:spacing w:after="8" w:line="391" w:lineRule="auto"/>
        <w:ind w:left="-15" w:right="304" w:firstLine="698"/>
      </w:pPr>
      <w:r>
        <w:rPr>
          <w:b/>
          <w:u w:val="single" w:color="000000"/>
        </w:rPr>
        <w:t xml:space="preserve">1.1 Определение </w:t>
      </w:r>
      <w:r>
        <w:rPr>
          <w:b/>
          <w:color w:val="333333"/>
          <w:u w:val="single" w:color="333333"/>
        </w:rPr>
        <w:t>заболевания или состояния (группы заболеваний или</w:t>
      </w:r>
      <w:r>
        <w:rPr>
          <w:b/>
          <w:color w:val="333333"/>
        </w:rPr>
        <w:t xml:space="preserve"> </w:t>
      </w:r>
    </w:p>
    <w:p w:rsidR="004A6823" w:rsidRDefault="00F54A3E">
      <w:pPr>
        <w:pStyle w:val="Heading2"/>
        <w:spacing w:after="8" w:line="391" w:lineRule="auto"/>
        <w:ind w:left="-15" w:right="304" w:firstLine="698"/>
        <w:jc w:val="both"/>
      </w:pPr>
      <w:r>
        <w:rPr>
          <w:color w:val="333333"/>
          <w:u w:color="333333"/>
        </w:rPr>
        <w:t>состояний)</w:t>
      </w:r>
      <w:r>
        <w:rPr>
          <w:u w:val="none"/>
        </w:rPr>
        <w:t xml:space="preserve"> </w:t>
      </w:r>
    </w:p>
    <w:p w:rsidR="004A6823" w:rsidRDefault="00F54A3E">
      <w:pPr>
        <w:spacing w:after="274" w:line="375" w:lineRule="auto"/>
        <w:ind w:left="-15" w:right="307" w:firstLine="708"/>
      </w:pPr>
      <w:r>
        <w:rPr>
          <w:b/>
        </w:rPr>
        <w:t>Дивертикул мочевого пузыря</w:t>
      </w:r>
      <w:r>
        <w:t xml:space="preserve"> – это пролабирование слизистой оболочки мочевого пузыря через мышечные волокна стенки мочевого пузыря с образованием, тонкостенной патологической полости, сообщающейся с мочевым пузырем через узкую или широкую шейку и как правило</w:t>
      </w:r>
      <w:r>
        <w:t xml:space="preserve"> характеризующееся неполным опорожнением при мочеиспускании [10]. </w:t>
      </w:r>
    </w:p>
    <w:p w:rsidR="004A6823" w:rsidRDefault="00F54A3E">
      <w:pPr>
        <w:spacing w:after="8" w:line="391" w:lineRule="auto"/>
        <w:ind w:left="-15" w:right="304" w:firstLine="698"/>
      </w:pPr>
      <w:r>
        <w:rPr>
          <w:b/>
          <w:u w:val="single" w:color="000000"/>
        </w:rPr>
        <w:t xml:space="preserve">1.2 Этиология и патогенез </w:t>
      </w:r>
      <w:r>
        <w:rPr>
          <w:b/>
          <w:color w:val="333333"/>
          <w:u w:val="single" w:color="333333"/>
        </w:rPr>
        <w:t>заболевания или состояния (группы заболеваний</w:t>
      </w:r>
      <w:r>
        <w:rPr>
          <w:b/>
          <w:color w:val="333333"/>
        </w:rPr>
        <w:t xml:space="preserve"> </w:t>
      </w:r>
      <w:r>
        <w:rPr>
          <w:b/>
          <w:color w:val="333333"/>
          <w:u w:val="single" w:color="333333"/>
        </w:rPr>
        <w:t>или состояний).</w:t>
      </w:r>
      <w:r>
        <w:rPr>
          <w:b/>
        </w:rPr>
        <w:t xml:space="preserve"> </w:t>
      </w:r>
    </w:p>
    <w:p w:rsidR="004A6823" w:rsidRDefault="00F54A3E">
      <w:pPr>
        <w:spacing w:after="274" w:line="375" w:lineRule="auto"/>
        <w:ind w:left="-15" w:right="307" w:firstLine="708"/>
      </w:pPr>
      <w:r>
        <w:t>Причины образования дивертикула мочевого пузыря делят на врожденные и приобретенные. В отличие от пр</w:t>
      </w:r>
      <w:r>
        <w:t>иобретенной формы, которая практически всегда сопряжена с инфравезикальной обструкцией или нейрогенной дисфункцией мочевого пузыря, врожденный дивертикул мочевого пузыря возникает из-за гипоплазии мышечного слоя стенки мочевого пузыря [1, 2]. Механизм форм</w:t>
      </w:r>
      <w:r>
        <w:t xml:space="preserve">ирования дивертикула заключается в действии повышенного внутрипузырного давления на стенку мочевого пузыря вследствие препятствия оттоку мочи и/или дискоординированных сокращений мышечных волокон или, в случае врожденной патологии, воздействия нормального </w:t>
      </w:r>
      <w:r>
        <w:t>внутрипузырного давления на ослабленную мышечную стенку МП. Эти изменения приводят к продавливанию слизистой оболочки МП между мышечными волокнами с образованием «вдавлений» в стенке мочевого пузыря, являющихся органическим субстратом для дальнейшего роста</w:t>
      </w:r>
      <w:r>
        <w:t xml:space="preserve"> и формирования дивертикула [3, 4]. </w:t>
      </w:r>
    </w:p>
    <w:p w:rsidR="004A6823" w:rsidRDefault="00F54A3E">
      <w:pPr>
        <w:pStyle w:val="Heading2"/>
        <w:spacing w:after="8" w:line="391" w:lineRule="auto"/>
        <w:ind w:left="-15" w:right="304" w:firstLine="698"/>
        <w:jc w:val="both"/>
      </w:pPr>
      <w:r>
        <w:t xml:space="preserve">1.3 Эпидемиология </w:t>
      </w:r>
      <w:r>
        <w:rPr>
          <w:color w:val="333333"/>
          <w:u w:color="333333"/>
        </w:rPr>
        <w:t>заболевания или состояния (группы заболеваний или</w:t>
      </w:r>
      <w:r>
        <w:rPr>
          <w:color w:val="333333"/>
          <w:u w:val="none"/>
        </w:rPr>
        <w:t xml:space="preserve"> </w:t>
      </w:r>
      <w:r>
        <w:rPr>
          <w:color w:val="333333"/>
          <w:u w:color="333333"/>
        </w:rPr>
        <w:t>состояний)</w:t>
      </w:r>
      <w:r>
        <w:rPr>
          <w:u w:val="none"/>
        </w:rPr>
        <w:t xml:space="preserve"> </w:t>
      </w:r>
    </w:p>
    <w:p w:rsidR="004A6823" w:rsidRDefault="00F54A3E">
      <w:pPr>
        <w:spacing w:line="395" w:lineRule="auto"/>
        <w:ind w:left="-15" w:right="307" w:firstLine="708"/>
      </w:pPr>
      <w:r>
        <w:t>Дивертикулы мочевого пузыря могут встречаются во всех возрастных группах; однако в 90% случаев дивертикул мочевого пузыря диагностируется у</w:t>
      </w:r>
      <w:r>
        <w:t xml:space="preserve"> взрослых. Кроме того, дивертикулы МП чаще встречаются у мужчин, чем у женщин, с частотой около 9 к 1 как среди детей, так и взрослых. [3, 5] Врожденные дивертикулы мочевого пузыря встречаются в 1,7 %, причём чаще среди детей младше 10-ти лет [6]. </w:t>
      </w:r>
    </w:p>
    <w:p w:rsidR="004A6823" w:rsidRDefault="00F54A3E">
      <w:pPr>
        <w:spacing w:after="257" w:line="391" w:lineRule="auto"/>
        <w:ind w:left="-15" w:right="304" w:firstLine="698"/>
      </w:pPr>
      <w:r>
        <w:rPr>
          <w:b/>
          <w:u w:val="single" w:color="333333"/>
        </w:rPr>
        <w:t xml:space="preserve">1.4 </w:t>
      </w:r>
      <w:r>
        <w:rPr>
          <w:b/>
          <w:color w:val="333333"/>
          <w:u w:val="single" w:color="333333"/>
        </w:rPr>
        <w:t>Осо</w:t>
      </w:r>
      <w:r>
        <w:rPr>
          <w:b/>
          <w:color w:val="333333"/>
          <w:u w:val="single" w:color="333333"/>
        </w:rPr>
        <w:t>бенности кодирования заболевания или состояния (группы</w:t>
      </w:r>
      <w:r>
        <w:rPr>
          <w:b/>
          <w:color w:val="333333"/>
        </w:rPr>
        <w:t xml:space="preserve"> </w:t>
      </w:r>
      <w:r>
        <w:rPr>
          <w:b/>
          <w:color w:val="333333"/>
          <w:u w:val="single" w:color="333333"/>
        </w:rPr>
        <w:t>заболеваний или состояний) по Международной статистической классификации</w:t>
      </w:r>
      <w:r>
        <w:rPr>
          <w:b/>
          <w:color w:val="333333"/>
        </w:rPr>
        <w:t xml:space="preserve"> </w:t>
      </w:r>
      <w:r>
        <w:rPr>
          <w:b/>
          <w:color w:val="333333"/>
          <w:u w:val="single" w:color="333333"/>
        </w:rPr>
        <w:t>болезней и проблем, связанных со здоровьем</w:t>
      </w:r>
      <w:r>
        <w:rPr>
          <w:b/>
        </w:rPr>
        <w:t xml:space="preserve"> </w:t>
      </w:r>
      <w:r>
        <w:t xml:space="preserve">N32.3  - Дивертикул мочевого пузыря. </w:t>
      </w:r>
    </w:p>
    <w:p w:rsidR="004A6823" w:rsidRDefault="00F54A3E">
      <w:pPr>
        <w:pStyle w:val="Heading2"/>
        <w:spacing w:after="8" w:line="391" w:lineRule="auto"/>
        <w:ind w:left="-15" w:right="304" w:firstLine="698"/>
        <w:jc w:val="both"/>
      </w:pPr>
      <w:r>
        <w:t xml:space="preserve">1.5 Классификация </w:t>
      </w:r>
      <w:r>
        <w:rPr>
          <w:color w:val="333333"/>
          <w:u w:color="333333"/>
        </w:rPr>
        <w:t>заболевания или состояния (гр</w:t>
      </w:r>
      <w:r>
        <w:rPr>
          <w:color w:val="333333"/>
          <w:u w:color="333333"/>
        </w:rPr>
        <w:t>уппы заболеваний или</w:t>
      </w:r>
      <w:r>
        <w:rPr>
          <w:color w:val="333333"/>
          <w:u w:val="none"/>
        </w:rPr>
        <w:t xml:space="preserve"> </w:t>
      </w:r>
      <w:r>
        <w:rPr>
          <w:color w:val="333333"/>
          <w:u w:color="333333"/>
        </w:rPr>
        <w:t>состояний)</w:t>
      </w:r>
      <w:r>
        <w:rPr>
          <w:u w:val="none"/>
        </w:rPr>
        <w:t xml:space="preserve"> </w:t>
      </w:r>
    </w:p>
    <w:p w:rsidR="004A6823" w:rsidRDefault="00F54A3E">
      <w:pPr>
        <w:spacing w:after="268" w:line="382" w:lineRule="auto"/>
        <w:ind w:left="-15" w:right="307" w:firstLine="708"/>
      </w:pPr>
      <w:r>
        <w:t>Самой распространенной классификацией дивертикулов мочевого пузыря является разделение на врожденный и приобретенный тип [1, 10]. В отечественной и зарубежной литературе также встречаются упоминания о ложных дивертикулах ил</w:t>
      </w:r>
      <w:r>
        <w:t>и псевдодивертикулах мочевого пузыря [5, 11, 17].  Это разделение основано на гистологических данных о строении стенки дивертикула, так, например, истинным дивертикулом раннее считали врожденный, который содержит все слои стенки мочевого пузыря, соответств</w:t>
      </w:r>
      <w:r>
        <w:t>енно ложным считался приобретенный дивертикул, исполненный лишь одной слизистой мочевого пузыря. Однако крупные патоморфологические исследования препаратов, полученных после цистэктомии, как у детей, так и у взрослых, демонстрирует противоречивые результат</w:t>
      </w:r>
      <w:r>
        <w:t xml:space="preserve">ы, так как у детей встречаются дивертикулы, вовсе не содержащие мышечного слоя в строении своей стенки, в то время как у взрослых обнаруживаются приобретенные дивертикулы, содержащие мышечный слой в составе своей стенки [5, 19]. Также в научной литературе </w:t>
      </w:r>
      <w:r>
        <w:t xml:space="preserve">встречается разделение дивертикулов по размеру: малые – до 4 см и крупные – более 4 см, которые чаще всего являются симптоматическими [17]. </w:t>
      </w:r>
    </w:p>
    <w:p w:rsidR="004A6823" w:rsidRDefault="00F54A3E">
      <w:pPr>
        <w:pStyle w:val="Heading2"/>
        <w:spacing w:after="8" w:line="391" w:lineRule="auto"/>
        <w:ind w:left="-15" w:right="304" w:firstLine="698"/>
        <w:jc w:val="both"/>
      </w:pPr>
      <w:r>
        <w:t xml:space="preserve">1.6 Клиническая картина </w:t>
      </w:r>
      <w:r>
        <w:rPr>
          <w:color w:val="333333"/>
          <w:u w:color="333333"/>
        </w:rPr>
        <w:t>заболевания или состояния (группы заболеваний</w:t>
      </w:r>
      <w:r>
        <w:rPr>
          <w:color w:val="333333"/>
          <w:u w:val="none"/>
        </w:rPr>
        <w:t xml:space="preserve"> </w:t>
      </w:r>
      <w:r>
        <w:rPr>
          <w:color w:val="333333"/>
          <w:u w:color="333333"/>
        </w:rPr>
        <w:t>или состояний)</w:t>
      </w:r>
      <w:r>
        <w:rPr>
          <w:u w:val="none"/>
        </w:rPr>
        <w:t xml:space="preserve"> </w:t>
      </w:r>
    </w:p>
    <w:p w:rsidR="004A6823" w:rsidRDefault="00F54A3E">
      <w:pPr>
        <w:spacing w:after="112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spacing w:line="381" w:lineRule="auto"/>
        <w:ind w:left="-15" w:right="307" w:firstLine="708"/>
      </w:pPr>
      <w:r>
        <w:t>Дивертикулы мочевого пузыря</w:t>
      </w:r>
      <w:r>
        <w:t xml:space="preserve"> редко вызывают выраженные симптомы и чаще всего обнаруживаются случайно при обследовании по поводу другого, не связанного с ним заболевания, включая инфекции мочевыводящих путей [10]. Поскольку крупные дивертикулы мочевого пузыря опорожняются медленно или</w:t>
      </w:r>
      <w:r>
        <w:t xml:space="preserve"> не полностью после мочеиспускания, возникающие симптомы часто связаны с застоем мочи в дивертикуле или компрессией увеличенным дивертикулом смежных органов малого таза [17]. </w:t>
      </w:r>
    </w:p>
    <w:p w:rsidR="004A6823" w:rsidRDefault="00F54A3E">
      <w:pPr>
        <w:spacing w:after="319" w:line="378" w:lineRule="auto"/>
        <w:ind w:left="-15" w:right="307" w:firstLine="708"/>
      </w:pPr>
      <w:r>
        <w:t xml:space="preserve">Частыми симптомами являются </w:t>
      </w:r>
      <w:r>
        <w:t>ощущение неполного опорожнения мочевого пузыря, чувство тяжести в нижней части живота и двухэтапное мочеиспускание при наличии крупных дивертикулов мочевого пузыря. Однако эти симптомы неспецифичны и могут быть обусловлены гиперплазией предстательной желез</w:t>
      </w:r>
      <w:r>
        <w:t>ы, стриктурой уретры или другими патологиями, вызывающими затрудненное мочеиспускание. Наиболее распространенным ранним проявлением врожденных дивертикулов мочевого пузыря является острая инфекция мочевыводящих путей, обусловленная застоем мочи. Реже встре</w:t>
      </w:r>
      <w:r>
        <w:t xml:space="preserve">чаются такие проявления, как гематурия, уретерогидронефроз, дискомфорт в животе или пальпируемое образование в брюшной полости [7, 8]. </w:t>
      </w:r>
    </w:p>
    <w:p w:rsidR="004A6823" w:rsidRDefault="00F54A3E">
      <w:pPr>
        <w:pStyle w:val="Heading1"/>
        <w:spacing w:line="399" w:lineRule="auto"/>
        <w:ind w:left="274" w:right="0"/>
        <w:jc w:val="left"/>
      </w:pPr>
      <w:r>
        <w:t xml:space="preserve">2. Диагностика заболевания или состояния (группы заболеваний или состояний), медицинские показания и противопоказания к </w:t>
      </w:r>
      <w:r>
        <w:t xml:space="preserve">применению методов диагностики </w:t>
      </w:r>
    </w:p>
    <w:p w:rsidR="004A6823" w:rsidRDefault="00F54A3E">
      <w:pPr>
        <w:spacing w:after="159" w:line="259" w:lineRule="auto"/>
        <w:ind w:left="708" w:firstLine="0"/>
        <w:jc w:val="left"/>
      </w:pPr>
      <w:r>
        <w:rPr>
          <w:b/>
          <w:i/>
        </w:rPr>
        <w:t xml:space="preserve">Критерии установления диагноза/состояния: </w:t>
      </w:r>
      <w:r>
        <w:rPr>
          <w:i/>
        </w:rPr>
        <w:t xml:space="preserve"> </w:t>
      </w:r>
    </w:p>
    <w:p w:rsidR="004A6823" w:rsidRDefault="00F54A3E">
      <w:pPr>
        <w:numPr>
          <w:ilvl w:val="0"/>
          <w:numId w:val="4"/>
        </w:numPr>
        <w:spacing w:line="396" w:lineRule="auto"/>
        <w:ind w:right="307" w:hanging="360"/>
      </w:pPr>
      <w:r>
        <w:t xml:space="preserve">Тяжесть в нижней части живота, периодические боли в животе или поясничной области перемежающегося характера, затрудненное мочеиспускание, двухэтапное мочеиспускание, </w:t>
      </w:r>
      <w:r>
        <w:t xml:space="preserve">гематурия признаки хронической или рецидиврующей инфекции мочевыводящих путей [5]. </w:t>
      </w:r>
    </w:p>
    <w:p w:rsidR="004A6823" w:rsidRDefault="00F54A3E">
      <w:pPr>
        <w:numPr>
          <w:ilvl w:val="0"/>
          <w:numId w:val="4"/>
        </w:numPr>
        <w:spacing w:line="378" w:lineRule="auto"/>
        <w:ind w:right="307" w:hanging="360"/>
      </w:pPr>
      <w:r>
        <w:t>Патологическая полость, сообщающаяся с мочевым пузырем через перешеек, часто характеризующаяся неполным опорожнением или наличием конкрементов и/или новообразований по данн</w:t>
      </w:r>
      <w:r>
        <w:t xml:space="preserve">ым визуализирующих методов диагностики [10, 12]. </w:t>
      </w:r>
    </w:p>
    <w:p w:rsidR="004A6823" w:rsidRDefault="00F54A3E">
      <w:pPr>
        <w:spacing w:line="370" w:lineRule="auto"/>
        <w:ind w:left="708" w:right="307" w:firstLine="710"/>
      </w:pPr>
      <w:r>
        <w:t>При подозрении на дивертикул мочевого пузыря обязательна дифференциальная диагностика с различными заболеваниями мочевого пузыря, почек и органов брюшной полости. При наличии боли в поясничной области прово</w:t>
      </w:r>
      <w:r>
        <w:t xml:space="preserve">дят дифференциальную диагностику с нефролитиазом, нефроптозом, стриктурой мочеточника, опухолями мочевого пузыря и верхних мочевыводящих путей [10]. </w:t>
      </w:r>
    </w:p>
    <w:p w:rsidR="004A6823" w:rsidRDefault="00F54A3E">
      <w:pPr>
        <w:spacing w:line="384" w:lineRule="auto"/>
        <w:ind w:left="708" w:right="307" w:firstLine="710"/>
      </w:pPr>
      <w:r>
        <w:t>Дивертикулы мочевого пузыря часто обнаруживаются случайно во время рентгенологического или ультразвукового</w:t>
      </w:r>
      <w:r>
        <w:t xml:space="preserve"> исследования и выглядят как заполненное жидкостью образование около мочевого пузыря. Ниже приведены примеры дифференциальной диагностики таких структур [9]: </w:t>
      </w:r>
    </w:p>
    <w:p w:rsidR="004A6823" w:rsidRDefault="00F54A3E">
      <w:pPr>
        <w:numPr>
          <w:ilvl w:val="1"/>
          <w:numId w:val="4"/>
        </w:numPr>
        <w:spacing w:after="167"/>
        <w:ind w:left="1557" w:right="307" w:hanging="139"/>
      </w:pPr>
      <w:r>
        <w:t xml:space="preserve">Аномалии матки, яичников и маточных труб; </w:t>
      </w:r>
    </w:p>
    <w:p w:rsidR="004A6823" w:rsidRDefault="00F54A3E">
      <w:pPr>
        <w:numPr>
          <w:ilvl w:val="1"/>
          <w:numId w:val="4"/>
        </w:numPr>
        <w:spacing w:after="166"/>
        <w:ind w:left="1557" w:right="307" w:hanging="139"/>
      </w:pPr>
      <w:r>
        <w:t xml:space="preserve">Кисты урахуса; </w:t>
      </w:r>
    </w:p>
    <w:p w:rsidR="004A6823" w:rsidRDefault="00F54A3E">
      <w:pPr>
        <w:numPr>
          <w:ilvl w:val="1"/>
          <w:numId w:val="4"/>
        </w:numPr>
        <w:spacing w:after="167"/>
        <w:ind w:left="1557" w:right="307" w:hanging="139"/>
      </w:pPr>
      <w:r>
        <w:t xml:space="preserve">Эктопия мочеточник; </w:t>
      </w:r>
    </w:p>
    <w:p w:rsidR="004A6823" w:rsidRDefault="00F54A3E">
      <w:pPr>
        <w:numPr>
          <w:ilvl w:val="1"/>
          <w:numId w:val="4"/>
        </w:numPr>
        <w:spacing w:after="166"/>
        <w:ind w:left="1557" w:right="307" w:hanging="139"/>
      </w:pPr>
      <w:r>
        <w:t xml:space="preserve">Уретероцеле; </w:t>
      </w:r>
    </w:p>
    <w:p w:rsidR="004A6823" w:rsidRDefault="00F54A3E">
      <w:pPr>
        <w:numPr>
          <w:ilvl w:val="1"/>
          <w:numId w:val="4"/>
        </w:numPr>
        <w:ind w:left="1557" w:right="307" w:hanging="139"/>
      </w:pPr>
      <w:r>
        <w:t xml:space="preserve">Мюллеровы кисты; </w:t>
      </w:r>
    </w:p>
    <w:p w:rsidR="004A6823" w:rsidRDefault="00F54A3E">
      <w:pPr>
        <w:numPr>
          <w:ilvl w:val="1"/>
          <w:numId w:val="4"/>
        </w:numPr>
        <w:spacing w:after="421"/>
        <w:ind w:left="1557" w:right="307" w:hanging="139"/>
      </w:pPr>
      <w:r>
        <w:t xml:space="preserve">Послеоперационные осложнения, к примеру, лимфоцеле. </w:t>
      </w:r>
    </w:p>
    <w:p w:rsidR="004A6823" w:rsidRDefault="00F54A3E">
      <w:pPr>
        <w:pStyle w:val="Heading2"/>
        <w:spacing w:after="47"/>
        <w:ind w:left="703"/>
      </w:pPr>
      <w:r>
        <w:t>2.1 Жалобы и анамнез</w:t>
      </w:r>
      <w:r>
        <w:rPr>
          <w:u w:val="none"/>
        </w:rPr>
        <w:t xml:space="preserve"> </w:t>
      </w:r>
    </w:p>
    <w:p w:rsidR="004A6823" w:rsidRDefault="00F54A3E">
      <w:pPr>
        <w:spacing w:after="142" w:line="259" w:lineRule="auto"/>
        <w:ind w:left="22" w:firstLine="0"/>
        <w:jc w:val="left"/>
      </w:pPr>
      <w:r>
        <w:rPr>
          <w:i/>
          <w:sz w:val="18"/>
        </w:rPr>
        <w:t xml:space="preserve"> </w:t>
      </w:r>
    </w:p>
    <w:p w:rsidR="004A6823" w:rsidRDefault="00F54A3E">
      <w:pPr>
        <w:spacing w:after="253" w:line="395" w:lineRule="auto"/>
        <w:ind w:left="-15" w:right="307" w:firstLine="708"/>
      </w:pPr>
      <w:r>
        <w:t>Соответствующие жалобы и анамнез перечислены в разделе «1.6. Клиническая картина».</w:t>
      </w:r>
      <w:r>
        <w:rPr>
          <w:b/>
        </w:rPr>
        <w:t xml:space="preserve"> </w:t>
      </w:r>
    </w:p>
    <w:p w:rsidR="004A6823" w:rsidRDefault="00F54A3E">
      <w:pPr>
        <w:pStyle w:val="Heading2"/>
        <w:ind w:left="703"/>
      </w:pPr>
      <w:r>
        <w:t>2.2 Физикальное обследование</w:t>
      </w:r>
      <w:r>
        <w:rPr>
          <w:u w:val="none"/>
        </w:rPr>
        <w:t xml:space="preserve"> </w:t>
      </w:r>
    </w:p>
    <w:p w:rsidR="004A6823" w:rsidRDefault="00F54A3E">
      <w:pPr>
        <w:spacing w:after="172"/>
        <w:ind w:left="718" w:right="307"/>
      </w:pPr>
      <w:r>
        <w:t>Соответствующие данные физикального обследовани</w:t>
      </w:r>
      <w:r>
        <w:t xml:space="preserve">я перечислены в разделе «1.6. </w:t>
      </w:r>
    </w:p>
    <w:p w:rsidR="004A6823" w:rsidRDefault="00F54A3E">
      <w:pPr>
        <w:spacing w:after="419"/>
        <w:ind w:left="-5" w:right="307"/>
      </w:pPr>
      <w:r>
        <w:t>Клиническая картина».</w:t>
      </w:r>
      <w:r>
        <w:rPr>
          <w:b/>
        </w:rPr>
        <w:t xml:space="preserve"> </w:t>
      </w:r>
    </w:p>
    <w:p w:rsidR="004A6823" w:rsidRDefault="00F54A3E">
      <w:pPr>
        <w:pStyle w:val="Heading2"/>
        <w:spacing w:after="55"/>
        <w:ind w:left="703"/>
      </w:pPr>
      <w:r>
        <w:t>2.3 Лабораторные диагностические исследования</w:t>
      </w:r>
      <w:r>
        <w:rPr>
          <w:u w:val="none"/>
        </w:rPr>
        <w:t xml:space="preserve"> </w:t>
      </w:r>
    </w:p>
    <w:p w:rsidR="004A6823" w:rsidRDefault="00F54A3E">
      <w:pPr>
        <w:spacing w:after="423" w:line="259" w:lineRule="auto"/>
        <w:ind w:left="708" w:firstLine="0"/>
        <w:jc w:val="left"/>
      </w:pPr>
      <w:r>
        <w:rPr>
          <w:b/>
          <w:i/>
          <w:color w:val="FF0000"/>
          <w:sz w:val="18"/>
        </w:rPr>
        <w:t xml:space="preserve"> </w:t>
      </w:r>
    </w:p>
    <w:p w:rsidR="004A6823" w:rsidRDefault="00F54A3E">
      <w:pPr>
        <w:numPr>
          <w:ilvl w:val="0"/>
          <w:numId w:val="5"/>
        </w:numPr>
        <w:spacing w:line="395" w:lineRule="auto"/>
        <w:ind w:right="307" w:hanging="425"/>
      </w:pPr>
      <w:r>
        <w:rPr>
          <w:b/>
        </w:rPr>
        <w:t xml:space="preserve">Рекомендуется </w:t>
      </w:r>
      <w:r>
        <w:t>всем пациентам с подозрением на наличие дивертикула мочевого пузыря выполнение общего (клинического) анализа мочи и микроскопическое исслед</w:t>
      </w:r>
      <w:r>
        <w:t>ование осадка мочи с целью дифференциальной диагностики и исключения сопутствующих новообразований [5, 18-23].</w:t>
      </w:r>
      <w:r>
        <w:rPr>
          <w:b/>
        </w:rPr>
        <w:t xml:space="preserve">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 xml:space="preserve">Уровень убедительности рекомендаций C (уровень достоверности доказательств – 3) </w:t>
      </w:r>
    </w:p>
    <w:p w:rsidR="004A6823" w:rsidRDefault="00F54A3E">
      <w:pPr>
        <w:spacing w:after="257" w:line="386" w:lineRule="auto"/>
        <w:ind w:left="0" w:right="300" w:firstLine="708"/>
      </w:pPr>
      <w:r>
        <w:rPr>
          <w:b/>
        </w:rPr>
        <w:t>Комментарии:</w:t>
      </w:r>
      <w:r>
        <w:t xml:space="preserve"> </w:t>
      </w:r>
      <w:r>
        <w:rPr>
          <w:i/>
        </w:rPr>
        <w:t>Для дивертикула мочевого пузыря в литературе не описано специфических изменений в лабораторных данных, при общем анализе мочи могут быть выявлены макро- и микрогематурия, позволяющие заподозрить наличие опухоли мочевого пузыря или камней мочевого пузыря. [</w:t>
      </w:r>
      <w:r>
        <w:t>5, 18-23</w:t>
      </w:r>
      <w:r>
        <w:rPr>
          <w:i/>
        </w:rPr>
        <w:t xml:space="preserve">]. Большинство авторов согласны с необходимостью проведения цитологического исследования мочи, однако в настоящее время не сформировано баз данных для определение референсных значений [28]. </w:t>
      </w:r>
    </w:p>
    <w:p w:rsidR="004A6823" w:rsidRDefault="00F54A3E">
      <w:pPr>
        <w:numPr>
          <w:ilvl w:val="0"/>
          <w:numId w:val="5"/>
        </w:numPr>
        <w:spacing w:line="395" w:lineRule="auto"/>
        <w:ind w:right="307" w:hanging="425"/>
      </w:pPr>
      <w:r>
        <w:t>Всем</w:t>
      </w:r>
      <w:r>
        <w:rPr>
          <w:b/>
        </w:rPr>
        <w:t xml:space="preserve"> </w:t>
      </w:r>
      <w:r>
        <w:t>пациентам с подозрением на наличие дивертикула мочев</w:t>
      </w:r>
      <w:r>
        <w:t>ого пузыря</w:t>
      </w:r>
      <w:r>
        <w:rPr>
          <w:b/>
        </w:rPr>
        <w:t xml:space="preserve"> рекомендуется </w:t>
      </w:r>
      <w:r>
        <w:t>выполнение общего (клинического) анализа крови для исключения острого воспалительного процесса [10].</w:t>
      </w:r>
      <w:r>
        <w:rPr>
          <w:b/>
        </w:rPr>
        <w:t xml:space="preserve"> </w:t>
      </w:r>
    </w:p>
    <w:p w:rsidR="004A6823" w:rsidRDefault="00F54A3E">
      <w:pPr>
        <w:spacing w:after="237" w:line="395" w:lineRule="auto"/>
        <w:ind w:left="703"/>
        <w:jc w:val="left"/>
      </w:pPr>
      <w:r>
        <w:rPr>
          <w:b/>
        </w:rPr>
        <w:t xml:space="preserve">Уровень убедительности рекомендаций C (уровень достоверности доказательств – 5) </w:t>
      </w:r>
    </w:p>
    <w:p w:rsidR="004A6823" w:rsidRDefault="00F54A3E">
      <w:pPr>
        <w:spacing w:line="385" w:lineRule="auto"/>
        <w:ind w:left="718" w:right="307"/>
      </w:pPr>
      <w:r>
        <w:t>Всем</w:t>
      </w:r>
      <w:r>
        <w:rPr>
          <w:b/>
        </w:rPr>
        <w:t xml:space="preserve"> </w:t>
      </w:r>
      <w:r>
        <w:t>пациентам с подозрением на наличие дивертик</w:t>
      </w:r>
      <w:r>
        <w:t>ула мочевого пузыря</w:t>
      </w:r>
      <w:r>
        <w:rPr>
          <w:b/>
        </w:rPr>
        <w:t xml:space="preserve"> рекомендуется </w:t>
      </w:r>
      <w:r>
        <w:t>выполнение анализа крови биохимического общетерапевтического(исследование уровня креатинина в крови, исследование уровня мочевины в крови, исследование уровня альбумина в крови, исследование уровня калия в крови, исследова</w:t>
      </w:r>
      <w:r>
        <w:t xml:space="preserve">ние уровня натрия в крови, исследование уровня хлоридов в крови) для оценки функции почек [11].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 xml:space="preserve">Уровень убедительности рекомендаций C (уровень достоверности доказательств – 5) </w:t>
      </w:r>
    </w:p>
    <w:p w:rsidR="004A6823" w:rsidRDefault="00F54A3E">
      <w:pPr>
        <w:spacing w:after="403" w:line="259" w:lineRule="auto"/>
        <w:ind w:left="708" w:firstLine="0"/>
        <w:jc w:val="left"/>
      </w:pPr>
      <w:r>
        <w:rPr>
          <w:b/>
        </w:rPr>
        <w:t xml:space="preserve"> </w:t>
      </w:r>
    </w:p>
    <w:p w:rsidR="004A6823" w:rsidRDefault="00F54A3E">
      <w:pPr>
        <w:pStyle w:val="Heading2"/>
        <w:spacing w:after="103"/>
        <w:ind w:left="703"/>
      </w:pPr>
      <w:r>
        <w:t>2.4 Инструментальные диагностические исследования</w:t>
      </w:r>
      <w:r>
        <w:rPr>
          <w:u w:val="none"/>
        </w:rPr>
        <w:t xml:space="preserve"> </w:t>
      </w:r>
    </w:p>
    <w:p w:rsidR="004A6823" w:rsidRDefault="00F54A3E">
      <w:pPr>
        <w:spacing w:line="391" w:lineRule="auto"/>
        <w:ind w:left="-15" w:right="307" w:firstLine="708"/>
      </w:pPr>
      <w:r>
        <w:t>Чаще всего для диагностики дивертикула мочевого пузыря достаточно одного из методов визуализации: ультразвуковое исследование мочевого пузыря (код A04.28.002.003), цистография (код A06.28.007), внутривенная урография (код A06.28.002), компьютерная томограф</w:t>
      </w:r>
      <w:r>
        <w:t xml:space="preserve">ия органов таза у мужчин с контрастированием (код A06.21.003.003), компьютерная томография органов малого таза у женщин с контрастированием (код A06.20.002.003) и магнитно-резонансная томография урография с контрастированием (код A05.28.003.001). Однако в </w:t>
      </w:r>
      <w:r>
        <w:t xml:space="preserve">рамках предоперационной подготовки </w:t>
      </w:r>
    </w:p>
    <w:p w:rsidR="004A6823" w:rsidRDefault="00F54A3E">
      <w:pPr>
        <w:spacing w:after="241" w:line="368" w:lineRule="auto"/>
        <w:ind w:left="-5" w:right="307"/>
      </w:pPr>
      <w:r>
        <w:t xml:space="preserve">к плановому оперативному вмешательству может потребоваться проведения дополнительных инструментальных методов диагностики, таких как уретроскопия и КУДИ [11]. </w:t>
      </w:r>
    </w:p>
    <w:p w:rsidR="004A6823" w:rsidRDefault="00F54A3E">
      <w:pPr>
        <w:numPr>
          <w:ilvl w:val="0"/>
          <w:numId w:val="6"/>
        </w:numPr>
        <w:spacing w:line="393" w:lineRule="auto"/>
        <w:ind w:right="307" w:hanging="425"/>
      </w:pPr>
      <w:r>
        <w:rPr>
          <w:b/>
        </w:rPr>
        <w:t xml:space="preserve">Рекомендуется </w:t>
      </w:r>
      <w:r>
        <w:t>всем пациентам с подозрением на дивертикул моч</w:t>
      </w:r>
      <w:r>
        <w:t>евого пузыря проведение ультразвукового исследования мочевого пузыря с определением остаточной мочи (код A04.28.002.005) и ультразвукового исследования почек (код A04.28.002.001) для установления диагноза, дифференциальной диагностики с другими патологичес</w:t>
      </w:r>
      <w:r>
        <w:t>кими состояниями и оценки состояния паренхимы и чашечнолоханочной системы почек [10, 11].</w:t>
      </w:r>
      <w:r>
        <w:rPr>
          <w:b/>
        </w:rPr>
        <w:t xml:space="preserve">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 xml:space="preserve">Уровень убедительности рекомендаций С (уровень достоверности доказательств – 5) </w:t>
      </w:r>
    </w:p>
    <w:p w:rsidR="004A6823" w:rsidRDefault="00F54A3E">
      <w:pPr>
        <w:spacing w:after="221" w:line="386" w:lineRule="auto"/>
        <w:ind w:left="703" w:right="300"/>
      </w:pPr>
      <w:r>
        <w:rPr>
          <w:b/>
        </w:rPr>
        <w:t>Комментарии:</w:t>
      </w:r>
      <w:r>
        <w:t xml:space="preserve"> </w:t>
      </w:r>
      <w:r>
        <w:rPr>
          <w:i/>
        </w:rPr>
        <w:t>УЗИ позволяет получить информацию о наличии дивертикула мочевого пузыря, его локализации, изолированной ёмкости дивертикула, объёме остаточной мочи после микции, а также по данным УЗИ возможно диагностировать сопутствующую патологию, такую как опухоль моче</w:t>
      </w:r>
      <w:r>
        <w:rPr>
          <w:i/>
        </w:rPr>
        <w:t xml:space="preserve">вого пузыря, камни мочевого пузыря, а также оценить состояние чашечно-лоханочной системы. </w:t>
      </w:r>
    </w:p>
    <w:p w:rsidR="004A6823" w:rsidRDefault="00F54A3E">
      <w:pPr>
        <w:numPr>
          <w:ilvl w:val="0"/>
          <w:numId w:val="6"/>
        </w:numPr>
        <w:spacing w:after="28" w:line="395" w:lineRule="auto"/>
        <w:ind w:right="307" w:hanging="425"/>
      </w:pPr>
      <w:r>
        <w:t>Всем пациентам с подозрением на дивертикул мочевого пузыря, у которых проведение ультразвукового исследования не позволило подтвердить или исключить наличие дивертик</w:t>
      </w:r>
      <w:r>
        <w:t xml:space="preserve">ула, </w:t>
      </w:r>
      <w:r>
        <w:rPr>
          <w:b/>
        </w:rPr>
        <w:t>рекомендуется</w:t>
      </w:r>
      <w:r>
        <w:t xml:space="preserve"> цистография (код A06.28.007), внутривенная урография (код A06.28.002), компьютерная томография органов таза у мужчин с контрастированием (код A06.21.003.003) и компьютерная томография органов малого таза у женщин с контрастированием (код</w:t>
      </w:r>
      <w:r>
        <w:t xml:space="preserve"> A06.20.002.003) для установления диагноза, а также дифференциальной диагностики с другими патологическими состояния [10, 24]. </w:t>
      </w:r>
    </w:p>
    <w:p w:rsidR="004A6823" w:rsidRDefault="00F54A3E">
      <w:pPr>
        <w:spacing w:after="240" w:line="395" w:lineRule="auto"/>
        <w:ind w:left="703"/>
        <w:jc w:val="left"/>
      </w:pPr>
      <w:r>
        <w:rPr>
          <w:b/>
        </w:rPr>
        <w:t xml:space="preserve">Уровень убедительности рекомендаций С (уровень достоверности доказательств – 4) </w:t>
      </w:r>
    </w:p>
    <w:p w:rsidR="004A6823" w:rsidRDefault="00F54A3E">
      <w:pPr>
        <w:spacing w:after="257" w:line="386" w:lineRule="auto"/>
        <w:ind w:left="703" w:right="300"/>
      </w:pPr>
      <w:r>
        <w:rPr>
          <w:b/>
        </w:rPr>
        <w:t>Комментарии:</w:t>
      </w:r>
      <w:r>
        <w:t xml:space="preserve"> </w:t>
      </w:r>
      <w:r>
        <w:rPr>
          <w:i/>
        </w:rPr>
        <w:t>При помощи УЗИ не всегда удаётся о</w:t>
      </w:r>
      <w:r>
        <w:rPr>
          <w:i/>
        </w:rPr>
        <w:t>днозначно определить, что анэхогенное образование в полости малого таза как дивертикул мочевого пузыря, в таких случаях считается целесообразным применение дополнительных лучевых методов визуализации. По данным опыта радиологов чувствительность компьютерно</w:t>
      </w:r>
      <w:r>
        <w:rPr>
          <w:i/>
        </w:rPr>
        <w:t>й томографии в выявлении интрадивертикулярных опухолей достигает 82-94 %, а чувствительность в определении экстравезикального распространения 71-86 % [24]. Чувствительность экскреторной урографии в диагностике дивертикула мочевого пузыря и интрадивертикуля</w:t>
      </w:r>
      <w:r>
        <w:rPr>
          <w:i/>
        </w:rPr>
        <w:t xml:space="preserve">рных опухолей не превышает 50 % [18, 21]. </w:t>
      </w:r>
    </w:p>
    <w:p w:rsidR="004A6823" w:rsidRDefault="00F54A3E">
      <w:pPr>
        <w:numPr>
          <w:ilvl w:val="0"/>
          <w:numId w:val="6"/>
        </w:numPr>
        <w:spacing w:line="393" w:lineRule="auto"/>
        <w:ind w:right="307" w:hanging="425"/>
      </w:pPr>
      <w:r>
        <w:rPr>
          <w:b/>
        </w:rPr>
        <w:t>Рекомендуется</w:t>
      </w:r>
      <w:r>
        <w:t xml:space="preserve"> всем пациентам с подозрением на дивертикул мочевого пузыря, проведение цистоскопии для подтверждения диагноза и исключения опухоли дивертикула [23].  </w:t>
      </w:r>
    </w:p>
    <w:p w:rsidR="004A6823" w:rsidRDefault="00F54A3E">
      <w:pPr>
        <w:spacing w:after="241" w:line="395" w:lineRule="auto"/>
        <w:ind w:left="703"/>
        <w:jc w:val="left"/>
      </w:pPr>
      <w:r>
        <w:rPr>
          <w:b/>
        </w:rPr>
        <w:t>Уровень убедительности рекомендаций C (уровень д</w:t>
      </w:r>
      <w:r>
        <w:rPr>
          <w:b/>
        </w:rPr>
        <w:t xml:space="preserve">остоверности доказательств – 5) </w:t>
      </w:r>
    </w:p>
    <w:p w:rsidR="004A6823" w:rsidRDefault="00F54A3E">
      <w:pPr>
        <w:numPr>
          <w:ilvl w:val="0"/>
          <w:numId w:val="6"/>
        </w:numPr>
        <w:spacing w:line="398" w:lineRule="auto"/>
        <w:ind w:right="307" w:hanging="425"/>
      </w:pPr>
      <w:r>
        <w:rPr>
          <w:b/>
        </w:rPr>
        <w:t>Рекомендуется</w:t>
      </w:r>
      <w:r>
        <w:t xml:space="preserve"> всем пациентам с подозрением на дивертикул мочевого пузыря, которым запланировано оперативное лечение, проведение КУДИ с целью получения данных о функциональном состоянии МП [11]. 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>Уровень убедительности реко</w:t>
      </w:r>
      <w:r>
        <w:rPr>
          <w:b/>
        </w:rPr>
        <w:t xml:space="preserve">мендаций C (уровень достоверности доказательств – 5) </w:t>
      </w:r>
    </w:p>
    <w:p w:rsidR="004A6823" w:rsidRDefault="00F54A3E">
      <w:pPr>
        <w:spacing w:after="257" w:line="386" w:lineRule="auto"/>
        <w:ind w:left="703" w:right="300"/>
      </w:pPr>
      <w:r>
        <w:rPr>
          <w:b/>
        </w:rPr>
        <w:t xml:space="preserve">Комментарии: </w:t>
      </w:r>
      <w:r>
        <w:t>КУДИ</w:t>
      </w:r>
      <w:r>
        <w:rPr>
          <w:i/>
        </w:rPr>
        <w:t xml:space="preserve"> необходимо для определения сократительной способности мочевого пузыря и цистометрической емкости. Урофлоуметрия позволяет судить о степени инфравезикальной обструкции, что способствует</w:t>
      </w:r>
      <w:r>
        <w:rPr>
          <w:i/>
        </w:rPr>
        <w:t xml:space="preserve"> дифференциальной диагностике.</w:t>
      </w:r>
      <w:r>
        <w:rPr>
          <w:b/>
          <w:i/>
        </w:rPr>
        <w:t xml:space="preserve"> </w:t>
      </w:r>
    </w:p>
    <w:p w:rsidR="004A6823" w:rsidRDefault="00F54A3E">
      <w:pPr>
        <w:pStyle w:val="Heading2"/>
        <w:ind w:left="703"/>
      </w:pPr>
      <w:r>
        <w:rPr>
          <w:u w:val="none"/>
        </w:rPr>
        <w:t>2.5</w:t>
      </w:r>
      <w:r>
        <w:rPr>
          <w:rFonts w:ascii="Arial" w:eastAsia="Arial" w:hAnsi="Arial" w:cs="Arial"/>
          <w:u w:val="none"/>
        </w:rPr>
        <w:t xml:space="preserve"> </w:t>
      </w:r>
      <w:r>
        <w:t>Иные диагностические исследования</w:t>
      </w:r>
      <w:r>
        <w:rPr>
          <w:u w:val="none"/>
        </w:rPr>
        <w:t xml:space="preserve"> </w:t>
      </w:r>
    </w:p>
    <w:p w:rsidR="004A6823" w:rsidRDefault="00F54A3E">
      <w:pPr>
        <w:spacing w:after="232" w:line="399" w:lineRule="auto"/>
        <w:ind w:left="-15" w:right="307" w:firstLine="708"/>
      </w:pPr>
      <w:r>
        <w:t xml:space="preserve">Отсутствуют сведения об иных диагностических методах исследования при подозрении на дивертикул мочевого пузыря. </w:t>
      </w:r>
    </w:p>
    <w:p w:rsidR="004A6823" w:rsidRDefault="00F54A3E">
      <w:pPr>
        <w:pStyle w:val="Heading1"/>
        <w:spacing w:line="379" w:lineRule="auto"/>
        <w:ind w:left="71" w:right="117" w:hanging="71"/>
      </w:pPr>
      <w:r>
        <w:t xml:space="preserve">3. Лечение, включая медикаментозную и немедикаментозную терапии, диетотерапию, обезболивание, медицинские показания и противопоказания к применению методов лечения </w:t>
      </w:r>
    </w:p>
    <w:p w:rsidR="004A6823" w:rsidRDefault="00F54A3E">
      <w:pPr>
        <w:spacing w:after="115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spacing w:after="11" w:line="386" w:lineRule="auto"/>
        <w:ind w:left="0" w:right="300" w:firstLine="708"/>
      </w:pPr>
      <w:r>
        <w:rPr>
          <w:i/>
        </w:rPr>
        <w:t>При дивертикуле мочевого пузыря возможно применение консервативного и хирургического (лап</w:t>
      </w:r>
      <w:r>
        <w:rPr>
          <w:i/>
        </w:rPr>
        <w:t xml:space="preserve">ароскопического, эндоскопического) лечения. Показания к лечению дивертикулов мочевого пузыря включают: </w:t>
      </w:r>
    </w:p>
    <w:p w:rsidR="004A6823" w:rsidRDefault="00F54A3E">
      <w:pPr>
        <w:numPr>
          <w:ilvl w:val="0"/>
          <w:numId w:val="7"/>
        </w:numPr>
        <w:spacing w:after="160" w:line="259" w:lineRule="auto"/>
        <w:ind w:right="2195" w:hanging="139"/>
      </w:pPr>
      <w:r>
        <w:rPr>
          <w:i/>
        </w:rPr>
        <w:t xml:space="preserve">хроническую/рецидиврующую инфекцию мочевыводящих путей; </w:t>
      </w:r>
    </w:p>
    <w:p w:rsidR="004A6823" w:rsidRDefault="00F54A3E">
      <w:pPr>
        <w:numPr>
          <w:ilvl w:val="0"/>
          <w:numId w:val="7"/>
        </w:numPr>
        <w:spacing w:after="13" w:line="386" w:lineRule="auto"/>
        <w:ind w:right="2195" w:hanging="139"/>
      </w:pPr>
      <w:r>
        <w:rPr>
          <w:i/>
        </w:rPr>
        <w:t xml:space="preserve">камни мочевого пузыря/камни дивертикула;  - опухоль мочевого пузыря/дивертикула. </w:t>
      </w:r>
    </w:p>
    <w:p w:rsidR="004A6823" w:rsidRDefault="00F54A3E">
      <w:pPr>
        <w:spacing w:after="15" w:line="386" w:lineRule="auto"/>
        <w:ind w:left="0" w:right="300" w:firstLine="708"/>
      </w:pPr>
      <w:r>
        <w:rPr>
          <w:i/>
        </w:rPr>
        <w:t>Злокачественн</w:t>
      </w:r>
      <w:r>
        <w:rPr>
          <w:i/>
        </w:rPr>
        <w:t xml:space="preserve">ые новообразования дивертикула мочевого пузыря представляют особую опасность в связи с отсутствием в строении дивертикула развитой мышечной стенки, что приводит к более высокому риску распространения опухолевого роста за пределы мочевого пузыря [12]. </w:t>
      </w:r>
    </w:p>
    <w:p w:rsidR="004A6823" w:rsidRDefault="00F54A3E">
      <w:pPr>
        <w:pStyle w:val="Heading2"/>
        <w:ind w:left="703"/>
      </w:pPr>
      <w:r>
        <w:t xml:space="preserve">3.1 </w:t>
      </w:r>
      <w:r>
        <w:t>Консервативное лечение</w:t>
      </w:r>
      <w:r>
        <w:rPr>
          <w:u w:val="none"/>
        </w:rPr>
        <w:t xml:space="preserve"> </w:t>
      </w:r>
    </w:p>
    <w:p w:rsidR="004A6823" w:rsidRDefault="00F54A3E">
      <w:pPr>
        <w:spacing w:after="257" w:line="386" w:lineRule="auto"/>
        <w:ind w:left="0" w:right="300" w:firstLine="708"/>
      </w:pPr>
      <w:r>
        <w:rPr>
          <w:i/>
        </w:rPr>
        <w:t>Пациентам с незначительными или отсутствующими симптомами и без сопутствующих отягчающих обстоятельств (камней, опухоли мочевого пузыря) возможно предложить мониторинг и наблюдение. Однако такие пациенты должны быть проинформированы</w:t>
      </w:r>
      <w:r>
        <w:rPr>
          <w:i/>
        </w:rPr>
        <w:t xml:space="preserve"> о возможности повышенного риска развития опухоли и камней мочевого пузыря. Продолжительность наблюдения и график посещений подбирается индивидуально, осмотр состоит из сбора жалоб и анамнеза, физикального обследования, общего анализа и цитологического исс</w:t>
      </w:r>
      <w:r>
        <w:rPr>
          <w:i/>
        </w:rPr>
        <w:t xml:space="preserve">ледования мочи, а также цистоскопии. Для пациентов с наличием противопоказаний к хирургическому лечению или при неэффективности хирургического лечения может быть предложена чистая периодическая самокатетеризация. </w:t>
      </w:r>
    </w:p>
    <w:p w:rsidR="004A6823" w:rsidRDefault="00F54A3E">
      <w:pPr>
        <w:spacing w:after="27" w:line="383" w:lineRule="auto"/>
        <w:ind w:left="708" w:right="307" w:hanging="425"/>
      </w:pPr>
      <w:r>
        <w:rPr>
          <w:rFonts w:ascii="Segoe UI Symbol" w:eastAsia="Segoe UI Symbol" w:hAnsi="Segoe UI Symbol" w:cs="Segoe UI Symbol"/>
          <w:sz w:val="20"/>
        </w:rPr>
        <w:t></w:t>
      </w:r>
      <w:r>
        <w:rPr>
          <w:rFonts w:ascii="Arial" w:eastAsia="Arial" w:hAnsi="Arial" w:cs="Arial"/>
          <w:sz w:val="20"/>
        </w:rPr>
        <w:t xml:space="preserve"> </w:t>
      </w:r>
      <w:r>
        <w:rPr>
          <w:b/>
        </w:rPr>
        <w:t>Рекомендуется</w:t>
      </w:r>
      <w:r>
        <w:t xml:space="preserve"> предложить наблюдение </w:t>
      </w:r>
      <w:r>
        <w:t>врачом-урологом (прием (осмотр, консультация) врача-уролога) пациентам с отсутствием симптомов, связанных с дивертикулом мочевого пузыря, и/или которым противопоказано оперативное лечение с целью контроля над течением заболевания [13].</w:t>
      </w:r>
      <w:r>
        <w:rPr>
          <w:b/>
        </w:rPr>
        <w:t xml:space="preserve">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>Уровень убедительно</w:t>
      </w:r>
      <w:r>
        <w:rPr>
          <w:b/>
        </w:rPr>
        <w:t xml:space="preserve">сти рекомендаций С (уровень достоверности доказательств – 5) </w:t>
      </w:r>
    </w:p>
    <w:p w:rsidR="004A6823" w:rsidRDefault="00F54A3E">
      <w:pPr>
        <w:pStyle w:val="Heading2"/>
        <w:spacing w:after="392"/>
        <w:ind w:left="703"/>
      </w:pPr>
      <w:r>
        <w:t>3.2 Хирургическое лечение</w:t>
      </w:r>
      <w:r>
        <w:rPr>
          <w:u w:val="none"/>
        </w:rPr>
        <w:t xml:space="preserve"> </w:t>
      </w:r>
    </w:p>
    <w:p w:rsidR="004A6823" w:rsidRDefault="00F54A3E">
      <w:pPr>
        <w:spacing w:after="257" w:line="386" w:lineRule="auto"/>
        <w:ind w:left="693" w:right="300" w:firstLine="710"/>
      </w:pPr>
      <w:r>
        <w:rPr>
          <w:i/>
        </w:rPr>
        <w:t xml:space="preserve">Оперативное лечение дивертикула мочевого пузыря – дивертикулэктомия мочевого пузыря – практически всегда проводится в плановом порядке. </w:t>
      </w:r>
      <w:r>
        <w:rPr>
          <w:i/>
        </w:rPr>
        <w:t xml:space="preserve">Доступные в настоящее время методы включают открытые и эндовидеохирургические (эндоскопические, лапароскопические, экстраперитонеоскпоические) вмешательства [10, 12-16].  </w:t>
      </w:r>
    </w:p>
    <w:p w:rsidR="004A6823" w:rsidRDefault="00F54A3E">
      <w:pPr>
        <w:spacing w:after="392" w:line="264" w:lineRule="auto"/>
        <w:ind w:left="703"/>
        <w:jc w:val="left"/>
      </w:pPr>
      <w:r>
        <w:rPr>
          <w:b/>
          <w:u w:val="single" w:color="000000"/>
        </w:rPr>
        <w:t>3.2.1. Дивертикулэктомия.</w:t>
      </w:r>
      <w:r>
        <w:rPr>
          <w:b/>
        </w:rPr>
        <w:t xml:space="preserve"> </w:t>
      </w:r>
    </w:p>
    <w:p w:rsidR="004A6823" w:rsidRDefault="00F54A3E">
      <w:pPr>
        <w:spacing w:after="257" w:line="386" w:lineRule="auto"/>
        <w:ind w:left="693" w:right="300" w:firstLine="710"/>
      </w:pPr>
      <w:r>
        <w:rPr>
          <w:i/>
        </w:rPr>
        <w:t>Дивертикулэктомия мочевого пузыря является единственным м</w:t>
      </w:r>
      <w:r>
        <w:rPr>
          <w:i/>
        </w:rPr>
        <w:t xml:space="preserve">етодом радикального лечения дивертикула мочевого пузыря. Возможно её исполнение открытым, лапароскопическим, ретроперитонеоскопическим доступами [12]. </w:t>
      </w:r>
    </w:p>
    <w:p w:rsidR="004A6823" w:rsidRDefault="00F54A3E">
      <w:pPr>
        <w:spacing w:after="400" w:line="259" w:lineRule="auto"/>
        <w:ind w:left="0" w:right="244" w:firstLine="0"/>
        <w:jc w:val="center"/>
      </w:pPr>
      <w:r>
        <w:rPr>
          <w:i/>
        </w:rPr>
        <w:t xml:space="preserve">Показаниями к дивертикулэктомии мочевого пузыря являются: </w:t>
      </w:r>
    </w:p>
    <w:p w:rsidR="004A6823" w:rsidRDefault="00F54A3E">
      <w:pPr>
        <w:numPr>
          <w:ilvl w:val="0"/>
          <w:numId w:val="8"/>
        </w:numPr>
        <w:spacing w:after="257" w:line="386" w:lineRule="auto"/>
        <w:ind w:right="300" w:firstLine="710"/>
      </w:pPr>
      <w:r>
        <w:rPr>
          <w:i/>
        </w:rPr>
        <w:t>нарушение мочеиспускания вследствие компресси</w:t>
      </w:r>
      <w:r>
        <w:rPr>
          <w:i/>
        </w:rPr>
        <w:t xml:space="preserve">и шейки мочевого пузыря объёмным дивертикулом мочевого пузыря;  </w:t>
      </w:r>
    </w:p>
    <w:p w:rsidR="004A6823" w:rsidRDefault="00F54A3E">
      <w:pPr>
        <w:numPr>
          <w:ilvl w:val="0"/>
          <w:numId w:val="8"/>
        </w:numPr>
        <w:spacing w:after="257" w:line="386" w:lineRule="auto"/>
        <w:ind w:right="300" w:firstLine="710"/>
      </w:pPr>
      <w:r>
        <w:rPr>
          <w:i/>
        </w:rPr>
        <w:t xml:space="preserve">одно-, двусторонний гидронефроз по причине сдавления дивертикулом мочевого пузыря верхних мочевыводящих путей (нижняя 1/3 и интрамуральный отдел мочеточника, устье мочеточника); </w:t>
      </w:r>
    </w:p>
    <w:p w:rsidR="004A6823" w:rsidRDefault="00F54A3E">
      <w:pPr>
        <w:numPr>
          <w:ilvl w:val="0"/>
          <w:numId w:val="8"/>
        </w:numPr>
        <w:spacing w:after="257" w:line="386" w:lineRule="auto"/>
        <w:ind w:right="300" w:firstLine="710"/>
      </w:pPr>
      <w:r>
        <w:rPr>
          <w:i/>
        </w:rPr>
        <w:t>дивертикулит</w:t>
      </w:r>
      <w:r>
        <w:rPr>
          <w:i/>
        </w:rPr>
        <w:t xml:space="preserve">/острый цистит, не поддающийся консервативной терапии антибиотиками; </w:t>
      </w:r>
    </w:p>
    <w:p w:rsidR="004A6823" w:rsidRDefault="00F54A3E">
      <w:pPr>
        <w:numPr>
          <w:ilvl w:val="0"/>
          <w:numId w:val="8"/>
        </w:numPr>
        <w:spacing w:after="400" w:line="259" w:lineRule="auto"/>
        <w:ind w:right="300" w:firstLine="710"/>
      </w:pPr>
      <w:r>
        <w:rPr>
          <w:i/>
        </w:rPr>
        <w:t xml:space="preserve">камни в полости дивертикула мочевого пузыря; </w:t>
      </w:r>
    </w:p>
    <w:p w:rsidR="004A6823" w:rsidRDefault="00F54A3E">
      <w:pPr>
        <w:numPr>
          <w:ilvl w:val="0"/>
          <w:numId w:val="8"/>
        </w:numPr>
        <w:spacing w:after="398" w:line="259" w:lineRule="auto"/>
        <w:ind w:right="300" w:firstLine="710"/>
      </w:pPr>
      <w:r>
        <w:rPr>
          <w:i/>
        </w:rPr>
        <w:t xml:space="preserve">новообразования в области дивертикула мочевого пузыря; </w:t>
      </w:r>
    </w:p>
    <w:p w:rsidR="004A6823" w:rsidRDefault="00F54A3E">
      <w:pPr>
        <w:numPr>
          <w:ilvl w:val="0"/>
          <w:numId w:val="8"/>
        </w:numPr>
        <w:spacing w:after="115" w:line="259" w:lineRule="auto"/>
        <w:ind w:right="300" w:firstLine="710"/>
      </w:pPr>
      <w:r>
        <w:rPr>
          <w:i/>
        </w:rPr>
        <w:t xml:space="preserve">оперативное лечение сопутствующей инфравезикальной обструкции [10, </w:t>
      </w:r>
    </w:p>
    <w:p w:rsidR="004A6823" w:rsidRDefault="00F54A3E">
      <w:pPr>
        <w:spacing w:after="352" w:line="259" w:lineRule="auto"/>
        <w:ind w:left="703" w:right="300"/>
      </w:pPr>
      <w:r>
        <w:rPr>
          <w:i/>
        </w:rPr>
        <w:t>15, 16, 21, 17].</w:t>
      </w:r>
      <w:r>
        <w:rPr>
          <w:i/>
        </w:rPr>
        <w:t xml:space="preserve"> </w:t>
      </w:r>
    </w:p>
    <w:p w:rsidR="004A6823" w:rsidRDefault="00F54A3E">
      <w:pPr>
        <w:spacing w:after="221" w:line="386" w:lineRule="auto"/>
        <w:ind w:left="693" w:right="300" w:firstLine="710"/>
      </w:pPr>
      <w:r>
        <w:rPr>
          <w:i/>
        </w:rPr>
        <w:t xml:space="preserve">Перед оперативным вмешательством проводится стандартное предоперационное обследование, а также при необходимости дополнительные диагностические мероприятия, если того требует анамнез пациента. </w:t>
      </w:r>
    </w:p>
    <w:p w:rsidR="004A6823" w:rsidRDefault="00F54A3E">
      <w:pPr>
        <w:spacing w:line="397" w:lineRule="auto"/>
        <w:ind w:left="708" w:right="307" w:hanging="425"/>
      </w:pPr>
      <w:r>
        <w:rPr>
          <w:rFonts w:ascii="Segoe UI Symbol" w:eastAsia="Segoe UI Symbol" w:hAnsi="Segoe UI Symbol" w:cs="Segoe UI Symbol"/>
          <w:sz w:val="20"/>
        </w:rPr>
        <w:t>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Всем пациентам, имеющим показания к оперативному лечению дивертикула мочевого пузыря </w:t>
      </w:r>
      <w:r>
        <w:rPr>
          <w:b/>
        </w:rPr>
        <w:t xml:space="preserve">рекомендуется </w:t>
      </w:r>
      <w:r>
        <w:t>выполнение дивертикулэктомии мочевого пузыря (A16.28.028 Дивертикулэктомия мочевого пузыря) для устранения симптомов, связанных с дивертикулом [10, 17].</w:t>
      </w:r>
      <w:r>
        <w:rPr>
          <w:b/>
        </w:rPr>
        <w:t xml:space="preserve">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>Уро</w:t>
      </w:r>
      <w:r>
        <w:rPr>
          <w:b/>
        </w:rPr>
        <w:t xml:space="preserve">вень убедительности рекомендаций C (уровень достоверности доказательств – 3) </w:t>
      </w:r>
    </w:p>
    <w:p w:rsidR="004A6823" w:rsidRDefault="00F54A3E">
      <w:pPr>
        <w:spacing w:after="257" w:line="386" w:lineRule="auto"/>
        <w:ind w:left="0" w:right="300" w:firstLine="708"/>
      </w:pPr>
      <w:r>
        <w:rPr>
          <w:b/>
        </w:rPr>
        <w:t>Комментарии:</w:t>
      </w:r>
      <w:r>
        <w:t xml:space="preserve"> </w:t>
      </w:r>
      <w:r>
        <w:rPr>
          <w:i/>
        </w:rPr>
        <w:t>как открытый, так и лапароскопический, ретроперитонеоскопический доступы позволяют добиться хороших функциональных результатов, однако при наличии соответствующего т</w:t>
      </w:r>
      <w:r>
        <w:rPr>
          <w:i/>
        </w:rPr>
        <w:t>ехнического оснащения стоит отдать предпочтение эндовидеохирургическим методам, так как они связаны с более короткой продолжительностью госпитализации и меньшей потребностью в обезболивании, несмотря на увеличение средней длительности операции [14]. Роботи</w:t>
      </w:r>
      <w:r>
        <w:rPr>
          <w:i/>
        </w:rPr>
        <w:t>зированная хирургия даёт схожие с лапароскопической техникой результаты, при этом средней срок госпитализации составляет 2,4 дня [15, 16].</w:t>
      </w:r>
      <w:r>
        <w:t xml:space="preserve"> </w:t>
      </w:r>
    </w:p>
    <w:p w:rsidR="004A6823" w:rsidRDefault="00F54A3E">
      <w:pPr>
        <w:spacing w:after="105" w:line="264" w:lineRule="auto"/>
        <w:ind w:left="703"/>
        <w:jc w:val="left"/>
      </w:pPr>
      <w:r>
        <w:rPr>
          <w:b/>
          <w:u w:val="single" w:color="000000"/>
        </w:rPr>
        <w:t>3.2.2. Трансуретральная инцизия шейки дивертикула.</w:t>
      </w:r>
      <w:r>
        <w:rPr>
          <w:b/>
        </w:rPr>
        <w:t xml:space="preserve"> </w:t>
      </w:r>
    </w:p>
    <w:p w:rsidR="004A6823" w:rsidRDefault="00F54A3E">
      <w:pPr>
        <w:spacing w:after="257" w:line="386" w:lineRule="auto"/>
        <w:ind w:left="703" w:right="300"/>
      </w:pPr>
      <w:r>
        <w:rPr>
          <w:i/>
        </w:rPr>
        <w:t>Дивертикулэктомия мочевого пузыря с использованием видеоэндоскоп</w:t>
      </w:r>
      <w:r>
        <w:rPr>
          <w:i/>
        </w:rPr>
        <w:t xml:space="preserve">ических технологий направлена на создание широкого сообщения между полостью мочевого пузыря и полостью дивертикула, таким образом в дивертикуле прекращает скапливаться остаточная моча, устраняется и/или снижается риск развития осложнений [12]. </w:t>
      </w:r>
    </w:p>
    <w:p w:rsidR="004A6823" w:rsidRDefault="00F54A3E">
      <w:pPr>
        <w:spacing w:line="390" w:lineRule="auto"/>
        <w:ind w:left="708" w:right="307" w:hanging="425"/>
      </w:pPr>
      <w:r>
        <w:rPr>
          <w:rFonts w:ascii="Segoe UI Symbol" w:eastAsia="Segoe UI Symbol" w:hAnsi="Segoe UI Symbol" w:cs="Segoe UI Symbol"/>
          <w:sz w:val="20"/>
        </w:rPr>
        <w:t></w:t>
      </w:r>
      <w:r>
        <w:rPr>
          <w:rFonts w:ascii="Arial" w:eastAsia="Arial" w:hAnsi="Arial" w:cs="Arial"/>
          <w:sz w:val="20"/>
        </w:rPr>
        <w:t xml:space="preserve"> </w:t>
      </w:r>
      <w:r>
        <w:t>Пациентам</w:t>
      </w:r>
      <w:r>
        <w:t xml:space="preserve"> с наличием симптомов </w:t>
      </w:r>
      <w:r>
        <w:rPr>
          <w:b/>
        </w:rPr>
        <w:t xml:space="preserve">рекомендуется </w:t>
      </w:r>
      <w:r>
        <w:t xml:space="preserve">выполнять дивертикулэктомию мочевого пузыря с использованием видеоэндоскопических технологий (код A16.28.028.001) с целью лечения осложнений, связанных с дивертикулом мочевого пузыря [17].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>Уровень убедительности рекомен</w:t>
      </w:r>
      <w:r>
        <w:rPr>
          <w:b/>
        </w:rPr>
        <w:t xml:space="preserve">даций C (уровень достоверности доказательств – 3) </w:t>
      </w:r>
    </w:p>
    <w:p w:rsidR="004A6823" w:rsidRDefault="00F54A3E">
      <w:pPr>
        <w:spacing w:after="0" w:line="386" w:lineRule="auto"/>
        <w:ind w:left="0" w:right="300" w:firstLine="708"/>
      </w:pPr>
      <w:r>
        <w:rPr>
          <w:b/>
          <w:i/>
        </w:rPr>
        <w:t xml:space="preserve">Комментарии: </w:t>
      </w:r>
      <w:r>
        <w:rPr>
          <w:i/>
        </w:rPr>
        <w:t>Дивертикулэктомия мочевого пузыря с использованием видеоэндоскопических технологий (или т.к.</w:t>
      </w:r>
      <w:r>
        <w:rPr>
          <w:b/>
          <w:i/>
        </w:rPr>
        <w:t xml:space="preserve"> </w:t>
      </w:r>
      <w:r>
        <w:rPr>
          <w:i/>
        </w:rPr>
        <w:t>трансуретральная инцизия шейки дивертикула мочевого пузыря) является минимально инвазивной и эффект</w:t>
      </w:r>
      <w:r>
        <w:rPr>
          <w:i/>
        </w:rPr>
        <w:t>ивной операцией, которая хорошо подойдет как для соматически отягощенных пациентов, так и для пациентов, которым дивертикулэктомия мочевого пузыря с использованием видеоэндоскопических технологий может быть предложена в качестве альтернативы открытому и ла</w:t>
      </w:r>
      <w:r>
        <w:rPr>
          <w:i/>
        </w:rPr>
        <w:t xml:space="preserve">пароскопическому вмешательству без негативных последствий для дальнейшего радикального лечения, если течение заболевания того потребует [10]. </w:t>
      </w:r>
    </w:p>
    <w:p w:rsidR="004A6823" w:rsidRDefault="00F54A3E">
      <w:pPr>
        <w:spacing w:after="0" w:line="259" w:lineRule="auto"/>
        <w:ind w:left="708" w:firstLine="0"/>
        <w:jc w:val="left"/>
      </w:pPr>
      <w:r>
        <w:rPr>
          <w:i/>
        </w:rPr>
        <w:t xml:space="preserve"> </w:t>
      </w:r>
    </w:p>
    <w:p w:rsidR="004A6823" w:rsidRDefault="00F54A3E">
      <w:pPr>
        <w:spacing w:after="151" w:line="264" w:lineRule="auto"/>
        <w:ind w:left="703"/>
        <w:jc w:val="left"/>
      </w:pPr>
      <w:r>
        <w:rPr>
          <w:b/>
          <w:u w:val="single" w:color="000000"/>
        </w:rPr>
        <w:t>3.3. Лечение при опухолях дивертикула.</w:t>
      </w:r>
      <w:r>
        <w:rPr>
          <w:b/>
        </w:rPr>
        <w:t xml:space="preserve"> </w:t>
      </w:r>
    </w:p>
    <w:p w:rsidR="004A6823" w:rsidRDefault="00F54A3E">
      <w:pPr>
        <w:spacing w:after="158" w:line="259" w:lineRule="auto"/>
        <w:ind w:left="703" w:right="300"/>
      </w:pPr>
      <w:r>
        <w:rPr>
          <w:i/>
        </w:rPr>
        <w:t xml:space="preserve">См. клинические рекомендации Министерства здравоохранения Российской </w:t>
      </w:r>
    </w:p>
    <w:p w:rsidR="004A6823" w:rsidRDefault="00F54A3E">
      <w:pPr>
        <w:spacing w:after="115" w:line="259" w:lineRule="auto"/>
        <w:ind w:right="300"/>
      </w:pPr>
      <w:r>
        <w:rPr>
          <w:i/>
        </w:rPr>
        <w:t xml:space="preserve">Федерации «Рак мочевого пузыря». </w:t>
      </w:r>
    </w:p>
    <w:p w:rsidR="004A6823" w:rsidRDefault="00F54A3E">
      <w:pPr>
        <w:spacing w:after="451" w:line="259" w:lineRule="auto"/>
        <w:ind w:left="708" w:firstLine="0"/>
        <w:jc w:val="left"/>
      </w:pPr>
      <w:r>
        <w:rPr>
          <w:i/>
        </w:rPr>
        <w:t xml:space="preserve"> </w:t>
      </w:r>
    </w:p>
    <w:p w:rsidR="004A6823" w:rsidRDefault="00F54A3E">
      <w:pPr>
        <w:numPr>
          <w:ilvl w:val="1"/>
          <w:numId w:val="9"/>
        </w:numPr>
        <w:spacing w:after="0" w:line="371" w:lineRule="auto"/>
        <w:ind w:right="28" w:hanging="281"/>
        <w:jc w:val="left"/>
      </w:pPr>
      <w:r>
        <w:rPr>
          <w:b/>
          <w:sz w:val="28"/>
        </w:rPr>
        <w:t xml:space="preserve">Медицинская реабилитация и санаторно-курортное лечение, медицинские показания и противопоказания к применению методов медицинской реабилитации, в том числе основанных на использовании природных лечебных факторов </w:t>
      </w:r>
    </w:p>
    <w:p w:rsidR="004A6823" w:rsidRDefault="00F54A3E">
      <w:pPr>
        <w:spacing w:after="463"/>
        <w:ind w:left="718" w:right="307"/>
      </w:pPr>
      <w:r>
        <w:t>Специфи</w:t>
      </w:r>
      <w:r>
        <w:t>ческая рекомендация не требуется.</w:t>
      </w:r>
      <w:r>
        <w:rPr>
          <w:b/>
        </w:rPr>
        <w:t xml:space="preserve"> </w:t>
      </w:r>
    </w:p>
    <w:p w:rsidR="004A6823" w:rsidRDefault="00F54A3E">
      <w:pPr>
        <w:numPr>
          <w:ilvl w:val="1"/>
          <w:numId w:val="9"/>
        </w:numPr>
        <w:spacing w:after="378" w:line="259" w:lineRule="auto"/>
        <w:ind w:right="28" w:hanging="281"/>
        <w:jc w:val="left"/>
      </w:pPr>
      <w:r>
        <w:rPr>
          <w:b/>
          <w:sz w:val="28"/>
        </w:rPr>
        <w:t xml:space="preserve">Профилактика и диспансерное наблюдение, медицинские показания и </w:t>
      </w:r>
    </w:p>
    <w:p w:rsidR="004A6823" w:rsidRDefault="00F54A3E">
      <w:pPr>
        <w:pStyle w:val="Heading1"/>
        <w:spacing w:after="378"/>
        <w:ind w:left="38" w:right="0"/>
        <w:jc w:val="left"/>
      </w:pPr>
      <w:r>
        <w:t xml:space="preserve">противопоказания к применению методов профилактики </w:t>
      </w:r>
    </w:p>
    <w:p w:rsidR="004A6823" w:rsidRDefault="00F54A3E">
      <w:pPr>
        <w:numPr>
          <w:ilvl w:val="0"/>
          <w:numId w:val="10"/>
        </w:numPr>
        <w:spacing w:line="383" w:lineRule="auto"/>
        <w:ind w:right="307" w:hanging="425"/>
      </w:pPr>
      <w:r>
        <w:rPr>
          <w:b/>
        </w:rPr>
        <w:t>Рекомендуется</w:t>
      </w:r>
      <w:r>
        <w:t xml:space="preserve"> наблюдение врачом-урологом (приём (осмотр, консультация) врача-уролога) пациентам с отсутс</w:t>
      </w:r>
      <w:r>
        <w:t>твием симптомов, связанных с дивертикулом мочевого пузыря, и/или которым противопоказано оперативное лечение с целью контроля над течением заболевания [10].</w:t>
      </w:r>
      <w:r>
        <w:rPr>
          <w:b/>
        </w:rPr>
        <w:t xml:space="preserve"> </w:t>
      </w:r>
    </w:p>
    <w:p w:rsidR="004A6823" w:rsidRDefault="00F54A3E">
      <w:pPr>
        <w:spacing w:after="237" w:line="395" w:lineRule="auto"/>
        <w:ind w:left="703"/>
        <w:jc w:val="left"/>
      </w:pPr>
      <w:r>
        <w:rPr>
          <w:b/>
        </w:rPr>
        <w:t xml:space="preserve">Уровень убедительности рекомендаций С (уровень достоверности доказательств – 5) </w:t>
      </w:r>
    </w:p>
    <w:p w:rsidR="004A6823" w:rsidRDefault="00F54A3E">
      <w:pPr>
        <w:numPr>
          <w:ilvl w:val="0"/>
          <w:numId w:val="10"/>
        </w:numPr>
        <w:spacing w:line="396" w:lineRule="auto"/>
        <w:ind w:right="307" w:hanging="425"/>
      </w:pPr>
      <w:r>
        <w:rPr>
          <w:b/>
        </w:rPr>
        <w:t>Рекомендуется</w:t>
      </w:r>
      <w:r>
        <w:t xml:space="preserve"> </w:t>
      </w:r>
      <w:r>
        <w:t>проведение общего (клинического) анализа мочи и микроскопическое исследование осадка мочи пациентам, которые наблюдаются по поводу дивертикула мочевого пузыря [10].</w:t>
      </w:r>
      <w:r>
        <w:rPr>
          <w:b/>
        </w:rPr>
        <w:t xml:space="preserve"> </w:t>
      </w:r>
    </w:p>
    <w:p w:rsidR="004A6823" w:rsidRDefault="00F54A3E">
      <w:pPr>
        <w:spacing w:after="3" w:line="395" w:lineRule="auto"/>
        <w:ind w:left="703"/>
        <w:jc w:val="left"/>
      </w:pPr>
      <w:r>
        <w:rPr>
          <w:b/>
        </w:rPr>
        <w:t xml:space="preserve">Уровень убедительности рекомендаций С (уровень достоверности доказательств – 5) </w:t>
      </w:r>
    </w:p>
    <w:p w:rsidR="004A6823" w:rsidRDefault="00F54A3E">
      <w:pPr>
        <w:spacing w:after="10" w:line="386" w:lineRule="auto"/>
        <w:ind w:left="703" w:right="300"/>
      </w:pPr>
      <w:r>
        <w:rPr>
          <w:b/>
        </w:rPr>
        <w:t>Комментар</w:t>
      </w:r>
      <w:r>
        <w:rPr>
          <w:b/>
        </w:rPr>
        <w:t xml:space="preserve">ии: </w:t>
      </w:r>
      <w:r>
        <w:rPr>
          <w:i/>
        </w:rPr>
        <w:t xml:space="preserve">продолжительность наблюдения и график посещения необходимо устанавливать индивидуально для каждого пациента. </w:t>
      </w:r>
    </w:p>
    <w:p w:rsidR="004A6823" w:rsidRDefault="00F54A3E">
      <w:pPr>
        <w:spacing w:after="444" w:line="259" w:lineRule="auto"/>
        <w:ind w:left="708" w:firstLine="0"/>
        <w:jc w:val="left"/>
      </w:pPr>
      <w:r>
        <w:rPr>
          <w:b/>
        </w:rPr>
        <w:t xml:space="preserve"> </w:t>
      </w:r>
    </w:p>
    <w:p w:rsidR="004A6823" w:rsidRDefault="00F54A3E">
      <w:pPr>
        <w:pStyle w:val="Heading1"/>
        <w:spacing w:after="146"/>
        <w:ind w:right="315"/>
      </w:pPr>
      <w:r>
        <w:t xml:space="preserve">6. Организация оказания медицинской помощи </w:t>
      </w:r>
    </w:p>
    <w:p w:rsidR="004A6823" w:rsidRDefault="00F54A3E">
      <w:pPr>
        <w:spacing w:after="159" w:line="259" w:lineRule="auto"/>
        <w:ind w:left="437"/>
        <w:jc w:val="left"/>
      </w:pPr>
      <w:r>
        <w:rPr>
          <w:b/>
        </w:rPr>
        <w:t xml:space="preserve">Показания для плановой госпитализации: </w:t>
      </w:r>
    </w:p>
    <w:p w:rsidR="004A6823" w:rsidRDefault="00F54A3E">
      <w:pPr>
        <w:spacing w:line="377" w:lineRule="auto"/>
        <w:ind w:left="787" w:right="307" w:hanging="360"/>
      </w:pPr>
      <w:r>
        <w:t>1)</w:t>
      </w:r>
      <w:r>
        <w:rPr>
          <w:rFonts w:ascii="Arial" w:eastAsia="Arial" w:hAnsi="Arial" w:cs="Arial"/>
        </w:rPr>
        <w:t xml:space="preserve"> </w:t>
      </w:r>
      <w:r>
        <w:t>подтвержденный на основании инструментальных данных д</w:t>
      </w:r>
      <w:r>
        <w:t xml:space="preserve">ивертикул мочевого пузыря, осложненный симптомами, камнями или опухолью, и требующий оперативного лечения. </w:t>
      </w:r>
    </w:p>
    <w:p w:rsidR="004A6823" w:rsidRDefault="00F54A3E">
      <w:pPr>
        <w:spacing w:after="155" w:line="259" w:lineRule="auto"/>
        <w:ind w:left="437"/>
        <w:jc w:val="left"/>
      </w:pPr>
      <w:r>
        <w:rPr>
          <w:b/>
        </w:rPr>
        <w:t xml:space="preserve">Показания для экстренной госпитализации: </w:t>
      </w:r>
    </w:p>
    <w:p w:rsidR="004A6823" w:rsidRDefault="00F54A3E">
      <w:pPr>
        <w:spacing w:line="403" w:lineRule="auto"/>
        <w:ind w:left="437" w:right="307"/>
      </w:pPr>
      <w:r>
        <w:t xml:space="preserve">1) острый цистит, дивертикулит, не поддающийся консервативному лечению; </w:t>
      </w:r>
      <w:r>
        <w:rPr>
          <w:b/>
        </w:rPr>
        <w:t>Показания к выписке пациента из ме</w:t>
      </w:r>
      <w:r>
        <w:rPr>
          <w:b/>
        </w:rPr>
        <w:t xml:space="preserve">дицинской организации: </w:t>
      </w:r>
    </w:p>
    <w:p w:rsidR="004A6823" w:rsidRDefault="00F54A3E">
      <w:pPr>
        <w:numPr>
          <w:ilvl w:val="0"/>
          <w:numId w:val="11"/>
        </w:numPr>
        <w:spacing w:line="396" w:lineRule="auto"/>
        <w:ind w:right="307" w:hanging="281"/>
      </w:pPr>
      <w:r>
        <w:t xml:space="preserve">Отсутствие необходимости в стационарном наблюдении и лечении после проведенной операции. </w:t>
      </w:r>
    </w:p>
    <w:p w:rsidR="004A6823" w:rsidRDefault="00F54A3E">
      <w:pPr>
        <w:numPr>
          <w:ilvl w:val="0"/>
          <w:numId w:val="11"/>
        </w:numPr>
        <w:spacing w:after="172"/>
        <w:ind w:right="307" w:hanging="281"/>
      </w:pPr>
      <w:r>
        <w:t xml:space="preserve">Отсутствие гнойно-септических осложнений после хирургического вмешательства </w:t>
      </w:r>
    </w:p>
    <w:p w:rsidR="004A6823" w:rsidRDefault="00F54A3E">
      <w:pPr>
        <w:numPr>
          <w:ilvl w:val="0"/>
          <w:numId w:val="11"/>
        </w:numPr>
        <w:spacing w:after="293" w:line="399" w:lineRule="auto"/>
        <w:ind w:right="307" w:hanging="281"/>
      </w:pPr>
      <w:r>
        <w:t>Отсутствие тромбоэмболических осложнений после хирургического вмешательства 4)</w:t>
      </w:r>
      <w:r>
        <w:rPr>
          <w:rFonts w:ascii="Arial" w:eastAsia="Arial" w:hAnsi="Arial" w:cs="Arial"/>
        </w:rPr>
        <w:t xml:space="preserve"> </w:t>
      </w:r>
      <w:r>
        <w:t xml:space="preserve">Достигнуто восстановление адекватного мочеиспускания, уменьшен или устранен объём остаточной мочи. </w:t>
      </w:r>
    </w:p>
    <w:p w:rsidR="004A6823" w:rsidRDefault="00F54A3E">
      <w:pPr>
        <w:pStyle w:val="Heading1"/>
        <w:spacing w:after="35"/>
        <w:ind w:right="313"/>
      </w:pPr>
      <w:r>
        <w:t xml:space="preserve">Критерии оценки качества медицинской помощи </w:t>
      </w:r>
    </w:p>
    <w:p w:rsidR="004A6823" w:rsidRDefault="00F54A3E">
      <w:pPr>
        <w:spacing w:after="0" w:line="259" w:lineRule="auto"/>
        <w:ind w:left="708" w:firstLine="0"/>
        <w:jc w:val="left"/>
      </w:pPr>
      <w:r>
        <w:rPr>
          <w:i/>
          <w:color w:val="FF0000"/>
          <w:sz w:val="18"/>
        </w:rPr>
        <w:t xml:space="preserve"> </w:t>
      </w:r>
    </w:p>
    <w:tbl>
      <w:tblPr>
        <w:tblStyle w:val="TableGrid"/>
        <w:tblW w:w="9371" w:type="dxa"/>
        <w:tblInd w:w="-7" w:type="dxa"/>
        <w:tblCellMar>
          <w:top w:w="8" w:type="dxa"/>
          <w:left w:w="0" w:type="dxa"/>
          <w:bottom w:w="0" w:type="dxa"/>
          <w:right w:w="10" w:type="dxa"/>
        </w:tblCellMar>
        <w:tblLook w:val="04A0" w:firstRow="1" w:lastRow="0" w:firstColumn="1" w:lastColumn="0" w:noHBand="0" w:noVBand="1"/>
      </w:tblPr>
      <w:tblGrid>
        <w:gridCol w:w="374"/>
        <w:gridCol w:w="6296"/>
        <w:gridCol w:w="2701"/>
      </w:tblGrid>
      <w:tr w:rsidR="004A6823">
        <w:trPr>
          <w:trHeight w:val="569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65" w:firstLine="0"/>
            </w:pPr>
            <w:r>
              <w:rPr>
                <w:b/>
              </w:rPr>
              <w:t>№</w:t>
            </w:r>
            <w:r>
              <w:t xml:space="preserve"> </w:t>
            </w:r>
          </w:p>
          <w:p w:rsidR="004A6823" w:rsidRDefault="00F54A3E">
            <w:pPr>
              <w:spacing w:after="0" w:line="259" w:lineRule="auto"/>
              <w:ind w:left="65" w:firstLine="0"/>
              <w:jc w:val="center"/>
            </w:pPr>
            <w: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A6823" w:rsidRDefault="00F54A3E">
            <w:pPr>
              <w:spacing w:after="0" w:line="259" w:lineRule="auto"/>
              <w:ind w:left="490" w:firstLine="0"/>
              <w:jc w:val="left"/>
            </w:pPr>
            <w:r>
              <w:rPr>
                <w:b/>
              </w:rPr>
              <w:t>Критерии качества</w:t>
            </w:r>
            <w:r>
              <w:t xml:space="preserve">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24" w:line="259" w:lineRule="auto"/>
              <w:ind w:left="0" w:right="146" w:firstLine="0"/>
              <w:jc w:val="right"/>
            </w:pPr>
            <w:r>
              <w:rPr>
                <w:b/>
              </w:rPr>
              <w:t>Оценка</w:t>
            </w:r>
            <w:r>
              <w:rPr>
                <w:b/>
              </w:rPr>
              <w:t xml:space="preserve"> выполнения </w:t>
            </w:r>
          </w:p>
          <w:p w:rsidR="004A6823" w:rsidRDefault="00F54A3E">
            <w:pPr>
              <w:spacing w:after="0" w:line="259" w:lineRule="auto"/>
              <w:ind w:left="154" w:firstLine="0"/>
              <w:jc w:val="center"/>
            </w:pPr>
            <w:r>
              <w:rPr>
                <w:b/>
              </w:rPr>
              <w:t xml:space="preserve">(да/нет) </w:t>
            </w:r>
          </w:p>
        </w:tc>
      </w:tr>
      <w:tr w:rsidR="004A6823">
        <w:trPr>
          <w:trHeight w:val="842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5" w:firstLine="0"/>
              <w:jc w:val="left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489" w:right="95" w:hanging="499"/>
              <w:jc w:val="left"/>
            </w:pPr>
            <w:r>
              <w:t xml:space="preserve"> </w:t>
            </w:r>
            <w:r>
              <w:tab/>
              <w:t xml:space="preserve">Проведена </w:t>
            </w:r>
            <w:r>
              <w:tab/>
              <w:t xml:space="preserve">диагностика, </w:t>
            </w:r>
            <w:r>
              <w:tab/>
              <w:t xml:space="preserve">в </w:t>
            </w:r>
            <w:r>
              <w:tab/>
              <w:t xml:space="preserve">том </w:t>
            </w:r>
            <w:r>
              <w:tab/>
              <w:t xml:space="preserve">числе дифференциальная, с использованием лабораторных и лучевых методов исследования.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0" w:right="12" w:firstLine="0"/>
              <w:jc w:val="center"/>
            </w:pPr>
            <w:r>
              <w:t xml:space="preserve">Да/нет </w:t>
            </w:r>
          </w:p>
        </w:tc>
      </w:tr>
      <w:tr w:rsidR="004A6823">
        <w:trPr>
          <w:trHeight w:val="843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5" w:firstLine="0"/>
              <w:jc w:val="left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489" w:right="286" w:hanging="499"/>
            </w:pPr>
            <w:r>
              <w:t xml:space="preserve"> </w:t>
            </w:r>
            <w:r>
              <w:t xml:space="preserve">Проведено микроскопическое исследование осадка мочи и цистоскопия для исключения опухоли дивертикула и/или мочевого пузыря.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0" w:right="12" w:firstLine="0"/>
              <w:jc w:val="center"/>
            </w:pPr>
            <w:r>
              <w:t xml:space="preserve">Да/нет </w:t>
            </w:r>
          </w:p>
        </w:tc>
      </w:tr>
      <w:tr w:rsidR="004A6823">
        <w:trPr>
          <w:trHeight w:val="1670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5" w:firstLine="0"/>
              <w:jc w:val="left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489" w:right="283" w:hanging="499"/>
            </w:pPr>
            <w:r>
              <w:t xml:space="preserve"> Выполнено КУДИ либо измерение скорости потока мочи (урофлоуметрия) и ультразвуковое исследование </w:t>
            </w:r>
            <w:r>
              <w:t xml:space="preserve">мочевого пузыря с определением остаточной мочи в рамках подготовки к операции для прогнозирования функции мочевого пузыря в послеоперационном периоде.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0" w:right="12" w:firstLine="0"/>
              <w:jc w:val="center"/>
            </w:pPr>
            <w:r>
              <w:t xml:space="preserve">Да/нет </w:t>
            </w:r>
          </w:p>
        </w:tc>
      </w:tr>
      <w:tr w:rsidR="004A6823">
        <w:trPr>
          <w:trHeight w:val="845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5" w:firstLine="0"/>
              <w:jc w:val="left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489" w:right="283" w:hanging="499"/>
            </w:pPr>
            <w:r>
              <w:t xml:space="preserve"> Выполнена дивертикулэктомия мочевого пузыря пациентам при наличии показаний и </w:t>
            </w:r>
            <w:r>
              <w:t xml:space="preserve">отсутствии противопоказаний.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0" w:right="12" w:firstLine="0"/>
              <w:jc w:val="center"/>
            </w:pPr>
            <w:r>
              <w:t xml:space="preserve">Да/нет </w:t>
            </w:r>
          </w:p>
        </w:tc>
      </w:tr>
      <w:tr w:rsidR="004A6823">
        <w:trPr>
          <w:trHeight w:val="1671"/>
        </w:trPr>
        <w:tc>
          <w:tcPr>
            <w:tcW w:w="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5" w:firstLine="0"/>
              <w:jc w:val="left"/>
            </w:pPr>
            <w:r>
              <w:t>5.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489" w:right="282" w:hanging="499"/>
            </w:pPr>
            <w:r>
              <w:t xml:space="preserve"> Проведено ультразвуковое исследование мочевого пузыря с определением остаточной мочи и </w:t>
            </w:r>
            <w:r>
              <w:t xml:space="preserve">ультразвукового исследования почек с целью установления диагноза, а также дифференциальной диагностики с другими патологическими состояниями. </w:t>
            </w:r>
          </w:p>
        </w:tc>
        <w:tc>
          <w:tcPr>
            <w:tcW w:w="2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6823" w:rsidRDefault="00F54A3E">
            <w:pPr>
              <w:spacing w:after="0" w:line="259" w:lineRule="auto"/>
              <w:ind w:left="0" w:right="12" w:firstLine="0"/>
              <w:jc w:val="center"/>
            </w:pPr>
            <w:r>
              <w:t xml:space="preserve">Да/нет </w:t>
            </w:r>
          </w:p>
        </w:tc>
      </w:tr>
    </w:tbl>
    <w:p w:rsidR="004A6823" w:rsidRDefault="00F54A3E">
      <w:pPr>
        <w:spacing w:after="429" w:line="259" w:lineRule="auto"/>
        <w:ind w:left="0" w:firstLine="0"/>
        <w:jc w:val="left"/>
      </w:pPr>
      <w:r>
        <w:rPr>
          <w:b/>
          <w:sz w:val="28"/>
        </w:rPr>
        <w:t xml:space="preserve"> </w:t>
      </w:r>
    </w:p>
    <w:p w:rsidR="004A6823" w:rsidRDefault="00F54A3E">
      <w:pPr>
        <w:pStyle w:val="Heading1"/>
        <w:spacing w:after="52"/>
        <w:ind w:right="312"/>
      </w:pPr>
      <w:r>
        <w:t xml:space="preserve">Список литературы </w:t>
      </w:r>
    </w:p>
    <w:p w:rsidR="004A6823" w:rsidRDefault="00F54A3E">
      <w:pPr>
        <w:spacing w:after="20" w:line="259" w:lineRule="auto"/>
        <w:ind w:left="708" w:firstLine="0"/>
        <w:jc w:val="left"/>
      </w:pPr>
      <w:r>
        <w:rPr>
          <w:sz w:val="20"/>
        </w:rPr>
        <w:t xml:space="preserve"> </w:t>
      </w:r>
    </w:p>
    <w:p w:rsidR="004A6823" w:rsidRDefault="00F54A3E">
      <w:pPr>
        <w:ind w:left="720" w:right="307" w:hanging="360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Abou Zahr, R., Chalhoub, K., Ollaik, F., &amp; Nohra, J. (2018). Congenital Bladder Diverticulum in Adults: A Case Report and Review of the Literature. </w:t>
      </w:r>
      <w:r>
        <w:rPr>
          <w:i/>
        </w:rPr>
        <w:t xml:space="preserve">Case Reports in </w:t>
      </w:r>
    </w:p>
    <w:p w:rsidR="004A6823" w:rsidRDefault="00F54A3E">
      <w:pPr>
        <w:pStyle w:val="Heading2"/>
        <w:spacing w:after="0" w:line="259" w:lineRule="auto"/>
        <w:ind w:left="715"/>
      </w:pPr>
      <w:r>
        <w:rPr>
          <w:b w:val="0"/>
          <w:i/>
          <w:u w:val="none"/>
        </w:rPr>
        <w:t>Urology</w:t>
      </w:r>
      <w:r>
        <w:rPr>
          <w:b w:val="0"/>
          <w:u w:val="none"/>
        </w:rPr>
        <w:t xml:space="preserve">, </w:t>
      </w:r>
      <w:r>
        <w:rPr>
          <w:b w:val="0"/>
          <w:i/>
          <w:u w:val="none"/>
        </w:rPr>
        <w:t>2018</w:t>
      </w:r>
      <w:r>
        <w:rPr>
          <w:b w:val="0"/>
          <w:u w:val="none"/>
        </w:rPr>
        <w:t xml:space="preserve">, 1–3. </w:t>
      </w:r>
      <w:hyperlink r:id="rId11">
        <w:r>
          <w:rPr>
            <w:b w:val="0"/>
            <w:color w:val="0000FF"/>
            <w:u w:color="0000FF"/>
          </w:rPr>
          <w:t>https://doi.org</w:t>
        </w:r>
        <w:r>
          <w:rPr>
            <w:b w:val="0"/>
            <w:color w:val="0000FF"/>
            <w:u w:color="0000FF"/>
          </w:rPr>
          <w:t>/10.1155/2018/9748926</w:t>
        </w:r>
      </w:hyperlink>
      <w:hyperlink r:id="rId12">
        <w:r>
          <w:rPr>
            <w:b w:val="0"/>
            <w:u w:val="none"/>
          </w:rPr>
          <w:t xml:space="preserve"> </w:t>
        </w:r>
      </w:hyperlink>
    </w:p>
    <w:p w:rsidR="004A6823" w:rsidRDefault="00F54A3E">
      <w:pPr>
        <w:numPr>
          <w:ilvl w:val="0"/>
          <w:numId w:val="12"/>
        </w:numPr>
        <w:ind w:right="307" w:hanging="348"/>
      </w:pPr>
      <w:r>
        <w:t xml:space="preserve">Blane, C. E., Zerin, J. M., &amp; Bloom, D. A. (1994). Bladder diverticula in children. </w:t>
      </w:r>
    </w:p>
    <w:p w:rsidR="004A6823" w:rsidRDefault="00F54A3E">
      <w:pPr>
        <w:spacing w:after="3" w:line="259" w:lineRule="auto"/>
        <w:ind w:right="209"/>
        <w:jc w:val="center"/>
      </w:pPr>
      <w:r>
        <w:rPr>
          <w:i/>
        </w:rPr>
        <w:t>Radiology</w:t>
      </w:r>
      <w:r>
        <w:t xml:space="preserve">, </w:t>
      </w:r>
      <w:r>
        <w:rPr>
          <w:i/>
        </w:rPr>
        <w:t>190</w:t>
      </w:r>
      <w:r>
        <w:t xml:space="preserve">(3), 695–697. </w:t>
      </w:r>
      <w:hyperlink r:id="rId13">
        <w:r>
          <w:rPr>
            <w:color w:val="0000FF"/>
            <w:u w:val="single" w:color="0000FF"/>
          </w:rPr>
          <w:t>https://doi.org/10.1148/RADIOLOGY.190.3.8115613</w:t>
        </w:r>
      </w:hyperlink>
      <w:hyperlink r:id="rId14">
        <w:r>
          <w:t xml:space="preserve"> </w:t>
        </w:r>
      </w:hyperlink>
    </w:p>
    <w:p w:rsidR="004A6823" w:rsidRDefault="00F54A3E">
      <w:pPr>
        <w:numPr>
          <w:ilvl w:val="0"/>
          <w:numId w:val="12"/>
        </w:numPr>
        <w:ind w:right="307" w:hanging="348"/>
      </w:pPr>
      <w:r>
        <w:t xml:space="preserve">Garat, J. M., Angerri, O., Caffaratti, J., Moscatiello, P., &amp; Villavicencio, H. (2007). </w:t>
      </w:r>
    </w:p>
    <w:p w:rsidR="004A6823" w:rsidRDefault="00F54A3E">
      <w:pPr>
        <w:ind w:left="730" w:right="307"/>
      </w:pPr>
      <w:r>
        <w:t xml:space="preserve">Primary congenital bladder diverticula in children. </w:t>
      </w:r>
      <w:r>
        <w:rPr>
          <w:i/>
        </w:rPr>
        <w:t>Urology</w:t>
      </w:r>
      <w:r>
        <w:t xml:space="preserve">, </w:t>
      </w:r>
      <w:r>
        <w:rPr>
          <w:i/>
        </w:rPr>
        <w:t>70</w:t>
      </w:r>
      <w:r>
        <w:t xml:space="preserve">(5), 984–988. </w:t>
      </w:r>
      <w:hyperlink r:id="rId15">
        <w:r>
          <w:rPr>
            <w:color w:val="0000FF"/>
            <w:u w:val="single" w:color="0000FF"/>
          </w:rPr>
          <w:t>https://doi.org/10.1016/J.UROLOGY.2007.06.1108</w:t>
        </w:r>
      </w:hyperlink>
      <w:hyperlink r:id="rId16">
        <w:r>
          <w:t xml:space="preserve"> </w:t>
        </w:r>
      </w:hyperlink>
    </w:p>
    <w:p w:rsidR="004A6823" w:rsidRDefault="00F54A3E">
      <w:pPr>
        <w:numPr>
          <w:ilvl w:val="0"/>
          <w:numId w:val="12"/>
        </w:numPr>
        <w:ind w:right="307" w:hanging="348"/>
      </w:pPr>
      <w:r>
        <w:t xml:space="preserve">Gerridzen, R. G., &amp; Futter, N. G. (1982). Ten-year review of vesical diverticula. </w:t>
      </w:r>
      <w:r>
        <w:rPr>
          <w:i/>
        </w:rPr>
        <w:t>Urology</w:t>
      </w:r>
      <w:r>
        <w:t xml:space="preserve">, </w:t>
      </w:r>
    </w:p>
    <w:p w:rsidR="004A6823" w:rsidRDefault="00F54A3E">
      <w:pPr>
        <w:pStyle w:val="Heading2"/>
        <w:spacing w:after="0" w:line="259" w:lineRule="auto"/>
        <w:ind w:left="715"/>
      </w:pPr>
      <w:r>
        <w:rPr>
          <w:b w:val="0"/>
          <w:i/>
          <w:u w:val="none"/>
        </w:rPr>
        <w:t>20</w:t>
      </w:r>
      <w:r>
        <w:rPr>
          <w:b w:val="0"/>
          <w:u w:val="none"/>
        </w:rPr>
        <w:t xml:space="preserve">(1), 33–35. </w:t>
      </w:r>
      <w:hyperlink r:id="rId17">
        <w:r>
          <w:rPr>
            <w:b w:val="0"/>
            <w:color w:val="0000FF"/>
            <w:u w:color="0000FF"/>
          </w:rPr>
          <w:t>https://doi.org/10.1016/0090</w:t>
        </w:r>
      </w:hyperlink>
      <w:hyperlink r:id="rId18">
        <w:r>
          <w:rPr>
            <w:b w:val="0"/>
            <w:color w:val="0000FF"/>
            <w:u w:color="0000FF"/>
          </w:rPr>
          <w:t>-</w:t>
        </w:r>
      </w:hyperlink>
      <w:hyperlink r:id="rId19">
        <w:r>
          <w:rPr>
            <w:b w:val="0"/>
            <w:color w:val="0000FF"/>
            <w:u w:color="0000FF"/>
          </w:rPr>
          <w:t>4295(82)90532</w:t>
        </w:r>
      </w:hyperlink>
      <w:hyperlink r:id="rId20">
        <w:r>
          <w:rPr>
            <w:b w:val="0"/>
            <w:color w:val="0000FF"/>
            <w:u w:color="0000FF"/>
          </w:rPr>
          <w:t>-</w:t>
        </w:r>
      </w:hyperlink>
      <w:hyperlink r:id="rId21">
        <w:r>
          <w:rPr>
            <w:b w:val="0"/>
            <w:color w:val="0000FF"/>
            <w:u w:color="0000FF"/>
          </w:rPr>
          <w:t>5</w:t>
        </w:r>
      </w:hyperlink>
      <w:hyperlink r:id="rId22">
        <w:r>
          <w:rPr>
            <w:b w:val="0"/>
            <w:u w:val="none"/>
          </w:rP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 xml:space="preserve">Idrees, M. T., Alexander, R. E., Kum, J. B., &amp; Cheng, L. (2013). The spectrum of histopathologic findings in vesical diverticulum: implications for pathogenesis and staging. </w:t>
      </w:r>
      <w:r>
        <w:rPr>
          <w:i/>
        </w:rPr>
        <w:t>Human Pathology</w:t>
      </w:r>
      <w:r>
        <w:t xml:space="preserve">, </w:t>
      </w:r>
      <w:r>
        <w:rPr>
          <w:i/>
        </w:rPr>
        <w:t>44</w:t>
      </w:r>
      <w:r>
        <w:t xml:space="preserve">(7), 1223–1232. </w:t>
      </w:r>
    </w:p>
    <w:p w:rsidR="004A6823" w:rsidRDefault="00F54A3E">
      <w:pPr>
        <w:spacing w:after="0" w:line="259" w:lineRule="auto"/>
        <w:ind w:left="715"/>
        <w:jc w:val="left"/>
      </w:pPr>
      <w:hyperlink r:id="rId23">
        <w:r>
          <w:rPr>
            <w:color w:val="0000FF"/>
            <w:u w:val="single" w:color="0000FF"/>
          </w:rPr>
          <w:t>https://doi.org/10.1016/J.HUMPATH.2012.11.005</w:t>
        </w:r>
      </w:hyperlink>
      <w:hyperlink r:id="rId24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ind w:right="288" w:hanging="348"/>
        <w:jc w:val="left"/>
      </w:pPr>
      <w:r>
        <w:t xml:space="preserve">Psutka, S. P., &amp; Cendron, M. (2013). Bladder diverticula in children. </w:t>
      </w:r>
      <w:r>
        <w:rPr>
          <w:i/>
        </w:rPr>
        <w:t>Journal of Pediatric Urology</w:t>
      </w:r>
      <w:r>
        <w:t xml:space="preserve">, </w:t>
      </w:r>
      <w:r>
        <w:rPr>
          <w:i/>
        </w:rPr>
        <w:t>9</w:t>
      </w:r>
      <w:r>
        <w:t xml:space="preserve">(2), 129–138. </w:t>
      </w:r>
      <w:hyperlink r:id="rId25">
        <w:r>
          <w:rPr>
            <w:color w:val="0000FF"/>
            <w:u w:val="single" w:color="0000FF"/>
          </w:rPr>
          <w:t>https://doi.org/10.1016/J.JPUROL.2012.02.013</w:t>
        </w:r>
      </w:hyperlink>
      <w:hyperlink r:id="rId26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>Evangelidis, A., Castle, E. P., Ostlie, D. J., Snyder, C. L., Gatti</w:t>
      </w:r>
      <w:r>
        <w:t xml:space="preserve">, J. M., &amp; Murphy, J. P. (2005). Surgical management of primary bladder diverticula in children. </w:t>
      </w:r>
      <w:r>
        <w:rPr>
          <w:i/>
        </w:rPr>
        <w:t>Journal of Pediatric Surgery</w:t>
      </w:r>
      <w:r>
        <w:t xml:space="preserve">, </w:t>
      </w:r>
      <w:r>
        <w:rPr>
          <w:i/>
        </w:rPr>
        <w:t>40</w:t>
      </w:r>
      <w:r>
        <w:t xml:space="preserve">(4), 701–703. </w:t>
      </w:r>
      <w:hyperlink r:id="rId27">
        <w:r>
          <w:rPr>
            <w:color w:val="0000FF"/>
            <w:u w:val="single" w:color="0000FF"/>
          </w:rPr>
          <w:t>https://doi.org/10.1016/j.jpedsurg.2005.01.003</w:t>
        </w:r>
      </w:hyperlink>
      <w:hyperlink r:id="rId28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 xml:space="preserve">Pieretti, R. v., &amp; Pieretti-Vanmarcke, R. v. (1999). Congenital bladder diverticula in children. </w:t>
      </w:r>
      <w:r>
        <w:rPr>
          <w:i/>
        </w:rPr>
        <w:t>Journal of Pediatric Surgery</w:t>
      </w:r>
      <w:r>
        <w:t xml:space="preserve">, </w:t>
      </w:r>
      <w:r>
        <w:rPr>
          <w:i/>
        </w:rPr>
        <w:t>34</w:t>
      </w:r>
      <w:r>
        <w:t xml:space="preserve">(3), 468–473. </w:t>
      </w:r>
      <w:hyperlink r:id="rId29">
        <w:r>
          <w:rPr>
            <w:color w:val="0000FF"/>
            <w:u w:val="single" w:color="0000FF"/>
          </w:rPr>
          <w:t>https://doi.org/10.1016/S0022</w:t>
        </w:r>
      </w:hyperlink>
      <w:hyperlink r:id="rId30"/>
      <w:hyperlink r:id="rId31">
        <w:r>
          <w:rPr>
            <w:color w:val="0000FF"/>
            <w:u w:val="single" w:color="0000FF"/>
          </w:rPr>
          <w:t>3468(99)90501</w:t>
        </w:r>
      </w:hyperlink>
      <w:hyperlink r:id="rId32">
        <w:r>
          <w:rPr>
            <w:color w:val="0000FF"/>
            <w:u w:val="single" w:color="0000FF"/>
          </w:rPr>
          <w:t>-</w:t>
        </w:r>
      </w:hyperlink>
      <w:hyperlink r:id="rId33">
        <w:r>
          <w:rPr>
            <w:color w:val="0000FF"/>
            <w:u w:val="single" w:color="0000FF"/>
          </w:rPr>
          <w:t>8</w:t>
        </w:r>
      </w:hyperlink>
      <w:hyperlink r:id="rId34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ind w:right="288" w:hanging="348"/>
        <w:jc w:val="left"/>
      </w:pPr>
      <w:r>
        <w:t xml:space="preserve">Cermak, S., &amp; Putman, S. (2018). [Micturition Complaints in Men: One Symptom, Multiple Causes]. </w:t>
      </w:r>
      <w:r>
        <w:rPr>
          <w:i/>
        </w:rPr>
        <w:t>Praxis</w:t>
      </w:r>
      <w:r>
        <w:t xml:space="preserve">, </w:t>
      </w:r>
      <w:r>
        <w:rPr>
          <w:i/>
        </w:rPr>
        <w:t>107</w:t>
      </w:r>
      <w:r>
        <w:t xml:space="preserve">(11), 593–598. </w:t>
      </w:r>
      <w:r>
        <w:t xml:space="preserve">https://doi.org/10.1024/1661-8157/A002974 </w:t>
      </w:r>
    </w:p>
    <w:p w:rsidR="004A6823" w:rsidRDefault="00F54A3E">
      <w:pPr>
        <w:numPr>
          <w:ilvl w:val="0"/>
          <w:numId w:val="13"/>
        </w:numPr>
        <w:spacing w:after="38"/>
        <w:ind w:right="288" w:hanging="348"/>
        <w:jc w:val="left"/>
      </w:pPr>
      <w:r>
        <w:t xml:space="preserve">Halaseh, S. A., &amp; Leslie, S. W. (2023). Bladder Diverticulum. Uropathology, Second Edition, 195–196. </w:t>
      </w:r>
      <w:hyperlink r:id="rId35">
        <w:r>
          <w:rPr>
            <w:color w:val="0000FF"/>
            <w:u w:val="single" w:color="0000FF"/>
          </w:rPr>
          <w:t>https://doi.org/10.1016/B978</w:t>
        </w:r>
      </w:hyperlink>
      <w:hyperlink r:id="rId36">
        <w:r>
          <w:rPr>
            <w:color w:val="0000FF"/>
            <w:u w:val="single" w:color="0000FF"/>
          </w:rPr>
          <w:t>-</w:t>
        </w:r>
      </w:hyperlink>
      <w:hyperlink r:id="rId37">
        <w:r>
          <w:rPr>
            <w:color w:val="0000FF"/>
            <w:u w:val="single" w:color="0000FF"/>
          </w:rPr>
          <w:t>0</w:t>
        </w:r>
      </w:hyperlink>
      <w:hyperlink r:id="rId38">
        <w:r>
          <w:rPr>
            <w:color w:val="0000FF"/>
            <w:u w:val="single" w:color="0000FF"/>
          </w:rPr>
          <w:t>-</w:t>
        </w:r>
      </w:hyperlink>
      <w:hyperlink r:id="rId39">
        <w:r>
          <w:rPr>
            <w:color w:val="0000FF"/>
            <w:u w:val="single" w:color="0000FF"/>
          </w:rPr>
          <w:t>323</w:t>
        </w:r>
      </w:hyperlink>
      <w:hyperlink r:id="rId40">
        <w:r>
          <w:rPr>
            <w:color w:val="0000FF"/>
            <w:u w:val="single" w:color="0000FF"/>
          </w:rPr>
          <w:t>-</w:t>
        </w:r>
      </w:hyperlink>
      <w:hyperlink r:id="rId41">
        <w:r>
          <w:rPr>
            <w:color w:val="0000FF"/>
            <w:u w:val="single" w:color="0000FF"/>
          </w:rPr>
          <w:t>65395</w:t>
        </w:r>
      </w:hyperlink>
      <w:hyperlink r:id="rId42">
        <w:r>
          <w:rPr>
            <w:color w:val="0000FF"/>
            <w:u w:val="single" w:color="0000FF"/>
          </w:rPr>
          <w:t>-</w:t>
        </w:r>
      </w:hyperlink>
      <w:hyperlink r:id="rId43">
        <w:r>
          <w:rPr>
            <w:color w:val="0000FF"/>
            <w:u w:val="single" w:color="0000FF"/>
          </w:rPr>
          <w:t>4.00093</w:t>
        </w:r>
      </w:hyperlink>
      <w:hyperlink r:id="rId44">
        <w:r>
          <w:rPr>
            <w:color w:val="0000FF"/>
            <w:u w:val="single" w:color="0000FF"/>
          </w:rPr>
          <w:t>-</w:t>
        </w:r>
      </w:hyperlink>
      <w:hyperlink r:id="rId45">
        <w:r>
          <w:rPr>
            <w:color w:val="0000FF"/>
            <w:u w:val="single" w:color="0000FF"/>
          </w:rPr>
          <w:t>2</w:t>
        </w:r>
      </w:hyperlink>
      <w:hyperlink r:id="rId46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29"/>
        <w:ind w:right="288" w:hanging="348"/>
        <w:jc w:val="left"/>
      </w:pPr>
      <w:r>
        <w:t xml:space="preserve">Дивертикулы нижних и верхних мочевых путей. под редакцией А.Г. Мартова – Москва: Мегаполис – 120 с.  </w:t>
      </w:r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>Clayman, R. v., Shahin, S., Reddy, P., &amp; Fraley, E. E. (1984). Transurethral treatment of bladder diverticula. Alternativ</w:t>
      </w:r>
      <w:r>
        <w:t xml:space="preserve">e to open diverticulectomy. </w:t>
      </w:r>
      <w:r>
        <w:rPr>
          <w:i/>
        </w:rPr>
        <w:t>Urology</w:t>
      </w:r>
      <w:r>
        <w:t xml:space="preserve">, </w:t>
      </w:r>
      <w:r>
        <w:rPr>
          <w:i/>
        </w:rPr>
        <w:t>23</w:t>
      </w:r>
      <w:r>
        <w:t xml:space="preserve">(6), 573–577. </w:t>
      </w:r>
      <w:hyperlink r:id="rId47">
        <w:r>
          <w:rPr>
            <w:color w:val="0000FF"/>
            <w:u w:val="single" w:color="0000FF"/>
          </w:rPr>
          <w:t>https://doi.org/10.1016/0090</w:t>
        </w:r>
      </w:hyperlink>
      <w:hyperlink r:id="rId48">
        <w:r>
          <w:rPr>
            <w:color w:val="0000FF"/>
            <w:u w:val="single" w:color="0000FF"/>
          </w:rPr>
          <w:t>-</w:t>
        </w:r>
      </w:hyperlink>
      <w:hyperlink r:id="rId49">
        <w:r>
          <w:rPr>
            <w:color w:val="0000FF"/>
            <w:u w:val="single" w:color="0000FF"/>
          </w:rPr>
          <w:t>4295(84)90073</w:t>
        </w:r>
      </w:hyperlink>
      <w:hyperlink r:id="rId50">
        <w:r>
          <w:rPr>
            <w:color w:val="0000FF"/>
            <w:u w:val="single" w:color="0000FF"/>
          </w:rPr>
          <w:t>-</w:t>
        </w:r>
      </w:hyperlink>
      <w:hyperlink r:id="rId51">
        <w:r>
          <w:rPr>
            <w:color w:val="0000FF"/>
            <w:u w:val="single" w:color="0000FF"/>
          </w:rPr>
          <w:t>6</w:t>
        </w:r>
      </w:hyperlink>
      <w:hyperlink r:id="rId52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>Jacq, C., Hubeaux, K., &amp; Rama</w:t>
      </w:r>
      <w:r>
        <w:t xml:space="preserve">nantsitonta, J. (2021). [Multiple sclerosis and intermittent self-catheterization]. </w:t>
      </w:r>
      <w:r>
        <w:rPr>
          <w:i/>
        </w:rPr>
        <w:t>Progres En Urologie : Journal de l’Association Francaise d’urologie et de La Societe Francaise d’urologie</w:t>
      </w:r>
      <w:r>
        <w:t xml:space="preserve">, </w:t>
      </w:r>
      <w:r>
        <w:rPr>
          <w:i/>
        </w:rPr>
        <w:t>31</w:t>
      </w:r>
      <w:r>
        <w:t xml:space="preserve">(4), 195–203. </w:t>
      </w:r>
    </w:p>
    <w:p w:rsidR="004A6823" w:rsidRDefault="00F54A3E">
      <w:pPr>
        <w:spacing w:after="0" w:line="259" w:lineRule="auto"/>
        <w:ind w:left="715"/>
        <w:jc w:val="left"/>
      </w:pPr>
      <w:hyperlink r:id="rId53">
        <w:r>
          <w:rPr>
            <w:color w:val="0000FF"/>
            <w:u w:val="single" w:color="0000FF"/>
          </w:rPr>
          <w:t>https://doi.org/10.1016/J.PUROL.2020.11.001</w:t>
        </w:r>
      </w:hyperlink>
      <w:hyperlink r:id="rId54">
        <w:r>
          <w:t xml:space="preserve"> </w:t>
        </w:r>
      </w:hyperlink>
    </w:p>
    <w:p w:rsidR="004A6823" w:rsidRDefault="00F54A3E">
      <w:pPr>
        <w:numPr>
          <w:ilvl w:val="0"/>
          <w:numId w:val="13"/>
        </w:numPr>
        <w:spacing w:after="3"/>
        <w:ind w:right="288" w:hanging="348"/>
        <w:jc w:val="left"/>
      </w:pPr>
      <w:r>
        <w:t>Porpiglia, F., Tarabuzzi, R., Cossu, M., Vacca, F., Terrone, C., Fiori, C., &amp; Scarpa, R. M. (2004). Is laparoscopic bladder diverticu</w:t>
      </w:r>
      <w:r>
        <w:t xml:space="preserve">lectomy after transurethral resection of the prostate safe and effective? Comparison with open surgery. </w:t>
      </w:r>
      <w:r>
        <w:rPr>
          <w:i/>
        </w:rPr>
        <w:t>Journal of Endourology</w:t>
      </w:r>
      <w:r>
        <w:t xml:space="preserve">, </w:t>
      </w:r>
    </w:p>
    <w:p w:rsidR="004A6823" w:rsidRDefault="00F54A3E">
      <w:pPr>
        <w:pStyle w:val="Heading2"/>
        <w:spacing w:after="0" w:line="259" w:lineRule="auto"/>
        <w:ind w:left="715"/>
      </w:pPr>
      <w:r>
        <w:rPr>
          <w:b w:val="0"/>
          <w:i/>
          <w:u w:val="none"/>
        </w:rPr>
        <w:t>18</w:t>
      </w:r>
      <w:r>
        <w:rPr>
          <w:b w:val="0"/>
          <w:u w:val="none"/>
        </w:rPr>
        <w:t xml:space="preserve">(1), 73–76. </w:t>
      </w:r>
      <w:hyperlink r:id="rId55">
        <w:r>
          <w:rPr>
            <w:b w:val="0"/>
            <w:color w:val="0000FF"/>
            <w:u w:color="0000FF"/>
          </w:rPr>
          <w:t>https://doi.org/10.1089/089277904322836721</w:t>
        </w:r>
      </w:hyperlink>
      <w:hyperlink r:id="rId56">
        <w:r>
          <w:rPr>
            <w:b w:val="0"/>
            <w:u w:val="none"/>
          </w:rPr>
          <w:t xml:space="preserve"> </w:t>
        </w:r>
      </w:hyperlink>
    </w:p>
    <w:p w:rsidR="004A6823" w:rsidRDefault="00F54A3E">
      <w:pPr>
        <w:ind w:left="720" w:right="307" w:hanging="360"/>
      </w:pPr>
      <w:r>
        <w:t>15.</w:t>
      </w:r>
      <w:r>
        <w:rPr>
          <w:rFonts w:ascii="Arial" w:eastAsia="Arial" w:hAnsi="Arial" w:cs="Arial"/>
        </w:rPr>
        <w:t xml:space="preserve"> </w:t>
      </w:r>
      <w:r>
        <w:t xml:space="preserve">Magera, J. S., Adam Childs, M., &amp; Frank, I. (2008). Robot-assisted laparoscopic transvesical diverticulectomy and simple prostatectomy. </w:t>
      </w:r>
      <w:r>
        <w:rPr>
          <w:i/>
        </w:rPr>
        <w:t>Journal of Robotic Surgery</w:t>
      </w:r>
      <w:r>
        <w:t xml:space="preserve">, </w:t>
      </w:r>
    </w:p>
    <w:p w:rsidR="004A6823" w:rsidRDefault="00F54A3E">
      <w:pPr>
        <w:pStyle w:val="Heading2"/>
        <w:spacing w:after="0" w:line="259" w:lineRule="auto"/>
        <w:ind w:left="715"/>
      </w:pPr>
      <w:r>
        <w:rPr>
          <w:b w:val="0"/>
          <w:i/>
          <w:u w:val="none"/>
        </w:rPr>
        <w:t>2</w:t>
      </w:r>
      <w:r>
        <w:rPr>
          <w:b w:val="0"/>
          <w:u w:val="none"/>
        </w:rPr>
        <w:t xml:space="preserve">(3), 205–208. </w:t>
      </w:r>
      <w:hyperlink r:id="rId57">
        <w:r>
          <w:rPr>
            <w:b w:val="0"/>
            <w:color w:val="0000FF"/>
            <w:u w:color="0000FF"/>
          </w:rPr>
          <w:t>https://doi.org/10.1007/S11701</w:t>
        </w:r>
      </w:hyperlink>
      <w:hyperlink r:id="rId58">
        <w:r>
          <w:rPr>
            <w:b w:val="0"/>
            <w:color w:val="0000FF"/>
            <w:u w:color="0000FF"/>
          </w:rPr>
          <w:t>-</w:t>
        </w:r>
      </w:hyperlink>
      <w:hyperlink r:id="rId59">
        <w:r>
          <w:rPr>
            <w:b w:val="0"/>
            <w:color w:val="0000FF"/>
            <w:u w:color="0000FF"/>
          </w:rPr>
          <w:t>008</w:t>
        </w:r>
      </w:hyperlink>
      <w:hyperlink r:id="rId60">
        <w:r>
          <w:rPr>
            <w:b w:val="0"/>
            <w:color w:val="0000FF"/>
            <w:u w:color="0000FF"/>
          </w:rPr>
          <w:t>-</w:t>
        </w:r>
      </w:hyperlink>
      <w:hyperlink r:id="rId61">
        <w:r>
          <w:rPr>
            <w:b w:val="0"/>
            <w:color w:val="0000FF"/>
            <w:u w:color="0000FF"/>
          </w:rPr>
          <w:t>0100</w:t>
        </w:r>
      </w:hyperlink>
      <w:hyperlink r:id="rId62">
        <w:r>
          <w:rPr>
            <w:b w:val="0"/>
            <w:color w:val="0000FF"/>
            <w:u w:color="0000FF"/>
          </w:rPr>
          <w:t>-</w:t>
        </w:r>
      </w:hyperlink>
      <w:hyperlink r:id="rId63">
        <w:r>
          <w:rPr>
            <w:b w:val="0"/>
            <w:color w:val="0000FF"/>
            <w:u w:color="0000FF"/>
          </w:rPr>
          <w:t>Z</w:t>
        </w:r>
      </w:hyperlink>
      <w:hyperlink r:id="rId64">
        <w:r>
          <w:rPr>
            <w:b w:val="0"/>
            <w:u w:val="none"/>
          </w:rPr>
          <w:t xml:space="preserve"> </w:t>
        </w:r>
      </w:hyperlink>
    </w:p>
    <w:p w:rsidR="004A6823" w:rsidRDefault="00F54A3E">
      <w:pPr>
        <w:numPr>
          <w:ilvl w:val="0"/>
          <w:numId w:val="14"/>
        </w:numPr>
        <w:spacing w:after="3"/>
        <w:ind w:right="288" w:hanging="348"/>
        <w:jc w:val="left"/>
      </w:pPr>
      <w:r>
        <w:t xml:space="preserve">Myer, E. G., &amp; Wagner, J. R. (2007). Robotic assisted laparoscopic bladder diverticulectomy. </w:t>
      </w:r>
      <w:r>
        <w:rPr>
          <w:i/>
        </w:rPr>
        <w:t>The Journal of Urology</w:t>
      </w:r>
      <w:r>
        <w:t xml:space="preserve">, </w:t>
      </w:r>
      <w:r>
        <w:rPr>
          <w:i/>
        </w:rPr>
        <w:t>178</w:t>
      </w:r>
      <w:r>
        <w:t xml:space="preserve">(6), 2406–2410. </w:t>
      </w:r>
      <w:hyperlink r:id="rId65">
        <w:r>
          <w:rPr>
            <w:color w:val="0000FF"/>
            <w:u w:val="single" w:color="0000FF"/>
          </w:rPr>
          <w:t>https://doi.org/10.1016/J.JURO.2007.08.012</w:t>
        </w:r>
      </w:hyperlink>
      <w:hyperlink r:id="rId66">
        <w:r>
          <w:t xml:space="preserve"> </w:t>
        </w:r>
      </w:hyperlink>
    </w:p>
    <w:p w:rsidR="004A6823" w:rsidRDefault="00F54A3E">
      <w:pPr>
        <w:numPr>
          <w:ilvl w:val="0"/>
          <w:numId w:val="14"/>
        </w:numPr>
        <w:spacing w:after="3"/>
        <w:ind w:right="288" w:hanging="348"/>
        <w:jc w:val="left"/>
      </w:pPr>
      <w:r>
        <w:t>Pacella, M., Mantica, G., Maffezzini, M., Justich, M., Traverso, P., de Angelis, P., Gallo, F., Ackermann, H., Zaramella, S., &amp; Terrone, C. (2018). Large bladder diverticula: a comparison between lap</w:t>
      </w:r>
      <w:r>
        <w:t xml:space="preserve">aroscopic excision and endoscopic fulguration. </w:t>
      </w:r>
      <w:r>
        <w:rPr>
          <w:i/>
        </w:rPr>
        <w:t xml:space="preserve">Scandinavian </w:t>
      </w:r>
    </w:p>
    <w:p w:rsidR="004A6823" w:rsidRDefault="00F54A3E">
      <w:pPr>
        <w:spacing w:after="3"/>
        <w:ind w:left="345" w:right="288" w:firstLine="360"/>
        <w:jc w:val="left"/>
      </w:pPr>
      <w:r>
        <w:rPr>
          <w:i/>
        </w:rPr>
        <w:t>Journal of Urology</w:t>
      </w:r>
      <w:r>
        <w:t xml:space="preserve">, </w:t>
      </w:r>
      <w:r>
        <w:rPr>
          <w:i/>
        </w:rPr>
        <w:t>52</w:t>
      </w:r>
      <w:r>
        <w:t xml:space="preserve">(2), 134–138. </w:t>
      </w:r>
      <w:hyperlink r:id="rId67">
        <w:r>
          <w:rPr>
            <w:color w:val="0000FF"/>
            <w:u w:val="single" w:color="0000FF"/>
          </w:rPr>
          <w:t>https://doi.org/10.1080/21681805.2017.1422014</w:t>
        </w:r>
      </w:hyperlink>
      <w:hyperlink r:id="rId68">
        <w:r>
          <w:t xml:space="preserve"> </w:t>
        </w:r>
      </w:hyperlink>
      <w:r>
        <w:t xml:space="preserve"> 18.</w:t>
      </w:r>
      <w:r>
        <w:rPr>
          <w:rFonts w:ascii="Arial" w:eastAsia="Arial" w:hAnsi="Arial" w:cs="Arial"/>
        </w:rPr>
        <w:t xml:space="preserve"> </w:t>
      </w:r>
      <w:r>
        <w:t xml:space="preserve">Baniel, J., &amp; Vishna, T. (1997). Primary transitional cell carcinoma in vesical diverticula. </w:t>
      </w:r>
      <w:r>
        <w:rPr>
          <w:i/>
        </w:rPr>
        <w:t>Urology</w:t>
      </w:r>
      <w:r>
        <w:t xml:space="preserve">, </w:t>
      </w:r>
      <w:r>
        <w:rPr>
          <w:i/>
        </w:rPr>
        <w:t>50</w:t>
      </w:r>
      <w:r>
        <w:t xml:space="preserve">(5), 697–699. </w:t>
      </w:r>
      <w:hyperlink r:id="rId69">
        <w:r>
          <w:rPr>
            <w:color w:val="0000FF"/>
            <w:u w:val="single" w:color="0000FF"/>
          </w:rPr>
          <w:t>http</w:t>
        </w:r>
        <w:r>
          <w:rPr>
            <w:color w:val="0000FF"/>
            <w:u w:val="single" w:color="0000FF"/>
          </w:rPr>
          <w:t>s://doi.org/10.1016/S0090</w:t>
        </w:r>
      </w:hyperlink>
      <w:hyperlink r:id="rId70">
        <w:r>
          <w:rPr>
            <w:color w:val="0000FF"/>
            <w:u w:val="single" w:color="0000FF"/>
          </w:rPr>
          <w:t>-</w:t>
        </w:r>
      </w:hyperlink>
      <w:hyperlink r:id="rId71">
        <w:r>
          <w:rPr>
            <w:color w:val="0000FF"/>
            <w:u w:val="single" w:color="0000FF"/>
          </w:rPr>
          <w:t>4295(97)00319</w:t>
        </w:r>
      </w:hyperlink>
      <w:hyperlink r:id="rId72">
        <w:r>
          <w:rPr>
            <w:color w:val="0000FF"/>
            <w:u w:val="single" w:color="0000FF"/>
          </w:rPr>
          <w:t>-</w:t>
        </w:r>
      </w:hyperlink>
      <w:hyperlink r:id="rId73">
        <w:r>
          <w:rPr>
            <w:color w:val="0000FF"/>
            <w:u w:val="single" w:color="0000FF"/>
          </w:rPr>
          <w:t>1</w:t>
        </w:r>
      </w:hyperlink>
      <w:hyperlink r:id="rId74">
        <w:r>
          <w:t xml:space="preserve"> </w:t>
        </w:r>
      </w:hyperlink>
      <w:r>
        <w:t xml:space="preserve"> </w:t>
      </w:r>
    </w:p>
    <w:p w:rsidR="004A6823" w:rsidRDefault="00F54A3E">
      <w:pPr>
        <w:numPr>
          <w:ilvl w:val="0"/>
          <w:numId w:val="15"/>
        </w:numPr>
        <w:spacing w:after="3"/>
        <w:ind w:right="288" w:hanging="348"/>
        <w:jc w:val="left"/>
      </w:pPr>
      <w:r>
        <w:t>Tamas, E. F., Stephenson, A. J., Campbell, S. C., Montague, D. K., Trusty, D. C., &amp; Hansel, D. E. (2009). Histopathologic features and clinical</w:t>
      </w:r>
      <w:r>
        <w:t xml:space="preserve"> outcomes in 71 cases of bladder diverticula. </w:t>
      </w:r>
      <w:r>
        <w:rPr>
          <w:i/>
        </w:rPr>
        <w:t>Archives of Pathology &amp; Laboratory Medicine</w:t>
      </w:r>
      <w:r>
        <w:t xml:space="preserve">, </w:t>
      </w:r>
      <w:r>
        <w:rPr>
          <w:i/>
        </w:rPr>
        <w:t>133</w:t>
      </w:r>
      <w:r>
        <w:t xml:space="preserve">(5), 791–796. </w:t>
      </w:r>
      <w:hyperlink r:id="rId75">
        <w:r>
          <w:rPr>
            <w:color w:val="0000FF"/>
            <w:u w:val="single" w:color="0000FF"/>
          </w:rPr>
          <w:t>https://doi.org/10.5858/133.5.791</w:t>
        </w:r>
      </w:hyperlink>
      <w:hyperlink r:id="rId76">
        <w:r>
          <w:t xml:space="preserve"> </w:t>
        </w:r>
      </w:hyperlink>
      <w:r>
        <w:t xml:space="preserve"> </w:t>
      </w:r>
    </w:p>
    <w:p w:rsidR="004A6823" w:rsidRDefault="00F54A3E">
      <w:pPr>
        <w:numPr>
          <w:ilvl w:val="0"/>
          <w:numId w:val="15"/>
        </w:numPr>
        <w:ind w:right="288" w:hanging="348"/>
        <w:jc w:val="left"/>
      </w:pPr>
      <w:r>
        <w:t>Bourgi</w:t>
      </w:r>
      <w:r>
        <w:t xml:space="preserve">, A., Ayoub, E., &amp; Merhej, S. (2016). Diverticulectomy in the Management of Intradiverticular Bladder Tumors: A Twelve-Year Experience at a Single Institution. </w:t>
      </w:r>
    </w:p>
    <w:p w:rsidR="004A6823" w:rsidRDefault="00F54A3E">
      <w:pPr>
        <w:spacing w:after="3" w:line="259" w:lineRule="auto"/>
        <w:ind w:right="587"/>
        <w:jc w:val="center"/>
      </w:pPr>
      <w:r>
        <w:rPr>
          <w:i/>
        </w:rPr>
        <w:t>Advances in Urology</w:t>
      </w:r>
      <w:r>
        <w:t xml:space="preserve">, </w:t>
      </w:r>
      <w:r>
        <w:rPr>
          <w:i/>
        </w:rPr>
        <w:t>2016</w:t>
      </w:r>
      <w:r>
        <w:t xml:space="preserve">(1), 2345306. </w:t>
      </w:r>
      <w:hyperlink r:id="rId77">
        <w:r>
          <w:rPr>
            <w:color w:val="0000FF"/>
            <w:u w:val="single" w:color="0000FF"/>
          </w:rPr>
          <w:t>https://doi.org/10.1155/2016/2345306</w:t>
        </w:r>
      </w:hyperlink>
      <w:hyperlink r:id="rId78">
        <w:r>
          <w:t xml:space="preserve"> </w:t>
        </w:r>
      </w:hyperlink>
      <w:r>
        <w:t xml:space="preserve"> </w:t>
      </w:r>
    </w:p>
    <w:p w:rsidR="004A6823" w:rsidRDefault="00F54A3E">
      <w:pPr>
        <w:numPr>
          <w:ilvl w:val="0"/>
          <w:numId w:val="15"/>
        </w:numPr>
        <w:spacing w:after="3"/>
        <w:ind w:right="288" w:hanging="348"/>
        <w:jc w:val="left"/>
      </w:pPr>
      <w:r>
        <w:t>Dondalski, M., White, E. M., Ghahremani, G. G., Patel, S. K., Dondalski, M., White, E. M., Ghahremani, G. G., &amp; Patel, S. K. (2013). Carcinoma arising in urinary</w:t>
      </w:r>
      <w:r>
        <w:t xml:space="preserve"> bladder diverticula: imaging findings in six patients. </w:t>
      </w:r>
      <w:r>
        <w:rPr>
          <w:i/>
        </w:rPr>
        <w:t>Https://Doi.Org/10.2214/Ajr.161.4.8372767</w:t>
      </w:r>
      <w:r>
        <w:t xml:space="preserve">, </w:t>
      </w:r>
    </w:p>
    <w:p w:rsidR="004A6823" w:rsidRDefault="00F54A3E">
      <w:pPr>
        <w:pStyle w:val="Heading2"/>
        <w:spacing w:after="0" w:line="259" w:lineRule="auto"/>
        <w:ind w:left="715"/>
      </w:pPr>
      <w:r>
        <w:rPr>
          <w:b w:val="0"/>
          <w:i/>
          <w:u w:val="none"/>
        </w:rPr>
        <w:t>161</w:t>
      </w:r>
      <w:r>
        <w:rPr>
          <w:b w:val="0"/>
          <w:u w:val="none"/>
        </w:rPr>
        <w:t xml:space="preserve">(4), 817–820. </w:t>
      </w:r>
      <w:hyperlink r:id="rId79">
        <w:r>
          <w:rPr>
            <w:b w:val="0"/>
            <w:color w:val="0000FF"/>
            <w:u w:color="0000FF"/>
          </w:rPr>
          <w:t>https://doi.org/10.2214/AJR.161.4.8372767</w:t>
        </w:r>
      </w:hyperlink>
      <w:hyperlink r:id="rId80">
        <w:r>
          <w:rPr>
            <w:b w:val="0"/>
            <w:u w:val="none"/>
          </w:rPr>
          <w:t xml:space="preserve"> </w:t>
        </w:r>
      </w:hyperlink>
      <w:r>
        <w:rPr>
          <w:b w:val="0"/>
          <w:u w:val="none"/>
        </w:rPr>
        <w:t xml:space="preserve"> </w:t>
      </w:r>
    </w:p>
    <w:p w:rsidR="004A6823" w:rsidRDefault="00F54A3E">
      <w:pPr>
        <w:numPr>
          <w:ilvl w:val="0"/>
          <w:numId w:val="16"/>
        </w:numPr>
        <w:spacing w:after="38"/>
        <w:ind w:right="288" w:hanging="348"/>
        <w:jc w:val="left"/>
      </w:pPr>
      <w:r>
        <w:t xml:space="preserve">Melekos, M. D., Asbach, H. W., &amp; Barbalias, G. A. (1987). Vesical diverticula: Etiology, diagnosis, tumorigenesis, and treatment: Analysis of 74 cases. </w:t>
      </w:r>
      <w:r>
        <w:rPr>
          <w:i/>
        </w:rPr>
        <w:t>Urology</w:t>
      </w:r>
      <w:r>
        <w:t xml:space="preserve">, </w:t>
      </w:r>
      <w:r>
        <w:rPr>
          <w:i/>
        </w:rPr>
        <w:t>30</w:t>
      </w:r>
      <w:r>
        <w:t xml:space="preserve">(5), 453–457. </w:t>
      </w:r>
      <w:hyperlink r:id="rId81">
        <w:r>
          <w:rPr>
            <w:color w:val="0000FF"/>
            <w:u w:val="single" w:color="0000FF"/>
          </w:rPr>
          <w:t>https://doi.org/10.1016/0090</w:t>
        </w:r>
      </w:hyperlink>
      <w:hyperlink r:id="rId82">
        <w:r>
          <w:rPr>
            <w:color w:val="0000FF"/>
            <w:u w:val="single" w:color="0000FF"/>
          </w:rPr>
          <w:t>-</w:t>
        </w:r>
      </w:hyperlink>
      <w:hyperlink r:id="rId83">
        <w:r>
          <w:rPr>
            <w:color w:val="0000FF"/>
            <w:u w:val="single" w:color="0000FF"/>
          </w:rPr>
          <w:t>4295(87)90378</w:t>
        </w:r>
      </w:hyperlink>
      <w:hyperlink r:id="rId84">
        <w:r>
          <w:rPr>
            <w:color w:val="0000FF"/>
            <w:u w:val="single" w:color="0000FF"/>
          </w:rPr>
          <w:t>-</w:t>
        </w:r>
      </w:hyperlink>
      <w:hyperlink r:id="rId85">
        <w:r>
          <w:rPr>
            <w:color w:val="0000FF"/>
            <w:u w:val="single" w:color="0000FF"/>
          </w:rPr>
          <w:t>5</w:t>
        </w:r>
      </w:hyperlink>
      <w:hyperlink r:id="rId86">
        <w:r>
          <w:t xml:space="preserve"> </w:t>
        </w:r>
      </w:hyperlink>
      <w:r>
        <w:t xml:space="preserve"> </w:t>
      </w:r>
    </w:p>
    <w:p w:rsidR="004A6823" w:rsidRDefault="00F54A3E">
      <w:pPr>
        <w:numPr>
          <w:ilvl w:val="0"/>
          <w:numId w:val="16"/>
        </w:numPr>
        <w:spacing w:after="3"/>
        <w:ind w:right="288" w:hanging="348"/>
        <w:jc w:val="left"/>
      </w:pPr>
      <w:r>
        <w:t xml:space="preserve">Poletajew, S., Krajewski, W., Adamowicz, J., Kołodziej, A., Zdrojowy, R., &amp; Radziszewski, P. (2020). Management of Intradiverticular Bladder Tumours: A Systematic Review. </w:t>
      </w:r>
      <w:r>
        <w:rPr>
          <w:i/>
        </w:rPr>
        <w:t>Urologia Internationalis</w:t>
      </w:r>
      <w:r>
        <w:t xml:space="preserve">, </w:t>
      </w:r>
      <w:r>
        <w:rPr>
          <w:i/>
        </w:rPr>
        <w:t>104</w:t>
      </w:r>
      <w:r>
        <w:t xml:space="preserve">(1–2), 42–47. </w:t>
      </w:r>
      <w:hyperlink r:id="rId87">
        <w:r>
          <w:rPr>
            <w:color w:val="0000FF"/>
            <w:u w:val="single" w:color="0000FF"/>
          </w:rPr>
          <w:t>https://doi.org/10.1159/000503868</w:t>
        </w:r>
      </w:hyperlink>
      <w:hyperlink r:id="rId88">
        <w:r>
          <w:t xml:space="preserve"> </w:t>
        </w:r>
      </w:hyperlink>
      <w:r>
        <w:t xml:space="preserve"> </w:t>
      </w:r>
    </w:p>
    <w:p w:rsidR="004A6823" w:rsidRDefault="00F54A3E">
      <w:pPr>
        <w:numPr>
          <w:ilvl w:val="0"/>
          <w:numId w:val="16"/>
        </w:numPr>
        <w:spacing w:after="3"/>
        <w:ind w:right="288" w:hanging="348"/>
        <w:jc w:val="left"/>
      </w:pPr>
      <w:r>
        <w:t>di Paolo, P. L., Vargas, H. A., Karlo, C. A., Lakhman, Y., Zheng, J., Moskowitz, C. S., Al-Ahmadie, H. A., Sala, E., Bochner, B. H., &amp; Hricak, H. (2015). In</w:t>
      </w:r>
      <w:r>
        <w:t xml:space="preserve">tradiverticular bladder cancer: CT imaging features and their association with clinical outcomes. </w:t>
      </w:r>
      <w:r>
        <w:rPr>
          <w:i/>
        </w:rPr>
        <w:t>Clinical Imaging</w:t>
      </w:r>
      <w:r>
        <w:t xml:space="preserve">, </w:t>
      </w:r>
      <w:r>
        <w:rPr>
          <w:i/>
        </w:rPr>
        <w:t>39</w:t>
      </w:r>
      <w:r>
        <w:t xml:space="preserve">(1), 94–98. </w:t>
      </w:r>
      <w:hyperlink r:id="rId89">
        <w:r>
          <w:rPr>
            <w:color w:val="0000FF"/>
            <w:u w:val="single" w:color="0000FF"/>
          </w:rPr>
          <w:t>https://doi.org/10.1016/j.clinimag.2014.10.004</w:t>
        </w:r>
      </w:hyperlink>
      <w:hyperlink r:id="rId90">
        <w:r>
          <w:t xml:space="preserve"> </w:t>
        </w:r>
      </w:hyperlink>
    </w:p>
    <w:p w:rsidR="004A6823" w:rsidRDefault="00F54A3E">
      <w:pPr>
        <w:spacing w:after="0" w:line="259" w:lineRule="auto"/>
        <w:ind w:left="360" w:firstLine="0"/>
        <w:jc w:val="left"/>
      </w:pPr>
      <w:r>
        <w:t xml:space="preserve"> </w:t>
      </w:r>
    </w:p>
    <w:p w:rsidR="004A6823" w:rsidRDefault="00F54A3E">
      <w:pPr>
        <w:spacing w:after="0" w:line="259" w:lineRule="auto"/>
        <w:ind w:left="0" w:firstLine="0"/>
        <w:jc w:val="left"/>
      </w:pPr>
      <w:r>
        <w:t xml:space="preserve"> </w:t>
      </w:r>
      <w:r>
        <w:br w:type="page"/>
      </w:r>
    </w:p>
    <w:p w:rsidR="004A6823" w:rsidRDefault="00F54A3E">
      <w:pPr>
        <w:spacing w:after="0" w:line="401" w:lineRule="auto"/>
        <w:jc w:val="center"/>
      </w:pPr>
      <w:r>
        <w:rPr>
          <w:b/>
          <w:sz w:val="28"/>
        </w:rPr>
        <w:t xml:space="preserve">Приложение А1. Состав рабочей группы по разработке и пересмотру </w:t>
      </w:r>
    </w:p>
    <w:p w:rsidR="004A6823" w:rsidRDefault="00F54A3E">
      <w:pPr>
        <w:pStyle w:val="Heading1"/>
        <w:spacing w:line="401" w:lineRule="auto"/>
        <w:ind w:right="0"/>
      </w:pPr>
      <w:r>
        <w:t xml:space="preserve">клинических рекомендаций </w:t>
      </w:r>
    </w:p>
    <w:p w:rsidR="004A6823" w:rsidRDefault="00F54A3E">
      <w:pPr>
        <w:numPr>
          <w:ilvl w:val="0"/>
          <w:numId w:val="17"/>
        </w:numPr>
        <w:spacing w:line="381" w:lineRule="auto"/>
        <w:ind w:right="307" w:firstLine="708"/>
      </w:pPr>
      <w:r>
        <w:t xml:space="preserve">Попов Сергей Валерьевич – </w:t>
      </w:r>
      <w:r>
        <w:t>д.м.н., профессор, заслуженный врач РФ, главный врач СПб ГБУЗ Клиническая больница Святителя Луки, заведующий кафедрой хирургии и урологии им. Б.И. Мирошникова медицинского института СПб Медикосоциальный институт, профессор кафедры урологии Военно-медицинс</w:t>
      </w:r>
      <w:r>
        <w:t xml:space="preserve">кой академии имени С.М. Кирова МО РФ, член Российского общества урологов, член Российского общества онкоурологов. </w:t>
      </w:r>
    </w:p>
    <w:p w:rsidR="004A6823" w:rsidRDefault="00F54A3E">
      <w:pPr>
        <w:numPr>
          <w:ilvl w:val="0"/>
          <w:numId w:val="17"/>
        </w:numPr>
        <w:spacing w:line="377" w:lineRule="auto"/>
        <w:ind w:right="307" w:firstLine="708"/>
      </w:pPr>
      <w:r>
        <w:t xml:space="preserve">Гусейнов Руслан Гусейнович – к.м.н., заместитель главного врача по научной деятельности СПб ГБУЗ Клиническая больница Святителя Луки, доцент </w:t>
      </w:r>
      <w:r>
        <w:t xml:space="preserve">кафедры хирургии и урологии им. Б.И. Мирошникова медицинского института СПб Медикосоциальный институт, член Российского общества урологов, член Российского общества онкоурологов. </w:t>
      </w:r>
    </w:p>
    <w:p w:rsidR="004A6823" w:rsidRDefault="00F54A3E">
      <w:pPr>
        <w:numPr>
          <w:ilvl w:val="0"/>
          <w:numId w:val="17"/>
        </w:numPr>
        <w:spacing w:line="399" w:lineRule="auto"/>
        <w:ind w:right="307" w:firstLine="708"/>
      </w:pPr>
      <w:r>
        <w:t>Бештоев Ахмед Хатауович – научный сотрудник СПб ГБУЗ Клиническая больница Св</w:t>
      </w:r>
      <w:r>
        <w:t xml:space="preserve">ятителя Луки, член Российского общества урологов. </w:t>
      </w:r>
    </w:p>
    <w:p w:rsidR="004A6823" w:rsidRDefault="00F54A3E">
      <w:pPr>
        <w:numPr>
          <w:ilvl w:val="0"/>
          <w:numId w:val="17"/>
        </w:numPr>
        <w:spacing w:line="399" w:lineRule="auto"/>
        <w:ind w:right="307" w:firstLine="708"/>
      </w:pPr>
      <w:r>
        <w:t xml:space="preserve">Малышев Егор Алексеевич - научный сотрудник СПб ГБУЗ Клиническая больница Святителя Луки, член Российского общества урологов. </w:t>
      </w:r>
    </w:p>
    <w:p w:rsidR="004A6823" w:rsidRDefault="00F54A3E">
      <w:pPr>
        <w:spacing w:after="162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0" w:right="465" w:firstLine="0"/>
        <w:jc w:val="center"/>
      </w:pPr>
      <w:r>
        <w:t xml:space="preserve">Конфликт интересов: авторы заявляют об отсутствии конфликта интересов. </w:t>
      </w:r>
    </w:p>
    <w:p w:rsidR="004A6823" w:rsidRDefault="00F54A3E">
      <w:pPr>
        <w:spacing w:after="0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pStyle w:val="Heading1"/>
        <w:spacing w:after="133"/>
        <w:ind w:left="190" w:right="0"/>
        <w:jc w:val="left"/>
      </w:pPr>
      <w:r>
        <w:t xml:space="preserve">Приложение А2. Методология разработки клинических рекомендаций </w:t>
      </w:r>
    </w:p>
    <w:p w:rsidR="004A6823" w:rsidRDefault="00F54A3E">
      <w:pPr>
        <w:spacing w:after="151" w:line="264" w:lineRule="auto"/>
        <w:ind w:left="703"/>
        <w:jc w:val="left"/>
      </w:pPr>
      <w:r>
        <w:rPr>
          <w:b/>
          <w:u w:val="single" w:color="000000"/>
        </w:rPr>
        <w:t>Целевая аудитория данных клинических рекомендаций:</w:t>
      </w:r>
      <w:r>
        <w:t xml:space="preserve"> </w:t>
      </w:r>
    </w:p>
    <w:p w:rsidR="004A6823" w:rsidRDefault="00F54A3E">
      <w:pPr>
        <w:spacing w:after="164"/>
        <w:ind w:left="718" w:right="307"/>
      </w:pPr>
      <w:r>
        <w:t xml:space="preserve">1 Врачи-урологи. </w:t>
      </w:r>
    </w:p>
    <w:p w:rsidR="004A6823" w:rsidRDefault="00F54A3E">
      <w:pPr>
        <w:numPr>
          <w:ilvl w:val="0"/>
          <w:numId w:val="18"/>
        </w:numPr>
        <w:spacing w:after="167"/>
        <w:ind w:right="307" w:hanging="240"/>
      </w:pPr>
      <w:r>
        <w:t xml:space="preserve">Врачи-онкологи. </w:t>
      </w:r>
    </w:p>
    <w:p w:rsidR="004A6823" w:rsidRDefault="00F54A3E">
      <w:pPr>
        <w:numPr>
          <w:ilvl w:val="0"/>
          <w:numId w:val="18"/>
        </w:numPr>
        <w:spacing w:after="172"/>
        <w:ind w:right="307" w:hanging="240"/>
      </w:pPr>
      <w:r>
        <w:t xml:space="preserve">Врачи-терапевты. </w:t>
      </w:r>
    </w:p>
    <w:p w:rsidR="004A6823" w:rsidRDefault="00F54A3E">
      <w:pPr>
        <w:numPr>
          <w:ilvl w:val="0"/>
          <w:numId w:val="18"/>
        </w:numPr>
        <w:spacing w:after="167"/>
        <w:ind w:right="307" w:hanging="240"/>
      </w:pPr>
      <w:r>
        <w:t xml:space="preserve">Врачи общей врачебной практики (семейной медицины). </w:t>
      </w:r>
    </w:p>
    <w:p w:rsidR="004A6823" w:rsidRDefault="00F54A3E">
      <w:pPr>
        <w:numPr>
          <w:ilvl w:val="0"/>
          <w:numId w:val="18"/>
        </w:numPr>
        <w:spacing w:after="171"/>
        <w:ind w:right="307" w:hanging="240"/>
      </w:pPr>
      <w:r>
        <w:t xml:space="preserve">Врачи-хирурги. </w:t>
      </w:r>
    </w:p>
    <w:p w:rsidR="004A6823" w:rsidRDefault="00F54A3E">
      <w:pPr>
        <w:numPr>
          <w:ilvl w:val="0"/>
          <w:numId w:val="18"/>
        </w:numPr>
        <w:spacing w:after="168"/>
        <w:ind w:right="307" w:hanging="240"/>
      </w:pPr>
      <w:r>
        <w:t>Врачи – анестезиол</w:t>
      </w:r>
      <w:r>
        <w:t xml:space="preserve">оги-реаниматологи. </w:t>
      </w:r>
    </w:p>
    <w:p w:rsidR="004A6823" w:rsidRDefault="00F54A3E">
      <w:pPr>
        <w:numPr>
          <w:ilvl w:val="0"/>
          <w:numId w:val="18"/>
        </w:numPr>
        <w:spacing w:after="170"/>
        <w:ind w:right="307" w:hanging="240"/>
      </w:pPr>
      <w:r>
        <w:t xml:space="preserve">Врачи-радиологи. </w:t>
      </w:r>
    </w:p>
    <w:p w:rsidR="004A6823" w:rsidRDefault="00F54A3E">
      <w:pPr>
        <w:numPr>
          <w:ilvl w:val="0"/>
          <w:numId w:val="18"/>
        </w:numPr>
        <w:spacing w:after="167"/>
        <w:ind w:right="307" w:hanging="240"/>
      </w:pPr>
      <w:r>
        <w:t xml:space="preserve">Врачи-радиотерапевты. </w:t>
      </w:r>
    </w:p>
    <w:p w:rsidR="004A6823" w:rsidRDefault="00F54A3E">
      <w:pPr>
        <w:numPr>
          <w:ilvl w:val="0"/>
          <w:numId w:val="18"/>
        </w:numPr>
        <w:spacing w:after="170"/>
        <w:ind w:right="307" w:hanging="240"/>
      </w:pPr>
      <w:r>
        <w:t xml:space="preserve">Врачи-педиатры. </w:t>
      </w:r>
    </w:p>
    <w:p w:rsidR="004A6823" w:rsidRDefault="00F54A3E">
      <w:pPr>
        <w:spacing w:after="123"/>
        <w:ind w:left="718" w:right="307"/>
      </w:pPr>
      <w:r>
        <w:t xml:space="preserve">9. Врачи-патологоанатомы. </w:t>
      </w:r>
    </w:p>
    <w:p w:rsidR="004A6823" w:rsidRDefault="00F54A3E">
      <w:pPr>
        <w:spacing w:after="162" w:line="259" w:lineRule="auto"/>
        <w:ind w:left="708" w:firstLine="0"/>
        <w:jc w:val="left"/>
      </w:pPr>
      <w:r>
        <w:t xml:space="preserve"> </w:t>
      </w:r>
    </w:p>
    <w:p w:rsidR="004A6823" w:rsidRDefault="00F54A3E">
      <w:pPr>
        <w:ind w:left="-15" w:right="307" w:firstLine="708"/>
      </w:pPr>
      <w:r>
        <w:rPr>
          <w:b/>
        </w:rPr>
        <w:t>Таблица 1.</w:t>
      </w:r>
      <w:r>
        <w:t xml:space="preserve">Шкала оценки уровней достоверности доказательств (УДД)для методов диагностики (диагностических вмешательств) </w:t>
      </w:r>
    </w:p>
    <w:tbl>
      <w:tblPr>
        <w:tblStyle w:val="TableGrid"/>
        <w:tblW w:w="9573" w:type="dxa"/>
        <w:tblInd w:w="-108" w:type="dxa"/>
        <w:tblCellMar>
          <w:top w:w="9" w:type="dxa"/>
          <w:left w:w="108" w:type="dxa"/>
          <w:bottom w:w="0" w:type="dxa"/>
          <w:right w:w="51" w:type="dxa"/>
        </w:tblCellMar>
        <w:tblLook w:val="04A0" w:firstRow="1" w:lastRow="0" w:firstColumn="1" w:lastColumn="0" w:noHBand="0" w:noVBand="1"/>
      </w:tblPr>
      <w:tblGrid>
        <w:gridCol w:w="816"/>
        <w:gridCol w:w="8757"/>
      </w:tblGrid>
      <w:tr w:rsidR="004A6823">
        <w:trPr>
          <w:trHeight w:val="327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46" w:firstLine="0"/>
              <w:jc w:val="left"/>
            </w:pPr>
            <w:r>
              <w:rPr>
                <w:b/>
              </w:rPr>
              <w:t xml:space="preserve">УДД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</w:rPr>
              <w:t xml:space="preserve">Расшифровка </w:t>
            </w:r>
          </w:p>
        </w:tc>
      </w:tr>
      <w:tr w:rsidR="004A6823">
        <w:trPr>
          <w:trHeight w:val="9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7" w:firstLine="0"/>
              <w:jc w:val="center"/>
            </w:pPr>
            <w:r>
              <w:t xml:space="preserve">1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9" w:firstLine="0"/>
            </w:pPr>
            <w:r>
              <w:t xml:space="preserve">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мета-анализа </w:t>
            </w:r>
          </w:p>
        </w:tc>
      </w:tr>
      <w:tr w:rsidR="004A6823">
        <w:trPr>
          <w:trHeight w:val="1279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7" w:firstLine="0"/>
              <w:jc w:val="center"/>
            </w:pPr>
            <w:r>
              <w:t xml:space="preserve">2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0" w:firstLine="0"/>
            </w:pPr>
            <w:r>
              <w:t xml:space="preserve">Отдельные исследования с контролем референсным методом </w:t>
            </w:r>
            <w:r>
              <w:t xml:space="preserve">или отдельные рандомизированные клинические исследования и систематические обзоры исследований любого дизайна, за исключением рандомизированных клинических исследований, с применением мета-анализа </w:t>
            </w:r>
          </w:p>
        </w:tc>
      </w:tr>
      <w:tr w:rsidR="004A6823">
        <w:trPr>
          <w:trHeight w:val="1280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7" w:firstLine="0"/>
              <w:jc w:val="center"/>
            </w:pPr>
            <w:r>
              <w:t xml:space="preserve">3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8" w:firstLine="0"/>
            </w:pPr>
            <w:r>
              <w:t>Исследования без последовательного контроля референсны</w:t>
            </w:r>
            <w:r>
              <w:t xml:space="preserve">м методом или исследования с референсным методом, не являющимся независимым от исследуемого метода или нерандомизированные сравнительные исследования, в том числе когортные исследования </w:t>
            </w:r>
          </w:p>
        </w:tc>
      </w:tr>
      <w:tr w:rsidR="004A6823">
        <w:trPr>
          <w:trHeight w:val="326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7" w:firstLine="0"/>
              <w:jc w:val="center"/>
            </w:pPr>
            <w:r>
              <w:t xml:space="preserve">4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  <w:jc w:val="left"/>
            </w:pPr>
            <w:r>
              <w:t xml:space="preserve">Несравнительные исследования, описание клинического случая </w:t>
            </w:r>
          </w:p>
        </w:tc>
      </w:tr>
      <w:tr w:rsidR="004A6823">
        <w:trPr>
          <w:trHeight w:val="329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7" w:firstLine="0"/>
              <w:jc w:val="center"/>
            </w:pPr>
            <w:r>
              <w:t xml:space="preserve">5 </w:t>
            </w:r>
          </w:p>
        </w:tc>
        <w:tc>
          <w:tcPr>
            <w:tcW w:w="8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  <w:jc w:val="left"/>
            </w:pPr>
            <w:r>
              <w:t xml:space="preserve">Имеется лишь обоснование механизма действия или мнение экспертов </w:t>
            </w:r>
          </w:p>
        </w:tc>
      </w:tr>
    </w:tbl>
    <w:p w:rsidR="004A6823" w:rsidRDefault="00F54A3E">
      <w:pPr>
        <w:spacing w:after="155" w:line="259" w:lineRule="auto"/>
        <w:ind w:left="708" w:firstLine="0"/>
        <w:jc w:val="left"/>
      </w:pPr>
      <w:r>
        <w:rPr>
          <w:b/>
        </w:rPr>
        <w:t xml:space="preserve"> </w:t>
      </w:r>
    </w:p>
    <w:p w:rsidR="004A6823" w:rsidRDefault="00F54A3E">
      <w:pPr>
        <w:spacing w:after="3"/>
        <w:ind w:left="0" w:right="288" w:firstLine="708"/>
        <w:jc w:val="left"/>
      </w:pPr>
      <w:r>
        <w:rPr>
          <w:b/>
        </w:rPr>
        <w:t>Таблица 2.</w:t>
      </w:r>
      <w:r>
        <w:t xml:space="preserve">Шкала оценки уровней достоверности доказательств (УДД)для методов профилактики, лечения, медицинской реабилитации, в том числе основанных на использовании </w:t>
      </w:r>
      <w:r>
        <w:tab/>
        <w:t xml:space="preserve">природных </w:t>
      </w:r>
      <w:r>
        <w:tab/>
        <w:t xml:space="preserve">лечебных </w:t>
      </w:r>
      <w:r>
        <w:tab/>
        <w:t xml:space="preserve">факторов </w:t>
      </w:r>
      <w:r>
        <w:tab/>
        <w:t xml:space="preserve">(профилактических, </w:t>
      </w:r>
      <w:r>
        <w:tab/>
        <w:t xml:space="preserve">лечебных, реабилитационных вмешательств) </w:t>
      </w:r>
    </w:p>
    <w:tbl>
      <w:tblPr>
        <w:tblStyle w:val="TableGrid"/>
        <w:tblW w:w="9714" w:type="dxa"/>
        <w:tblInd w:w="-108" w:type="dxa"/>
        <w:tblCellMar>
          <w:top w:w="7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722"/>
        <w:gridCol w:w="8992"/>
      </w:tblGrid>
      <w:tr w:rsidR="004A6823">
        <w:trPr>
          <w:trHeight w:val="288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УДД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1" w:firstLine="0"/>
              <w:jc w:val="center"/>
            </w:pPr>
            <w:r>
              <w:rPr>
                <w:b/>
              </w:rPr>
              <w:t>Ра</w:t>
            </w:r>
            <w:r>
              <w:rPr>
                <w:b/>
              </w:rPr>
              <w:t xml:space="preserve">сшифровка  </w:t>
            </w:r>
          </w:p>
        </w:tc>
      </w:tr>
      <w:tr w:rsidR="004A6823">
        <w:trPr>
          <w:trHeight w:val="286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2" w:firstLine="0"/>
              <w:jc w:val="center"/>
            </w:pPr>
            <w:r>
              <w:t xml:space="preserve">1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  <w:jc w:val="left"/>
            </w:pPr>
            <w:r>
              <w:t xml:space="preserve">Систематический обзор РКИ с применением мета-анализа </w:t>
            </w:r>
          </w:p>
        </w:tc>
      </w:tr>
      <w:tr w:rsidR="004A6823">
        <w:trPr>
          <w:trHeight w:val="562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2" w:firstLine="0"/>
              <w:jc w:val="center"/>
            </w:pPr>
            <w:r>
              <w:t xml:space="preserve">2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</w:pPr>
            <w:r>
              <w:t xml:space="preserve">Отдельные РКИ и систематические обзоры исследований любого дизайна, за исключением РКИ, с применением мета-анализа </w:t>
            </w:r>
          </w:p>
        </w:tc>
      </w:tr>
      <w:tr w:rsidR="004A6823">
        <w:trPr>
          <w:trHeight w:val="288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8" w:firstLine="0"/>
              <w:jc w:val="center"/>
            </w:pPr>
            <w:r>
              <w:t xml:space="preserve">3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  <w:jc w:val="left"/>
            </w:pPr>
            <w:r>
              <w:t xml:space="preserve">Нерандомизированные сравнительные исследования, в т.ч. когортные исследования </w:t>
            </w:r>
          </w:p>
        </w:tc>
      </w:tr>
      <w:tr w:rsidR="004A6823">
        <w:trPr>
          <w:trHeight w:val="562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8" w:firstLine="0"/>
              <w:jc w:val="center"/>
            </w:pPr>
            <w:r>
              <w:t xml:space="preserve">4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</w:pPr>
            <w:r>
              <w:t xml:space="preserve">Несравнительные исследования, описание клинического случая или серии случаев, исследования «случай-контроль» </w:t>
            </w:r>
          </w:p>
        </w:tc>
      </w:tr>
      <w:tr w:rsidR="004A6823">
        <w:trPr>
          <w:trHeight w:val="562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8" w:firstLine="0"/>
              <w:jc w:val="center"/>
            </w:pPr>
            <w:r>
              <w:t xml:space="preserve">5 </w:t>
            </w:r>
          </w:p>
        </w:tc>
        <w:tc>
          <w:tcPr>
            <w:tcW w:w="8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firstLine="0"/>
            </w:pPr>
            <w:r>
              <w:t xml:space="preserve">Имеется лишь обоснование механизма действия вмешательства (доклинические исследования) или мнение экспертов </w:t>
            </w:r>
          </w:p>
        </w:tc>
      </w:tr>
    </w:tbl>
    <w:p w:rsidR="004A6823" w:rsidRDefault="00F54A3E">
      <w:pPr>
        <w:spacing w:after="158" w:line="259" w:lineRule="auto"/>
        <w:ind w:left="708" w:firstLine="0"/>
        <w:jc w:val="left"/>
      </w:pPr>
      <w:r>
        <w:rPr>
          <w:b/>
        </w:rPr>
        <w:t xml:space="preserve"> </w:t>
      </w:r>
    </w:p>
    <w:p w:rsidR="004A6823" w:rsidRDefault="00F54A3E">
      <w:pPr>
        <w:ind w:left="-15" w:right="307" w:firstLine="708"/>
      </w:pPr>
      <w:r>
        <w:rPr>
          <w:b/>
        </w:rPr>
        <w:t xml:space="preserve">Таблица 3. </w:t>
      </w:r>
      <w:r>
        <w:t xml:space="preserve">Шкала оценки уровней убедительности рекомендаций(УУР) для методов профилактики, диагностики, лечения, медицинской реабилитации, в том числе основанных на использовании природных лечебных факторов (профилактических, лечебных, реабилитационных вмешательств)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363"/>
        <w:gridCol w:w="8210"/>
      </w:tblGrid>
      <w:tr w:rsidR="004A6823">
        <w:trPr>
          <w:trHeight w:val="286"/>
        </w:trPr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 xml:space="preserve">УУР </w:t>
            </w:r>
          </w:p>
        </w:tc>
        <w:tc>
          <w:tcPr>
            <w:tcW w:w="8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1" w:firstLine="0"/>
              <w:jc w:val="center"/>
            </w:pPr>
            <w:r>
              <w:rPr>
                <w:b/>
              </w:rPr>
              <w:t xml:space="preserve">Расшифровка </w:t>
            </w:r>
          </w:p>
        </w:tc>
      </w:tr>
      <w:tr w:rsidR="004A6823">
        <w:trPr>
          <w:trHeight w:val="1114"/>
        </w:trPr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9" w:firstLine="0"/>
              <w:jc w:val="center"/>
            </w:pPr>
            <w:r>
              <w:t xml:space="preserve">A </w:t>
            </w:r>
          </w:p>
        </w:tc>
        <w:tc>
          <w:tcPr>
            <w:tcW w:w="8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47" w:line="238" w:lineRule="auto"/>
              <w:ind w:left="0" w:right="61" w:firstLine="0"/>
            </w:pPr>
            <w:r>
              <w:t xml:space="preserve">Сильная рекомендация (все рассматриваемые критерии эффективности (исходы) являются важными, все исследования имеют высокое или удовлетворительное методологическое качество, их выводы по </w:t>
            </w:r>
          </w:p>
          <w:p w:rsidR="004A6823" w:rsidRDefault="00F54A3E">
            <w:pPr>
              <w:spacing w:after="0" w:line="259" w:lineRule="auto"/>
              <w:ind w:left="0" w:firstLine="0"/>
              <w:jc w:val="left"/>
            </w:pPr>
            <w:r>
              <w:t xml:space="preserve">интересующим исходам являются согласованными) </w:t>
            </w:r>
            <w:r>
              <w:t xml:space="preserve"> </w:t>
            </w:r>
          </w:p>
        </w:tc>
      </w:tr>
      <w:tr w:rsidR="004A6823">
        <w:trPr>
          <w:trHeight w:val="1114"/>
        </w:trPr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3" w:firstLine="0"/>
              <w:jc w:val="center"/>
            </w:pPr>
            <w:r>
              <w:t xml:space="preserve">B </w:t>
            </w:r>
          </w:p>
        </w:tc>
        <w:tc>
          <w:tcPr>
            <w:tcW w:w="8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59" w:firstLine="0"/>
            </w:pPr>
            <w:r>
              <w:t xml:space="preserve">Условная рекомендация (не все рассматриваемые критерии эффективности (исходы) являются важными, не все исследования имеют высокое или удовлетворительное методологическое качество и/или их выводы по интересующим исходам не являются согласованными)  </w:t>
            </w:r>
          </w:p>
        </w:tc>
      </w:tr>
      <w:tr w:rsidR="004A6823">
        <w:trPr>
          <w:trHeight w:val="1114"/>
        </w:trPr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3" w:firstLine="0"/>
              <w:jc w:val="center"/>
            </w:pPr>
            <w:r>
              <w:t xml:space="preserve">C </w:t>
            </w:r>
          </w:p>
        </w:tc>
        <w:tc>
          <w:tcPr>
            <w:tcW w:w="8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6823" w:rsidRDefault="00F54A3E">
            <w:pPr>
              <w:spacing w:after="0" w:line="259" w:lineRule="auto"/>
              <w:ind w:left="0" w:right="61" w:firstLine="0"/>
            </w:pPr>
            <w:r>
              <w:t>Слабая рекомендация (отсутствие доказательств надлежащего качества (все рассматриваемые критерии эффективности (исходы) являются неважными, все исследования имеют низкое методологическое качество и их выводы по интересующим исходам не являются согласованны</w:t>
            </w:r>
            <w:r>
              <w:t xml:space="preserve">ми)  </w:t>
            </w:r>
          </w:p>
        </w:tc>
      </w:tr>
    </w:tbl>
    <w:p w:rsidR="004A6823" w:rsidRDefault="00F54A3E">
      <w:pPr>
        <w:spacing w:after="166" w:line="259" w:lineRule="auto"/>
        <w:ind w:left="708" w:firstLine="0"/>
        <w:jc w:val="left"/>
      </w:pPr>
      <w:r>
        <w:rPr>
          <w:b/>
        </w:rPr>
        <w:t xml:space="preserve"> </w:t>
      </w:r>
    </w:p>
    <w:p w:rsidR="004A6823" w:rsidRDefault="00F54A3E">
      <w:pPr>
        <w:spacing w:after="108" w:line="259" w:lineRule="auto"/>
        <w:ind w:left="703"/>
        <w:jc w:val="left"/>
      </w:pPr>
      <w:r>
        <w:rPr>
          <w:b/>
        </w:rPr>
        <w:t>Порядок обновления клинических рекомендаций.</w:t>
      </w:r>
      <w:r>
        <w:t xml:space="preserve"> </w:t>
      </w:r>
    </w:p>
    <w:p w:rsidR="004A6823" w:rsidRDefault="00F54A3E">
      <w:pPr>
        <w:spacing w:line="378" w:lineRule="auto"/>
        <w:ind w:left="-15" w:right="307" w:firstLine="708"/>
      </w:pPr>
      <w:r>
        <w:t>Механизм обновления клинических рекомендаций предусматривает их систематическую актуализацию – не реже чем один раз в три года, а также при появлении новых данных с позиции доказательной медицины по во</w:t>
      </w:r>
      <w:r>
        <w:t xml:space="preserve">просам диагностики, лечения, профилактики и реабилитации конкретных заболеваний, наличии обоснованных дополнений/замечаний к ранее утверждённым КР, но не чаще 1 раза в 6 месяцев. </w:t>
      </w:r>
    </w:p>
    <w:p w:rsidR="004A6823" w:rsidRDefault="00F54A3E">
      <w:pPr>
        <w:pStyle w:val="Heading1"/>
        <w:spacing w:line="385" w:lineRule="auto"/>
        <w:ind w:right="196"/>
      </w:pPr>
      <w:r>
        <w:t>Приложение А3. Справочные материалы, включая соответствие показаний к примен</w:t>
      </w:r>
      <w:r>
        <w:t xml:space="preserve">ению и противопоказаний, способов применения и доз лекарственных препаратов, инструкции по применению лекарственного препарата </w:t>
      </w:r>
    </w:p>
    <w:p w:rsidR="004A6823" w:rsidRDefault="00F54A3E">
      <w:pPr>
        <w:spacing w:line="398" w:lineRule="auto"/>
        <w:ind w:left="-15" w:right="307" w:firstLine="708"/>
      </w:pPr>
      <w:r>
        <w:t xml:space="preserve">Данные клинические рекомендации разработаны с учётом следующих нормативно- правовых документов: </w:t>
      </w:r>
    </w:p>
    <w:p w:rsidR="004A6823" w:rsidRDefault="00F54A3E">
      <w:pPr>
        <w:spacing w:line="400" w:lineRule="auto"/>
        <w:ind w:left="854" w:right="307" w:hanging="571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Приказ Минздрава России от 12 ноября 2012 г. N 907н «Об утверждении порядка оказания медицинской помощи взрослому населению по профилю «урология».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5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12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0" w:line="259" w:lineRule="auto"/>
        <w:ind w:left="854" w:firstLine="0"/>
        <w:jc w:val="left"/>
      </w:pPr>
      <w:r>
        <w:t xml:space="preserve"> </w:t>
      </w:r>
    </w:p>
    <w:p w:rsidR="004A6823" w:rsidRDefault="00F54A3E">
      <w:pPr>
        <w:spacing w:after="121"/>
        <w:ind w:left="-5" w:right="307"/>
      </w:pPr>
      <w:r>
        <w:t>Приложение Б. Алгоритмы действий врача.</w:t>
      </w:r>
      <w:r>
        <w:rPr>
          <w:sz w:val="22"/>
        </w:rPr>
        <w:t xml:space="preserve"> </w:t>
      </w:r>
    </w:p>
    <w:p w:rsidR="004A6823" w:rsidRDefault="00F54A3E">
      <w:pPr>
        <w:spacing w:after="101" w:line="259" w:lineRule="auto"/>
        <w:ind w:left="0" w:right="254" w:firstLine="0"/>
        <w:jc w:val="right"/>
      </w:pPr>
      <w:r>
        <w:rPr>
          <w:noProof/>
        </w:rPr>
        <w:drawing>
          <wp:inline distT="0" distB="0" distL="0" distR="0">
            <wp:extent cx="5938520" cy="2957830"/>
            <wp:effectExtent l="0" t="0" r="0" b="0"/>
            <wp:docPr id="3651" name="Picture 3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1" name="Picture 3651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A6823" w:rsidRDefault="00F54A3E">
      <w:pPr>
        <w:spacing w:line="399" w:lineRule="auto"/>
        <w:ind w:left="3154" w:right="307" w:hanging="1973"/>
      </w:pPr>
      <w:r>
        <w:rPr>
          <w:b/>
        </w:rPr>
        <w:t xml:space="preserve">Рисунок 1. </w:t>
      </w:r>
      <w:r>
        <w:t xml:space="preserve">Алгоритм диагностики и лечения при подтверждении диагноза дивертикул мочевого пузыря. </w:t>
      </w:r>
    </w:p>
    <w:p w:rsidR="004A6823" w:rsidRDefault="00F54A3E">
      <w:pPr>
        <w:spacing w:after="109" w:line="259" w:lineRule="auto"/>
        <w:ind w:left="454" w:firstLine="0"/>
        <w:jc w:val="center"/>
      </w:pPr>
      <w:r>
        <w:t xml:space="preserve"> </w:t>
      </w:r>
    </w:p>
    <w:p w:rsidR="004A6823" w:rsidRDefault="00F54A3E">
      <w:pPr>
        <w:spacing w:after="0" w:line="259" w:lineRule="auto"/>
        <w:ind w:left="0" w:firstLine="0"/>
        <w:jc w:val="right"/>
      </w:pPr>
      <w:r>
        <w:rPr>
          <w:noProof/>
        </w:rPr>
        <w:drawing>
          <wp:inline distT="0" distB="0" distL="0" distR="0">
            <wp:extent cx="6100445" cy="3348355"/>
            <wp:effectExtent l="0" t="0" r="0" b="0"/>
            <wp:docPr id="3663" name="Picture 3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3" name="Picture 3663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0044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A6823" w:rsidRDefault="00F54A3E">
      <w:pPr>
        <w:spacing w:after="166" w:line="259" w:lineRule="auto"/>
        <w:ind w:left="454" w:firstLine="0"/>
        <w:jc w:val="center"/>
      </w:pPr>
      <w:r>
        <w:rPr>
          <w:b/>
        </w:rPr>
        <w:t xml:space="preserve"> </w:t>
      </w:r>
    </w:p>
    <w:p w:rsidR="004A6823" w:rsidRDefault="00F54A3E">
      <w:pPr>
        <w:pStyle w:val="Heading2"/>
        <w:spacing w:after="108" w:line="259" w:lineRule="auto"/>
        <w:ind w:left="397" w:firstLine="0"/>
        <w:jc w:val="center"/>
      </w:pPr>
      <w:r>
        <w:rPr>
          <w:u w:val="none"/>
        </w:rPr>
        <w:t xml:space="preserve">Приложение В. Информация для пациента </w:t>
      </w:r>
    </w:p>
    <w:p w:rsidR="004A6823" w:rsidRDefault="00F54A3E">
      <w:pPr>
        <w:spacing w:line="385" w:lineRule="auto"/>
        <w:ind w:left="-15" w:right="307" w:firstLine="708"/>
      </w:pPr>
      <w:r>
        <w:t>Пациента информируют о клинической картине заболевания, знакомят с различными методами лечения и их потенциальными результатами. Выбор метода лечения следует выполнять в результате такого собеседования после того, как пациент имел возможность задать все ин</w:t>
      </w:r>
      <w:r>
        <w:t xml:space="preserve">тересующие его вопросы. </w:t>
      </w:r>
    </w:p>
    <w:p w:rsidR="004A6823" w:rsidRDefault="00F54A3E">
      <w:pPr>
        <w:spacing w:line="399" w:lineRule="auto"/>
        <w:ind w:left="-15" w:right="307" w:firstLine="708"/>
      </w:pPr>
      <w:r>
        <w:t xml:space="preserve">Пациент должен быть информирован о возможных течениях заболевания, рисках, связанных с наличием дивертикула мочевого пузыря. </w:t>
      </w:r>
    </w:p>
    <w:p w:rsidR="004A6823" w:rsidRDefault="00F54A3E">
      <w:pPr>
        <w:spacing w:line="378" w:lineRule="auto"/>
        <w:ind w:left="-15" w:right="307" w:firstLine="708"/>
      </w:pPr>
      <w:r>
        <w:t>Следует информировать пациента о симптоматике, различных осложнениях дивертикула мочевого пузыря, включая</w:t>
      </w:r>
      <w:r>
        <w:t xml:space="preserve"> вторичное камнеобразования, развитие РМП и хроническую инфекцию мочевыводящих путей. </w:t>
      </w:r>
    </w:p>
    <w:p w:rsidR="004A6823" w:rsidRDefault="00F54A3E">
      <w:pPr>
        <w:spacing w:line="381" w:lineRule="auto"/>
        <w:ind w:left="-15" w:right="307" w:firstLine="708"/>
      </w:pPr>
      <w:r>
        <w:t>Пациенту должны быть разъяснены возможные риски и последствия как оперативного лечения (трансуретральная инцизия шейки дивертикула мочевого пузыря, лапароскопическая див</w:t>
      </w:r>
      <w:r>
        <w:t xml:space="preserve">ертикулэктомия, робот-ассистированная трансперинеальная дивертикулэктомия и т.д.), так и динамического наблюдения (прободение стенки мочевого пузыря, возникновение новообразования в полости дивертикула мочевого пузыря). </w:t>
      </w:r>
    </w:p>
    <w:p w:rsidR="004A6823" w:rsidRDefault="00F54A3E">
      <w:pPr>
        <w:spacing w:line="398" w:lineRule="auto"/>
        <w:ind w:left="-15" w:right="307" w:firstLine="708"/>
      </w:pPr>
      <w:r>
        <w:t>Пациенты, находящиеся под наблюдени</w:t>
      </w:r>
      <w:r>
        <w:t xml:space="preserve">ем должны сообщать своему лечащему врачу-урологу об изменениях в симптомах и собственном состоянии для профилактики осложнений и своевременного принятия решений по дальнейшей тактике лечения. </w:t>
      </w:r>
    </w:p>
    <w:p w:rsidR="004A6823" w:rsidRDefault="00F54A3E">
      <w:pPr>
        <w:spacing w:after="0" w:line="259" w:lineRule="auto"/>
        <w:ind w:left="708" w:firstLine="0"/>
        <w:jc w:val="left"/>
      </w:pPr>
      <w:r>
        <w:t xml:space="preserve"> </w:t>
      </w:r>
    </w:p>
    <w:p w:rsidR="004A6823" w:rsidRDefault="004A6823">
      <w:pPr>
        <w:sectPr w:rsidR="004A6823">
          <w:footerReference w:type="even" r:id="rId93"/>
          <w:footerReference w:type="default" r:id="rId94"/>
          <w:footerReference w:type="first" r:id="rId95"/>
          <w:pgSz w:w="11906" w:h="16838"/>
          <w:pgMar w:top="1399" w:right="536" w:bottom="1198" w:left="1702" w:header="720" w:footer="714" w:gutter="0"/>
          <w:cols w:space="720"/>
        </w:sectPr>
      </w:pPr>
    </w:p>
    <w:p w:rsidR="004A6823" w:rsidRDefault="00F54A3E">
      <w:pPr>
        <w:spacing w:after="0" w:line="259" w:lineRule="auto"/>
        <w:ind w:left="-1440" w:right="10512" w:firstLine="0"/>
        <w:jc w:val="left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-252</wp:posOffset>
            </wp:positionV>
            <wp:extent cx="7589520" cy="10704830"/>
            <wp:effectExtent l="0" t="0" r="0" b="0"/>
            <wp:wrapTopAndBottom/>
            <wp:docPr id="3742" name="Picture 37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2" name="Picture 374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589520" cy="1070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6823">
      <w:footerReference w:type="even" r:id="rId97"/>
      <w:footerReference w:type="default" r:id="rId98"/>
      <w:footerReference w:type="first" r:id="rId99"/>
      <w:pgSz w:w="11952" w:h="16858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F54A3E">
      <w:pPr>
        <w:spacing w:after="0" w:line="240" w:lineRule="auto"/>
      </w:pPr>
      <w:r>
        <w:separator/>
      </w:r>
    </w:p>
  </w:endnote>
  <w:endnote w:type="continuationSeparator" w:id="0">
    <w:p w:rsidR="00000000" w:rsidRDefault="00F54A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F54A3E">
    <w:pPr>
      <w:spacing w:after="0" w:line="259" w:lineRule="auto"/>
      <w:ind w:left="39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F54A3E">
    <w:pPr>
      <w:spacing w:after="0" w:line="259" w:lineRule="auto"/>
      <w:ind w:left="39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F54A3E">
    <w:pPr>
      <w:spacing w:after="0" w:line="259" w:lineRule="auto"/>
      <w:ind w:left="394" w:firstLine="0"/>
      <w:jc w:val="center"/>
    </w:pPr>
    <w:r>
      <w:fldChar w:fldCharType="begin"/>
    </w:r>
    <w:r>
      <w:instrText xml:space="preserve"> </w:instrText>
    </w:r>
    <w:r>
      <w:instrText xml:space="preserve">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6823" w:rsidRDefault="004A6823">
    <w:pPr>
      <w:spacing w:after="160" w:line="259" w:lineRule="auto"/>
      <w:ind w:lef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F54A3E">
      <w:pPr>
        <w:spacing w:after="0" w:line="240" w:lineRule="auto"/>
      </w:pPr>
      <w:r>
        <w:separator/>
      </w:r>
    </w:p>
  </w:footnote>
  <w:footnote w:type="continuationSeparator" w:id="0">
    <w:p w:rsidR="00000000" w:rsidRDefault="00F54A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A685D"/>
    <w:multiLevelType w:val="hybridMultilevel"/>
    <w:tmpl w:val="200E24F8"/>
    <w:lvl w:ilvl="0" w:tplc="B53E9016">
      <w:start w:val="1"/>
      <w:numFmt w:val="bullet"/>
      <w:lvlText w:val="-"/>
      <w:lvlJc w:val="left"/>
      <w:pPr>
        <w:ind w:left="69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F01C">
      <w:start w:val="1"/>
      <w:numFmt w:val="bullet"/>
      <w:lvlText w:val="o"/>
      <w:lvlJc w:val="left"/>
      <w:pPr>
        <w:ind w:left="221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988846">
      <w:start w:val="1"/>
      <w:numFmt w:val="bullet"/>
      <w:lvlText w:val="▪"/>
      <w:lvlJc w:val="left"/>
      <w:pPr>
        <w:ind w:left="293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EA4434">
      <w:start w:val="1"/>
      <w:numFmt w:val="bullet"/>
      <w:lvlText w:val="•"/>
      <w:lvlJc w:val="left"/>
      <w:pPr>
        <w:ind w:left="365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D6AFC8">
      <w:start w:val="1"/>
      <w:numFmt w:val="bullet"/>
      <w:lvlText w:val="o"/>
      <w:lvlJc w:val="left"/>
      <w:pPr>
        <w:ind w:left="437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BC9E36">
      <w:start w:val="1"/>
      <w:numFmt w:val="bullet"/>
      <w:lvlText w:val="▪"/>
      <w:lvlJc w:val="left"/>
      <w:pPr>
        <w:ind w:left="509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AC69768">
      <w:start w:val="1"/>
      <w:numFmt w:val="bullet"/>
      <w:lvlText w:val="•"/>
      <w:lvlJc w:val="left"/>
      <w:pPr>
        <w:ind w:left="581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9A6270">
      <w:start w:val="1"/>
      <w:numFmt w:val="bullet"/>
      <w:lvlText w:val="o"/>
      <w:lvlJc w:val="left"/>
      <w:pPr>
        <w:ind w:left="653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8852B6">
      <w:start w:val="1"/>
      <w:numFmt w:val="bullet"/>
      <w:lvlText w:val="▪"/>
      <w:lvlJc w:val="left"/>
      <w:pPr>
        <w:ind w:left="725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09F0B71"/>
    <w:multiLevelType w:val="hybridMultilevel"/>
    <w:tmpl w:val="388CC6C2"/>
    <w:lvl w:ilvl="0" w:tplc="89A0467A">
      <w:start w:val="2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DA891C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200E1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458A65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0A883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A2797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D0E622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FAE5E6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0A6AF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95D14CF"/>
    <w:multiLevelType w:val="hybridMultilevel"/>
    <w:tmpl w:val="18189C0A"/>
    <w:lvl w:ilvl="0" w:tplc="C7023020">
      <w:start w:val="2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5E6530">
      <w:start w:val="1"/>
      <w:numFmt w:val="lowerLetter"/>
      <w:lvlText w:val="%2"/>
      <w:lvlJc w:val="left"/>
      <w:pPr>
        <w:ind w:left="1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1A5EBC">
      <w:start w:val="1"/>
      <w:numFmt w:val="lowerRoman"/>
      <w:lvlText w:val="%3"/>
      <w:lvlJc w:val="left"/>
      <w:pPr>
        <w:ind w:left="1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B4ACCE">
      <w:start w:val="1"/>
      <w:numFmt w:val="decimal"/>
      <w:lvlText w:val="%4"/>
      <w:lvlJc w:val="left"/>
      <w:pPr>
        <w:ind w:left="2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1F6F294">
      <w:start w:val="1"/>
      <w:numFmt w:val="lowerLetter"/>
      <w:lvlText w:val="%5"/>
      <w:lvlJc w:val="left"/>
      <w:pPr>
        <w:ind w:left="3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142A9C">
      <w:start w:val="1"/>
      <w:numFmt w:val="lowerRoman"/>
      <w:lvlText w:val="%6"/>
      <w:lvlJc w:val="left"/>
      <w:pPr>
        <w:ind w:left="4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2C93A8">
      <w:start w:val="1"/>
      <w:numFmt w:val="decimal"/>
      <w:lvlText w:val="%7"/>
      <w:lvlJc w:val="left"/>
      <w:pPr>
        <w:ind w:left="4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CF2B912">
      <w:start w:val="1"/>
      <w:numFmt w:val="lowerLetter"/>
      <w:lvlText w:val="%8"/>
      <w:lvlJc w:val="left"/>
      <w:pPr>
        <w:ind w:left="5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CC180A">
      <w:start w:val="1"/>
      <w:numFmt w:val="lowerRoman"/>
      <w:lvlText w:val="%9"/>
      <w:lvlJc w:val="left"/>
      <w:pPr>
        <w:ind w:left="6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C6D042C"/>
    <w:multiLevelType w:val="hybridMultilevel"/>
    <w:tmpl w:val="91889340"/>
    <w:lvl w:ilvl="0" w:tplc="773CDC52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AE056B2">
      <w:start w:val="1"/>
      <w:numFmt w:val="bullet"/>
      <w:lvlText w:val="o"/>
      <w:lvlJc w:val="left"/>
      <w:pPr>
        <w:ind w:left="12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F7222B4">
      <w:start w:val="1"/>
      <w:numFmt w:val="bullet"/>
      <w:lvlText w:val="▪"/>
      <w:lvlJc w:val="left"/>
      <w:pPr>
        <w:ind w:left="19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E1026AC">
      <w:start w:val="1"/>
      <w:numFmt w:val="bullet"/>
      <w:lvlText w:val="•"/>
      <w:lvlJc w:val="left"/>
      <w:pPr>
        <w:ind w:left="26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678EA04">
      <w:start w:val="1"/>
      <w:numFmt w:val="bullet"/>
      <w:lvlText w:val="o"/>
      <w:lvlJc w:val="left"/>
      <w:pPr>
        <w:ind w:left="338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14EAA56">
      <w:start w:val="1"/>
      <w:numFmt w:val="bullet"/>
      <w:lvlText w:val="▪"/>
      <w:lvlJc w:val="left"/>
      <w:pPr>
        <w:ind w:left="41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FBCE3D8">
      <w:start w:val="1"/>
      <w:numFmt w:val="bullet"/>
      <w:lvlText w:val="•"/>
      <w:lvlJc w:val="left"/>
      <w:pPr>
        <w:ind w:left="48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612F4CC">
      <w:start w:val="1"/>
      <w:numFmt w:val="bullet"/>
      <w:lvlText w:val="o"/>
      <w:lvlJc w:val="left"/>
      <w:pPr>
        <w:ind w:left="55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6D67A6A">
      <w:start w:val="1"/>
      <w:numFmt w:val="bullet"/>
      <w:lvlText w:val="▪"/>
      <w:lvlJc w:val="left"/>
      <w:pPr>
        <w:ind w:left="62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1AD0327"/>
    <w:multiLevelType w:val="hybridMultilevel"/>
    <w:tmpl w:val="5AEC8A3E"/>
    <w:lvl w:ilvl="0" w:tplc="D40C4B92">
      <w:start w:val="22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DA1840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EE988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0CA5D6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5E6BA4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B2F2F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17683BC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2C6B7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20255DA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3E0923DF"/>
    <w:multiLevelType w:val="multilevel"/>
    <w:tmpl w:val="ADC8813A"/>
    <w:lvl w:ilvl="0">
      <w:start w:val="3"/>
      <w:numFmt w:val="decimal"/>
      <w:lvlText w:val="%1."/>
      <w:lvlJc w:val="left"/>
      <w:pPr>
        <w:ind w:left="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6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8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3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F16611F"/>
    <w:multiLevelType w:val="multilevel"/>
    <w:tmpl w:val="3C1A0ACE"/>
    <w:lvl w:ilvl="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2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06A614C"/>
    <w:multiLevelType w:val="hybridMultilevel"/>
    <w:tmpl w:val="B4B634A8"/>
    <w:lvl w:ilvl="0" w:tplc="6AF82EDA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6E4E2E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5BCB69A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162630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5ABD2A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C802E0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96A3A8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B49352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99840E0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E3E726C"/>
    <w:multiLevelType w:val="hybridMultilevel"/>
    <w:tmpl w:val="B68461CC"/>
    <w:lvl w:ilvl="0" w:tplc="5E7AFC38">
      <w:start w:val="1"/>
      <w:numFmt w:val="bullet"/>
      <w:lvlText w:val="-"/>
      <w:lvlJc w:val="left"/>
      <w:pPr>
        <w:ind w:left="83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9A66C6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A855B2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C661F0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4A8EC0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F61D00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92ACAC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1E9AEC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5A05A6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52E85BE9"/>
    <w:multiLevelType w:val="hybridMultilevel"/>
    <w:tmpl w:val="7A98AD32"/>
    <w:lvl w:ilvl="0" w:tplc="ED98771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36A8670">
      <w:start w:val="4"/>
      <w:numFmt w:val="decimal"/>
      <w:lvlRestart w:val="0"/>
      <w:lvlText w:val="%2."/>
      <w:lvlJc w:val="left"/>
      <w:pPr>
        <w:ind w:left="29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E0C01EA">
      <w:start w:val="1"/>
      <w:numFmt w:val="lowerRoman"/>
      <w:lvlText w:val="%3"/>
      <w:lvlJc w:val="left"/>
      <w:pPr>
        <w:ind w:left="142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6E092BC">
      <w:start w:val="1"/>
      <w:numFmt w:val="decimal"/>
      <w:lvlText w:val="%4"/>
      <w:lvlJc w:val="left"/>
      <w:pPr>
        <w:ind w:left="21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F907D72">
      <w:start w:val="1"/>
      <w:numFmt w:val="lowerLetter"/>
      <w:lvlText w:val="%5"/>
      <w:lvlJc w:val="left"/>
      <w:pPr>
        <w:ind w:left="28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1D07E52">
      <w:start w:val="1"/>
      <w:numFmt w:val="lowerRoman"/>
      <w:lvlText w:val="%6"/>
      <w:lvlJc w:val="left"/>
      <w:pPr>
        <w:ind w:left="358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A0AFD84">
      <w:start w:val="1"/>
      <w:numFmt w:val="decimal"/>
      <w:lvlText w:val="%7"/>
      <w:lvlJc w:val="left"/>
      <w:pPr>
        <w:ind w:left="430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92C5C04">
      <w:start w:val="1"/>
      <w:numFmt w:val="lowerLetter"/>
      <w:lvlText w:val="%8"/>
      <w:lvlJc w:val="left"/>
      <w:pPr>
        <w:ind w:left="502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5E0810A">
      <w:start w:val="1"/>
      <w:numFmt w:val="lowerRoman"/>
      <w:lvlText w:val="%9"/>
      <w:lvlJc w:val="left"/>
      <w:pPr>
        <w:ind w:left="57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34136F9"/>
    <w:multiLevelType w:val="hybridMultilevel"/>
    <w:tmpl w:val="3E780F5A"/>
    <w:lvl w:ilvl="0" w:tplc="580C1C36">
      <w:start w:val="5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69002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510B5B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440C4D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68B3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069A4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0647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328D2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5C09C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536D45F5"/>
    <w:multiLevelType w:val="hybridMultilevel"/>
    <w:tmpl w:val="0DCCCA24"/>
    <w:lvl w:ilvl="0" w:tplc="4910766A">
      <w:start w:val="16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68FFB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B024A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B9009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300D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FD2E8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04FE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98CF0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ACAA24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69F6623A"/>
    <w:multiLevelType w:val="multilevel"/>
    <w:tmpl w:val="151401DA"/>
    <w:lvl w:ilvl="0">
      <w:start w:val="2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"/>
      <w:lvlJc w:val="left"/>
      <w:pPr>
        <w:ind w:left="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72CD01C1"/>
    <w:multiLevelType w:val="hybridMultilevel"/>
    <w:tmpl w:val="E6A4DBB4"/>
    <w:lvl w:ilvl="0" w:tplc="0D98C5F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42C30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3C440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AEE343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4EE55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83AA36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BCD3F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F0E590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AD0AF2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79033302"/>
    <w:multiLevelType w:val="hybridMultilevel"/>
    <w:tmpl w:val="0D12C3FA"/>
    <w:lvl w:ilvl="0" w:tplc="D74C1D42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B1A0862">
      <w:start w:val="1"/>
      <w:numFmt w:val="bullet"/>
      <w:lvlText w:val="o"/>
      <w:lvlJc w:val="left"/>
      <w:pPr>
        <w:ind w:left="136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1DC0636">
      <w:start w:val="1"/>
      <w:numFmt w:val="bullet"/>
      <w:lvlText w:val="▪"/>
      <w:lvlJc w:val="left"/>
      <w:pPr>
        <w:ind w:left="20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33CADAE">
      <w:start w:val="1"/>
      <w:numFmt w:val="bullet"/>
      <w:lvlText w:val="•"/>
      <w:lvlJc w:val="left"/>
      <w:pPr>
        <w:ind w:left="28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10AFC2A">
      <w:start w:val="1"/>
      <w:numFmt w:val="bullet"/>
      <w:lvlText w:val="o"/>
      <w:lvlJc w:val="left"/>
      <w:pPr>
        <w:ind w:left="35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A984716">
      <w:start w:val="1"/>
      <w:numFmt w:val="bullet"/>
      <w:lvlText w:val="▪"/>
      <w:lvlJc w:val="left"/>
      <w:pPr>
        <w:ind w:left="42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ABEA4E2">
      <w:start w:val="1"/>
      <w:numFmt w:val="bullet"/>
      <w:lvlText w:val="•"/>
      <w:lvlJc w:val="left"/>
      <w:pPr>
        <w:ind w:left="49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076CCF8">
      <w:start w:val="1"/>
      <w:numFmt w:val="bullet"/>
      <w:lvlText w:val="o"/>
      <w:lvlJc w:val="left"/>
      <w:pPr>
        <w:ind w:left="56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248B5EA">
      <w:start w:val="1"/>
      <w:numFmt w:val="bullet"/>
      <w:lvlText w:val="▪"/>
      <w:lvlJc w:val="left"/>
      <w:pPr>
        <w:ind w:left="64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79127962"/>
    <w:multiLevelType w:val="hybridMultilevel"/>
    <w:tmpl w:val="D6D8C448"/>
    <w:lvl w:ilvl="0" w:tplc="6FE8B980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821664">
      <w:start w:val="1"/>
      <w:numFmt w:val="bullet"/>
      <w:lvlText w:val="-"/>
      <w:lvlJc w:val="left"/>
      <w:pPr>
        <w:ind w:left="15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DEE9AE6">
      <w:start w:val="1"/>
      <w:numFmt w:val="bullet"/>
      <w:lvlText w:val="▪"/>
      <w:lvlJc w:val="left"/>
      <w:pPr>
        <w:ind w:left="2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F288360">
      <w:start w:val="1"/>
      <w:numFmt w:val="bullet"/>
      <w:lvlText w:val="•"/>
      <w:lvlJc w:val="left"/>
      <w:pPr>
        <w:ind w:left="3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F8395A">
      <w:start w:val="1"/>
      <w:numFmt w:val="bullet"/>
      <w:lvlText w:val="o"/>
      <w:lvlJc w:val="left"/>
      <w:pPr>
        <w:ind w:left="39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E6E300">
      <w:start w:val="1"/>
      <w:numFmt w:val="bullet"/>
      <w:lvlText w:val="▪"/>
      <w:lvlJc w:val="left"/>
      <w:pPr>
        <w:ind w:left="46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BAB5B8">
      <w:start w:val="1"/>
      <w:numFmt w:val="bullet"/>
      <w:lvlText w:val="•"/>
      <w:lvlJc w:val="left"/>
      <w:pPr>
        <w:ind w:left="53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EF64102">
      <w:start w:val="1"/>
      <w:numFmt w:val="bullet"/>
      <w:lvlText w:val="o"/>
      <w:lvlJc w:val="left"/>
      <w:pPr>
        <w:ind w:left="60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D6C7F0">
      <w:start w:val="1"/>
      <w:numFmt w:val="bullet"/>
      <w:lvlText w:val="▪"/>
      <w:lvlJc w:val="left"/>
      <w:pPr>
        <w:ind w:left="68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7C1E6F4A"/>
    <w:multiLevelType w:val="hybridMultilevel"/>
    <w:tmpl w:val="80526A3E"/>
    <w:lvl w:ilvl="0" w:tplc="5D20F8F6">
      <w:start w:val="19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CBEC374">
      <w:start w:val="1"/>
      <w:numFmt w:val="lowerLetter"/>
      <w:lvlText w:val="%2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708EBB4">
      <w:start w:val="1"/>
      <w:numFmt w:val="lowerRoman"/>
      <w:lvlText w:val="%3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5F8343C">
      <w:start w:val="1"/>
      <w:numFmt w:val="decimal"/>
      <w:lvlText w:val="%4"/>
      <w:lvlJc w:val="left"/>
      <w:pPr>
        <w:ind w:left="2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A46820">
      <w:start w:val="1"/>
      <w:numFmt w:val="lowerLetter"/>
      <w:lvlText w:val="%5"/>
      <w:lvlJc w:val="left"/>
      <w:pPr>
        <w:ind w:left="3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38D3D8">
      <w:start w:val="1"/>
      <w:numFmt w:val="lowerRoman"/>
      <w:lvlText w:val="%6"/>
      <w:lvlJc w:val="left"/>
      <w:pPr>
        <w:ind w:left="4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040F48">
      <w:start w:val="1"/>
      <w:numFmt w:val="decimal"/>
      <w:lvlText w:val="%7"/>
      <w:lvlJc w:val="left"/>
      <w:pPr>
        <w:ind w:left="4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F03722">
      <w:start w:val="1"/>
      <w:numFmt w:val="lowerLetter"/>
      <w:lvlText w:val="%8"/>
      <w:lvlJc w:val="left"/>
      <w:pPr>
        <w:ind w:left="5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F8D1AC">
      <w:start w:val="1"/>
      <w:numFmt w:val="lowerRoman"/>
      <w:lvlText w:val="%9"/>
      <w:lvlJc w:val="left"/>
      <w:pPr>
        <w:ind w:left="6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622018"/>
    <w:multiLevelType w:val="hybridMultilevel"/>
    <w:tmpl w:val="EFB219A6"/>
    <w:lvl w:ilvl="0" w:tplc="4432BB1E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D703800">
      <w:start w:val="1"/>
      <w:numFmt w:val="bullet"/>
      <w:lvlText w:val="o"/>
      <w:lvlJc w:val="left"/>
      <w:pPr>
        <w:ind w:left="136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A065666">
      <w:start w:val="1"/>
      <w:numFmt w:val="bullet"/>
      <w:lvlText w:val="▪"/>
      <w:lvlJc w:val="left"/>
      <w:pPr>
        <w:ind w:left="20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31E6340">
      <w:start w:val="1"/>
      <w:numFmt w:val="bullet"/>
      <w:lvlText w:val="•"/>
      <w:lvlJc w:val="left"/>
      <w:pPr>
        <w:ind w:left="28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8027C2C">
      <w:start w:val="1"/>
      <w:numFmt w:val="bullet"/>
      <w:lvlText w:val="o"/>
      <w:lvlJc w:val="left"/>
      <w:pPr>
        <w:ind w:left="35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4FE74A2">
      <w:start w:val="1"/>
      <w:numFmt w:val="bullet"/>
      <w:lvlText w:val="▪"/>
      <w:lvlJc w:val="left"/>
      <w:pPr>
        <w:ind w:left="42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E7E0D12">
      <w:start w:val="1"/>
      <w:numFmt w:val="bullet"/>
      <w:lvlText w:val="•"/>
      <w:lvlJc w:val="left"/>
      <w:pPr>
        <w:ind w:left="49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B04D300">
      <w:start w:val="1"/>
      <w:numFmt w:val="bullet"/>
      <w:lvlText w:val="o"/>
      <w:lvlJc w:val="left"/>
      <w:pPr>
        <w:ind w:left="56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F949868">
      <w:start w:val="1"/>
      <w:numFmt w:val="bullet"/>
      <w:lvlText w:val="▪"/>
      <w:lvlJc w:val="left"/>
      <w:pPr>
        <w:ind w:left="64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6"/>
  </w:num>
  <w:num w:numId="2">
    <w:abstractNumId w:val="12"/>
  </w:num>
  <w:num w:numId="3">
    <w:abstractNumId w:val="5"/>
  </w:num>
  <w:num w:numId="4">
    <w:abstractNumId w:val="15"/>
  </w:num>
  <w:num w:numId="5">
    <w:abstractNumId w:val="17"/>
  </w:num>
  <w:num w:numId="6">
    <w:abstractNumId w:val="3"/>
  </w:num>
  <w:num w:numId="7">
    <w:abstractNumId w:val="8"/>
  </w:num>
  <w:num w:numId="8">
    <w:abstractNumId w:val="0"/>
  </w:num>
  <w:num w:numId="9">
    <w:abstractNumId w:val="9"/>
  </w:num>
  <w:num w:numId="10">
    <w:abstractNumId w:val="14"/>
  </w:num>
  <w:num w:numId="11">
    <w:abstractNumId w:val="7"/>
  </w:num>
  <w:num w:numId="12">
    <w:abstractNumId w:val="2"/>
  </w:num>
  <w:num w:numId="13">
    <w:abstractNumId w:val="10"/>
  </w:num>
  <w:num w:numId="14">
    <w:abstractNumId w:val="11"/>
  </w:num>
  <w:num w:numId="15">
    <w:abstractNumId w:val="16"/>
  </w:num>
  <w:num w:numId="16">
    <w:abstractNumId w:val="4"/>
  </w:num>
  <w:num w:numId="17">
    <w:abstractNumId w:val="13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6823"/>
    <w:rsid w:val="004A6823"/>
    <w:rsid w:val="00F54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0660F3D2-3DEE-49E7-BC4B-32C30EEB5D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5" w:line="249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0"/>
      <w:ind w:left="10" w:right="311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151" w:line="264" w:lineRule="auto"/>
      <w:ind w:left="718" w:hanging="10"/>
      <w:outlineLvl w:val="1"/>
    </w:pPr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color w:val="000000"/>
      <w:sz w:val="24"/>
      <w:u w:val="single" w:color="000000"/>
    </w:rPr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doi.org/10.1016/J.JPUROL.2012.02.013" TargetMode="External"/><Relationship Id="rId21" Type="http://schemas.openxmlformats.org/officeDocument/2006/relationships/hyperlink" Target="https://doi.org/10.1016/0090-4295(82)90532-5" TargetMode="External"/><Relationship Id="rId42" Type="http://schemas.openxmlformats.org/officeDocument/2006/relationships/hyperlink" Target="https://doi.org/10.1016/B978-0-323-65395-4.00093-2" TargetMode="External"/><Relationship Id="rId47" Type="http://schemas.openxmlformats.org/officeDocument/2006/relationships/hyperlink" Target="https://doi.org/10.1016/0090-4295(84)90073-6" TargetMode="External"/><Relationship Id="rId63" Type="http://schemas.openxmlformats.org/officeDocument/2006/relationships/hyperlink" Target="https://doi.org/10.1007/S11701-008-0100-Z" TargetMode="External"/><Relationship Id="rId68" Type="http://schemas.openxmlformats.org/officeDocument/2006/relationships/hyperlink" Target="https://doi.org/10.1080/21681805.2017.1422014" TargetMode="External"/><Relationship Id="rId84" Type="http://schemas.openxmlformats.org/officeDocument/2006/relationships/hyperlink" Target="https://doi.org/10.1016/0090-4295(87)90378-5" TargetMode="External"/><Relationship Id="rId89" Type="http://schemas.openxmlformats.org/officeDocument/2006/relationships/hyperlink" Target="https://doi.org/10.1016/j.clinimag.2014.10.004" TargetMode="External"/><Relationship Id="rId16" Type="http://schemas.openxmlformats.org/officeDocument/2006/relationships/hyperlink" Target="https://doi.org/10.1016/J.UROLOGY.2007.06.1108" TargetMode="External"/><Relationship Id="rId11" Type="http://schemas.openxmlformats.org/officeDocument/2006/relationships/hyperlink" Target="https://doi.org/10.1155/2018/9748926" TargetMode="External"/><Relationship Id="rId32" Type="http://schemas.openxmlformats.org/officeDocument/2006/relationships/hyperlink" Target="https://doi.org/10.1016/S0022-3468(99)90501-8" TargetMode="External"/><Relationship Id="rId37" Type="http://schemas.openxmlformats.org/officeDocument/2006/relationships/hyperlink" Target="https://doi.org/10.1016/B978-0-323-65395-4.00093-2" TargetMode="External"/><Relationship Id="rId53" Type="http://schemas.openxmlformats.org/officeDocument/2006/relationships/hyperlink" Target="https://doi.org/10.1016/J.PUROL.2020.11.001" TargetMode="External"/><Relationship Id="rId58" Type="http://schemas.openxmlformats.org/officeDocument/2006/relationships/hyperlink" Target="https://doi.org/10.1007/S11701-008-0100-Z" TargetMode="External"/><Relationship Id="rId74" Type="http://schemas.openxmlformats.org/officeDocument/2006/relationships/hyperlink" Target="https://doi.org/10.1016/S0090-4295(97)00319-1" TargetMode="External"/><Relationship Id="rId79" Type="http://schemas.openxmlformats.org/officeDocument/2006/relationships/hyperlink" Target="https://doi.org/10.2214/AJR.161.4.8372767" TargetMode="External"/><Relationship Id="rId5" Type="http://schemas.openxmlformats.org/officeDocument/2006/relationships/footnotes" Target="footnotes.xml"/><Relationship Id="rId90" Type="http://schemas.openxmlformats.org/officeDocument/2006/relationships/hyperlink" Target="https://doi.org/10.1016/j.clinimag.2014.10.004" TargetMode="External"/><Relationship Id="rId95" Type="http://schemas.openxmlformats.org/officeDocument/2006/relationships/footer" Target="footer6.xml"/><Relationship Id="rId22" Type="http://schemas.openxmlformats.org/officeDocument/2006/relationships/hyperlink" Target="https://doi.org/10.1016/0090-4295(82)90532-5" TargetMode="External"/><Relationship Id="rId27" Type="http://schemas.openxmlformats.org/officeDocument/2006/relationships/hyperlink" Target="https://doi.org/10.1016/j.jpedsurg.2005.01.003" TargetMode="External"/><Relationship Id="rId43" Type="http://schemas.openxmlformats.org/officeDocument/2006/relationships/hyperlink" Target="https://doi.org/10.1016/B978-0-323-65395-4.00093-2" TargetMode="External"/><Relationship Id="rId48" Type="http://schemas.openxmlformats.org/officeDocument/2006/relationships/hyperlink" Target="https://doi.org/10.1016/0090-4295(84)90073-6" TargetMode="External"/><Relationship Id="rId64" Type="http://schemas.openxmlformats.org/officeDocument/2006/relationships/hyperlink" Target="https://doi.org/10.1007/S11701-008-0100-Z" TargetMode="External"/><Relationship Id="rId69" Type="http://schemas.openxmlformats.org/officeDocument/2006/relationships/hyperlink" Target="https://doi.org/10.1016/S0090-4295(97)00319-1" TargetMode="External"/><Relationship Id="rId80" Type="http://schemas.openxmlformats.org/officeDocument/2006/relationships/hyperlink" Target="https://doi.org/10.2214/AJR.161.4.8372767" TargetMode="External"/><Relationship Id="rId85" Type="http://schemas.openxmlformats.org/officeDocument/2006/relationships/hyperlink" Target="https://doi.org/10.1016/0090-4295(87)90378-5" TargetMode="External"/><Relationship Id="rId12" Type="http://schemas.openxmlformats.org/officeDocument/2006/relationships/hyperlink" Target="https://doi.org/10.1155/2018/9748926" TargetMode="External"/><Relationship Id="rId17" Type="http://schemas.openxmlformats.org/officeDocument/2006/relationships/hyperlink" Target="https://doi.org/10.1016/0090-4295(82)90532-5" TargetMode="External"/><Relationship Id="rId25" Type="http://schemas.openxmlformats.org/officeDocument/2006/relationships/hyperlink" Target="https://doi.org/10.1016/J.JPUROL.2012.02.013" TargetMode="External"/><Relationship Id="rId33" Type="http://schemas.openxmlformats.org/officeDocument/2006/relationships/hyperlink" Target="https://doi.org/10.1016/S0022-3468(99)90501-8" TargetMode="External"/><Relationship Id="rId38" Type="http://schemas.openxmlformats.org/officeDocument/2006/relationships/hyperlink" Target="https://doi.org/10.1016/B978-0-323-65395-4.00093-2" TargetMode="External"/><Relationship Id="rId46" Type="http://schemas.openxmlformats.org/officeDocument/2006/relationships/hyperlink" Target="https://doi.org/10.1016/B978-0-323-65395-4.00093-2" TargetMode="External"/><Relationship Id="rId59" Type="http://schemas.openxmlformats.org/officeDocument/2006/relationships/hyperlink" Target="https://doi.org/10.1007/S11701-008-0100-Z" TargetMode="External"/><Relationship Id="rId67" Type="http://schemas.openxmlformats.org/officeDocument/2006/relationships/hyperlink" Target="https://doi.org/10.1080/21681805.2017.1422014" TargetMode="External"/><Relationship Id="rId20" Type="http://schemas.openxmlformats.org/officeDocument/2006/relationships/hyperlink" Target="https://doi.org/10.1016/0090-4295(82)90532-5" TargetMode="External"/><Relationship Id="rId41" Type="http://schemas.openxmlformats.org/officeDocument/2006/relationships/hyperlink" Target="https://doi.org/10.1016/B978-0-323-65395-4.00093-2" TargetMode="External"/><Relationship Id="rId54" Type="http://schemas.openxmlformats.org/officeDocument/2006/relationships/hyperlink" Target="https://doi.org/10.1016/J.PUROL.2020.11.001" TargetMode="External"/><Relationship Id="rId62" Type="http://schemas.openxmlformats.org/officeDocument/2006/relationships/hyperlink" Target="https://doi.org/10.1007/S11701-008-0100-Z" TargetMode="External"/><Relationship Id="rId70" Type="http://schemas.openxmlformats.org/officeDocument/2006/relationships/hyperlink" Target="https://doi.org/10.1016/S0090-4295(97)00319-1" TargetMode="External"/><Relationship Id="rId75" Type="http://schemas.openxmlformats.org/officeDocument/2006/relationships/hyperlink" Target="https://doi.org/10.5858/133.5.791" TargetMode="External"/><Relationship Id="rId83" Type="http://schemas.openxmlformats.org/officeDocument/2006/relationships/hyperlink" Target="https://doi.org/10.1016/0090-4295(87)90378-5" TargetMode="External"/><Relationship Id="rId88" Type="http://schemas.openxmlformats.org/officeDocument/2006/relationships/hyperlink" Target="https://doi.org/10.1159/000503868" TargetMode="External"/><Relationship Id="rId91" Type="http://schemas.openxmlformats.org/officeDocument/2006/relationships/image" Target="media/image2.jpg"/><Relationship Id="rId96" Type="http://schemas.openxmlformats.org/officeDocument/2006/relationships/image" Target="media/image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doi.org/10.1016/J.UROLOGY.2007.06.1108" TargetMode="External"/><Relationship Id="rId23" Type="http://schemas.openxmlformats.org/officeDocument/2006/relationships/hyperlink" Target="https://doi.org/10.1016/J.HUMPATH.2012.11.005" TargetMode="External"/><Relationship Id="rId28" Type="http://schemas.openxmlformats.org/officeDocument/2006/relationships/hyperlink" Target="https://doi.org/10.1016/j.jpedsurg.2005.01.003" TargetMode="External"/><Relationship Id="rId36" Type="http://schemas.openxmlformats.org/officeDocument/2006/relationships/hyperlink" Target="https://doi.org/10.1016/B978-0-323-65395-4.00093-2" TargetMode="External"/><Relationship Id="rId49" Type="http://schemas.openxmlformats.org/officeDocument/2006/relationships/hyperlink" Target="https://doi.org/10.1016/0090-4295(84)90073-6" TargetMode="External"/><Relationship Id="rId57" Type="http://schemas.openxmlformats.org/officeDocument/2006/relationships/hyperlink" Target="https://doi.org/10.1007/S11701-008-0100-Z" TargetMode="External"/><Relationship Id="rId10" Type="http://schemas.openxmlformats.org/officeDocument/2006/relationships/footer" Target="footer3.xml"/><Relationship Id="rId31" Type="http://schemas.openxmlformats.org/officeDocument/2006/relationships/hyperlink" Target="https://doi.org/10.1016/S0022-3468(99)90501-8" TargetMode="External"/><Relationship Id="rId44" Type="http://schemas.openxmlformats.org/officeDocument/2006/relationships/hyperlink" Target="https://doi.org/10.1016/B978-0-323-65395-4.00093-2" TargetMode="External"/><Relationship Id="rId52" Type="http://schemas.openxmlformats.org/officeDocument/2006/relationships/hyperlink" Target="https://doi.org/10.1016/0090-4295(84)90073-6" TargetMode="External"/><Relationship Id="rId60" Type="http://schemas.openxmlformats.org/officeDocument/2006/relationships/hyperlink" Target="https://doi.org/10.1007/S11701-008-0100-Z" TargetMode="External"/><Relationship Id="rId65" Type="http://schemas.openxmlformats.org/officeDocument/2006/relationships/hyperlink" Target="https://doi.org/10.1016/J.JURO.2007.08.012" TargetMode="External"/><Relationship Id="rId73" Type="http://schemas.openxmlformats.org/officeDocument/2006/relationships/hyperlink" Target="https://doi.org/10.1016/S0090-4295(97)00319-1" TargetMode="External"/><Relationship Id="rId78" Type="http://schemas.openxmlformats.org/officeDocument/2006/relationships/hyperlink" Target="https://doi.org/10.1155/2016/2345306" TargetMode="External"/><Relationship Id="rId81" Type="http://schemas.openxmlformats.org/officeDocument/2006/relationships/hyperlink" Target="https://doi.org/10.1016/0090-4295(87)90378-5" TargetMode="External"/><Relationship Id="rId86" Type="http://schemas.openxmlformats.org/officeDocument/2006/relationships/hyperlink" Target="https://doi.org/10.1016/0090-4295(87)90378-5" TargetMode="External"/><Relationship Id="rId94" Type="http://schemas.openxmlformats.org/officeDocument/2006/relationships/footer" Target="footer5.xml"/><Relationship Id="rId99" Type="http://schemas.openxmlformats.org/officeDocument/2006/relationships/footer" Target="footer9.xm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3" Type="http://schemas.openxmlformats.org/officeDocument/2006/relationships/hyperlink" Target="https://doi.org/10.1148/RADIOLOGY.190.3.8115613" TargetMode="External"/><Relationship Id="rId18" Type="http://schemas.openxmlformats.org/officeDocument/2006/relationships/hyperlink" Target="https://doi.org/10.1016/0090-4295(82)90532-5" TargetMode="External"/><Relationship Id="rId39" Type="http://schemas.openxmlformats.org/officeDocument/2006/relationships/hyperlink" Target="https://doi.org/10.1016/B978-0-323-65395-4.00093-2" TargetMode="External"/><Relationship Id="rId34" Type="http://schemas.openxmlformats.org/officeDocument/2006/relationships/hyperlink" Target="https://doi.org/10.1016/S0022-3468(99)90501-8" TargetMode="External"/><Relationship Id="rId50" Type="http://schemas.openxmlformats.org/officeDocument/2006/relationships/hyperlink" Target="https://doi.org/10.1016/0090-4295(84)90073-6" TargetMode="External"/><Relationship Id="rId55" Type="http://schemas.openxmlformats.org/officeDocument/2006/relationships/hyperlink" Target="https://doi.org/10.1089/089277904322836721" TargetMode="External"/><Relationship Id="rId76" Type="http://schemas.openxmlformats.org/officeDocument/2006/relationships/hyperlink" Target="https://doi.org/10.5858/133.5.791" TargetMode="External"/><Relationship Id="rId97" Type="http://schemas.openxmlformats.org/officeDocument/2006/relationships/footer" Target="footer7.xml"/><Relationship Id="rId7" Type="http://schemas.openxmlformats.org/officeDocument/2006/relationships/image" Target="media/image1.jpg"/><Relationship Id="rId71" Type="http://schemas.openxmlformats.org/officeDocument/2006/relationships/hyperlink" Target="https://doi.org/10.1016/S0090-4295(97)00319-1" TargetMode="External"/><Relationship Id="rId92" Type="http://schemas.openxmlformats.org/officeDocument/2006/relationships/image" Target="media/image3.jpg"/><Relationship Id="rId2" Type="http://schemas.openxmlformats.org/officeDocument/2006/relationships/styles" Target="styles.xml"/><Relationship Id="rId29" Type="http://schemas.openxmlformats.org/officeDocument/2006/relationships/hyperlink" Target="https://doi.org/10.1016/S0022-3468(99)90501-8" TargetMode="External"/><Relationship Id="rId24" Type="http://schemas.openxmlformats.org/officeDocument/2006/relationships/hyperlink" Target="https://doi.org/10.1016/J.HUMPATH.2012.11.005" TargetMode="External"/><Relationship Id="rId40" Type="http://schemas.openxmlformats.org/officeDocument/2006/relationships/hyperlink" Target="https://doi.org/10.1016/B978-0-323-65395-4.00093-2" TargetMode="External"/><Relationship Id="rId45" Type="http://schemas.openxmlformats.org/officeDocument/2006/relationships/hyperlink" Target="https://doi.org/10.1016/B978-0-323-65395-4.00093-2" TargetMode="External"/><Relationship Id="rId66" Type="http://schemas.openxmlformats.org/officeDocument/2006/relationships/hyperlink" Target="https://doi.org/10.1016/J.JURO.2007.08.012" TargetMode="External"/><Relationship Id="rId87" Type="http://schemas.openxmlformats.org/officeDocument/2006/relationships/hyperlink" Target="https://doi.org/10.1159/000503868" TargetMode="External"/><Relationship Id="rId61" Type="http://schemas.openxmlformats.org/officeDocument/2006/relationships/hyperlink" Target="https://doi.org/10.1007/S11701-008-0100-Z" TargetMode="External"/><Relationship Id="rId82" Type="http://schemas.openxmlformats.org/officeDocument/2006/relationships/hyperlink" Target="https://doi.org/10.1016/0090-4295(87)90378-5" TargetMode="External"/><Relationship Id="rId19" Type="http://schemas.openxmlformats.org/officeDocument/2006/relationships/hyperlink" Target="https://doi.org/10.1016/0090-4295(82)90532-5" TargetMode="External"/><Relationship Id="rId14" Type="http://schemas.openxmlformats.org/officeDocument/2006/relationships/hyperlink" Target="https://doi.org/10.1148/RADIOLOGY.190.3.8115613" TargetMode="External"/><Relationship Id="rId30" Type="http://schemas.openxmlformats.org/officeDocument/2006/relationships/hyperlink" Target="https://doi.org/10.1016/S0022-3468(99)90501-8" TargetMode="External"/><Relationship Id="rId35" Type="http://schemas.openxmlformats.org/officeDocument/2006/relationships/hyperlink" Target="https://doi.org/10.1016/B978-0-323-65395-4.00093-2" TargetMode="External"/><Relationship Id="rId56" Type="http://schemas.openxmlformats.org/officeDocument/2006/relationships/hyperlink" Target="https://doi.org/10.1089/089277904322836721" TargetMode="External"/><Relationship Id="rId77" Type="http://schemas.openxmlformats.org/officeDocument/2006/relationships/hyperlink" Target="https://doi.org/10.1155/2016/2345306" TargetMode="External"/><Relationship Id="rId100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hyperlink" Target="https://doi.org/10.1016/0090-4295(84)90073-6" TargetMode="External"/><Relationship Id="rId72" Type="http://schemas.openxmlformats.org/officeDocument/2006/relationships/hyperlink" Target="https://doi.org/10.1016/S0090-4295(97)00319-1" TargetMode="External"/><Relationship Id="rId93" Type="http://schemas.openxmlformats.org/officeDocument/2006/relationships/footer" Target="footer4.xml"/><Relationship Id="rId98" Type="http://schemas.openxmlformats.org/officeDocument/2006/relationships/footer" Target="footer8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6679</Words>
  <Characters>38072</Characters>
  <Application>Microsoft Office Word</Application>
  <DocSecurity>4</DocSecurity>
  <Lines>317</Lines>
  <Paragraphs>89</Paragraphs>
  <ScaleCrop>false</ScaleCrop>
  <Company/>
  <LinksUpToDate>false</LinksUpToDate>
  <CharactersWithSpaces>44662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ФГБУ "ЦЭККМП" Минздрава России</dc:creator>
  <cp:keywords/>
  <cp:lastModifiedBy>word</cp:lastModifiedBy>
  <cp:revision>2</cp:revision>
  <dcterms:created xsi:type="dcterms:W3CDTF">2026-08-28T13:01:00Z</dcterms:created>
  <dcterms:modified xsi:type="dcterms:W3CDTF">2026-08-28T13:01:00Z</dcterms:modified>
</cp:coreProperties>
</file>