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footer1.xml" ContentType="application/vnd.openxmlformats-officedocument.wordprocessingml.foot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76"/>
        <w:jc w:val="left"/>
        <w:rPr>
          <w:sz w:val="20"/>
        </w:rPr>
      </w:pPr>
      <w:r>
        <w:rPr>
          <w:sz w:val="20"/>
        </w:rPr>
        <w:drawing>
          <wp:inline distT="0" distB="0" distL="0" distR="0">
            <wp:extent cx="432805" cy="195072"/>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432805" cy="195072"/>
                    </a:xfrm>
                    <a:prstGeom prst="rect">
                      <a:avLst/>
                    </a:prstGeom>
                  </pic:spPr>
                </pic:pic>
              </a:graphicData>
            </a:graphic>
          </wp:inline>
        </w:drawing>
      </w:r>
      <w:r>
        <w:rPr>
          <w:sz w:val="20"/>
        </w:rPr>
      </w:r>
    </w:p>
    <w:p>
      <w:pPr>
        <w:pStyle w:val="BodyText"/>
        <w:ind w:left="0"/>
        <w:jc w:val="left"/>
        <w:rPr>
          <w:sz w:val="18"/>
        </w:rPr>
      </w:pPr>
    </w:p>
    <w:p>
      <w:pPr>
        <w:pStyle w:val="BodyText"/>
        <w:ind w:left="0"/>
        <w:jc w:val="left"/>
        <w:rPr>
          <w:sz w:val="18"/>
        </w:rPr>
      </w:pPr>
    </w:p>
    <w:p>
      <w:pPr>
        <w:pStyle w:val="BodyText"/>
        <w:ind w:left="0"/>
        <w:jc w:val="left"/>
        <w:rPr>
          <w:sz w:val="18"/>
        </w:rPr>
      </w:pPr>
    </w:p>
    <w:p>
      <w:pPr>
        <w:pStyle w:val="BodyText"/>
        <w:ind w:left="0"/>
        <w:jc w:val="left"/>
        <w:rPr>
          <w:sz w:val="18"/>
        </w:rPr>
      </w:pPr>
    </w:p>
    <w:p>
      <w:pPr>
        <w:pStyle w:val="BodyText"/>
        <w:ind w:left="0"/>
        <w:jc w:val="left"/>
        <w:rPr>
          <w:sz w:val="18"/>
        </w:rPr>
      </w:pPr>
    </w:p>
    <w:p>
      <w:pPr>
        <w:pStyle w:val="BodyText"/>
        <w:ind w:left="0"/>
        <w:jc w:val="left"/>
        <w:rPr>
          <w:sz w:val="18"/>
        </w:rPr>
      </w:pPr>
    </w:p>
    <w:p>
      <w:pPr>
        <w:pStyle w:val="BodyText"/>
        <w:ind w:left="0"/>
        <w:jc w:val="left"/>
        <w:rPr>
          <w:sz w:val="18"/>
        </w:rPr>
      </w:pPr>
    </w:p>
    <w:p>
      <w:pPr>
        <w:pStyle w:val="BodyText"/>
        <w:ind w:left="0"/>
        <w:jc w:val="left"/>
        <w:rPr>
          <w:sz w:val="18"/>
        </w:rPr>
      </w:pPr>
    </w:p>
    <w:p>
      <w:pPr>
        <w:pStyle w:val="BodyText"/>
        <w:ind w:left="0"/>
        <w:jc w:val="left"/>
        <w:rPr>
          <w:sz w:val="18"/>
        </w:rPr>
      </w:pPr>
    </w:p>
    <w:p>
      <w:pPr>
        <w:pStyle w:val="BodyText"/>
        <w:ind w:left="0"/>
        <w:jc w:val="left"/>
        <w:rPr>
          <w:sz w:val="18"/>
        </w:rPr>
      </w:pPr>
    </w:p>
    <w:p>
      <w:pPr>
        <w:pStyle w:val="BodyText"/>
        <w:ind w:left="0"/>
        <w:jc w:val="left"/>
        <w:rPr>
          <w:sz w:val="18"/>
        </w:rPr>
      </w:pPr>
    </w:p>
    <w:p>
      <w:pPr>
        <w:pStyle w:val="BodyText"/>
        <w:spacing w:before="149"/>
        <w:ind w:left="0"/>
        <w:jc w:val="left"/>
        <w:rPr>
          <w:sz w:val="18"/>
        </w:rPr>
      </w:pPr>
    </w:p>
    <w:p>
      <w:pPr>
        <w:spacing w:before="0"/>
        <w:ind w:left="2772" w:right="0" w:firstLine="0"/>
        <w:jc w:val="left"/>
        <w:rPr>
          <w:rFonts w:ascii="Arial" w:hAnsi="Arial"/>
          <w:sz w:val="18"/>
        </w:rPr>
      </w:pPr>
      <w:r>
        <w:rPr/>
        <mc:AlternateContent>
          <mc:Choice Requires="wps">
            <w:drawing>
              <wp:anchor distT="0" distB="0" distL="0" distR="0" allowOverlap="1" layoutInCell="1" locked="0" behindDoc="0" simplePos="0" relativeHeight="15729664">
                <wp:simplePos x="0" y="0"/>
                <wp:positionH relativeFrom="page">
                  <wp:posOffset>7632</wp:posOffset>
                </wp:positionH>
                <wp:positionV relativeFrom="paragraph">
                  <wp:posOffset>-893597</wp:posOffset>
                </wp:positionV>
                <wp:extent cx="43180" cy="9004935"/>
                <wp:effectExtent l="0" t="0" r="0" b="0"/>
                <wp:wrapNone/>
                <wp:docPr id="2" name="Group 2"/>
                <wp:cNvGraphicFramePr>
                  <a:graphicFrameLocks/>
                </wp:cNvGraphicFramePr>
                <a:graphic>
                  <a:graphicData uri="http://schemas.microsoft.com/office/word/2010/wordprocessingGroup">
                    <wpg:wgp>
                      <wpg:cNvPr id="2" name="Group 2"/>
                      <wpg:cNvGrpSpPr/>
                      <wpg:grpSpPr>
                        <a:xfrm>
                          <a:off x="0" y="0"/>
                          <a:ext cx="43180" cy="9004935"/>
                          <a:chExt cx="43180" cy="9004935"/>
                        </a:xfrm>
                      </wpg:grpSpPr>
                      <wps:wsp>
                        <wps:cNvPr id="3" name="Graphic 3"/>
                        <wps:cNvSpPr/>
                        <wps:spPr>
                          <a:xfrm>
                            <a:off x="4579" y="549257"/>
                            <a:ext cx="1270" cy="8455660"/>
                          </a:xfrm>
                          <a:custGeom>
                            <a:avLst/>
                            <a:gdLst/>
                            <a:ahLst/>
                            <a:cxnLst/>
                            <a:rect l="l" t="t" r="r" b="b"/>
                            <a:pathLst>
                              <a:path w="0" h="8455660">
                                <a:moveTo>
                                  <a:pt x="0" y="8455509"/>
                                </a:moveTo>
                                <a:lnTo>
                                  <a:pt x="0" y="0"/>
                                </a:lnTo>
                              </a:path>
                            </a:pathLst>
                          </a:custGeom>
                          <a:ln w="9158">
                            <a:solidFill>
                              <a:srgbClr val="000000"/>
                            </a:solidFill>
                            <a:prstDash val="solid"/>
                          </a:ln>
                        </wps:spPr>
                        <wps:bodyPr wrap="square" lIns="0" tIns="0" rIns="0" bIns="0" rtlCol="0">
                          <a:prstTxWarp prst="textNoShape">
                            <a:avLst/>
                          </a:prstTxWarp>
                          <a:noAutofit/>
                        </wps:bodyPr>
                      </wps:wsp>
                      <wps:wsp>
                        <wps:cNvPr id="4" name="Graphic 4"/>
                        <wps:cNvSpPr/>
                        <wps:spPr>
                          <a:xfrm>
                            <a:off x="41213" y="0"/>
                            <a:ext cx="1270" cy="521970"/>
                          </a:xfrm>
                          <a:custGeom>
                            <a:avLst/>
                            <a:gdLst/>
                            <a:ahLst/>
                            <a:cxnLst/>
                            <a:rect l="l" t="t" r="r" b="b"/>
                            <a:pathLst>
                              <a:path w="0" h="521970">
                                <a:moveTo>
                                  <a:pt x="0" y="521794"/>
                                </a:moveTo>
                                <a:lnTo>
                                  <a:pt x="0" y="0"/>
                                </a:lnTo>
                              </a:path>
                            </a:pathLst>
                          </a:custGeom>
                          <a:ln w="3052">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600960pt;margin-top:-70.362pt;width:3.4pt;height:709.05pt;mso-position-horizontal-relative:page;mso-position-vertical-relative:paragraph;z-index:15729664" id="docshapegroup1" coordorigin="12,-1407" coordsize="68,14181">
                <v:line style="position:absolute" from="19,12773" to="19,-542" stroked="true" strokeweight=".721152pt" strokecolor="#000000">
                  <v:stroke dashstyle="solid"/>
                </v:line>
                <v:line style="position:absolute" from="77,-586" to="77,-1407" stroked="true" strokeweight=".240384pt" strokecolor="#000000">
                  <v:stroke dashstyle="solid"/>
                </v:line>
                <w10:wrap type="none"/>
              </v:group>
            </w:pict>
          </mc:Fallback>
        </mc:AlternateContent>
      </w:r>
      <w:r>
        <w:rPr>
          <w:rFonts w:ascii="Arial" w:hAnsi="Arial"/>
          <w:color w:val="666267"/>
          <w:sz w:val="18"/>
        </w:rPr>
        <w:t>f{лн</w:t>
      </w:r>
      <w:r>
        <w:rPr>
          <w:rFonts w:ascii="Arial" w:hAnsi="Arial"/>
          <w:color w:val="79777B"/>
          <w:sz w:val="18"/>
        </w:rPr>
        <w:t>11ическIн:</w:t>
      </w:r>
      <w:r>
        <w:rPr>
          <w:rFonts w:ascii="Arial" w:hAnsi="Arial"/>
          <w:color w:val="79777B"/>
          <w:spacing w:val="42"/>
          <w:sz w:val="18"/>
        </w:rPr>
        <w:t> </w:t>
      </w:r>
      <w:r>
        <w:rPr>
          <w:rFonts w:ascii="Arial" w:hAnsi="Arial"/>
          <w:color w:val="666267"/>
          <w:sz w:val="18"/>
        </w:rPr>
        <w:t>рекомсндс1ни</w:t>
      </w:r>
      <w:r>
        <w:rPr>
          <w:rFonts w:ascii="Arial" w:hAnsi="Arial"/>
          <w:color w:val="666267"/>
          <w:spacing w:val="3"/>
          <w:sz w:val="18"/>
        </w:rPr>
        <w:t> </w:t>
      </w:r>
      <w:r>
        <w:rPr>
          <w:rFonts w:ascii="Arial" w:hAnsi="Arial"/>
          <w:color w:val="666267"/>
          <w:spacing w:val="-5"/>
          <w:sz w:val="18"/>
        </w:rPr>
        <w:t>11</w:t>
      </w:r>
    </w:p>
    <w:p>
      <w:pPr>
        <w:pStyle w:val="Title"/>
      </w:pPr>
      <w:r>
        <w:rPr>
          <w:color w:val="1C1A1C"/>
        </w:rPr>
        <w:t>Болезнь</w:t>
      </w:r>
      <w:r>
        <w:rPr>
          <w:color w:val="1C1A1C"/>
          <w:spacing w:val="29"/>
        </w:rPr>
        <w:t> </w:t>
      </w:r>
      <w:r>
        <w:rPr>
          <w:color w:val="2B2A2D"/>
          <w:spacing w:val="-2"/>
        </w:rPr>
        <w:t>Пейрони</w:t>
      </w:r>
    </w:p>
    <w:p>
      <w:pPr>
        <w:pStyle w:val="BodyText"/>
        <w:ind w:left="0"/>
        <w:jc w:val="left"/>
        <w:rPr>
          <w:b/>
          <w:sz w:val="40"/>
        </w:rPr>
      </w:pPr>
    </w:p>
    <w:p>
      <w:pPr>
        <w:pStyle w:val="BodyText"/>
        <w:spacing w:before="430"/>
        <w:ind w:left="0"/>
        <w:jc w:val="left"/>
        <w:rPr>
          <w:b/>
          <w:sz w:val="40"/>
        </w:rPr>
      </w:pPr>
    </w:p>
    <w:p>
      <w:pPr>
        <w:spacing w:before="0"/>
        <w:ind w:left="2139" w:right="0" w:firstLine="0"/>
        <w:jc w:val="left"/>
        <w:rPr>
          <w:rFonts w:ascii="Arial" w:hAnsi="Arial"/>
          <w:b/>
          <w:sz w:val="20"/>
        </w:rPr>
      </w:pPr>
      <w:r>
        <w:rPr>
          <w:rFonts w:ascii="Arial" w:hAnsi="Arial"/>
          <w:color w:val="79777B"/>
          <w:w w:val="110"/>
          <w:sz w:val="18"/>
        </w:rPr>
        <w:t>Кодирование</w:t>
      </w:r>
      <w:r>
        <w:rPr>
          <w:rFonts w:ascii="Arial" w:hAnsi="Arial"/>
          <w:color w:val="79777B"/>
          <w:spacing w:val="16"/>
          <w:w w:val="110"/>
          <w:sz w:val="18"/>
        </w:rPr>
        <w:t> </w:t>
      </w:r>
      <w:r>
        <w:rPr>
          <w:rFonts w:ascii="Arial" w:hAnsi="Arial"/>
          <w:color w:val="79777B"/>
          <w:w w:val="110"/>
          <w:sz w:val="18"/>
        </w:rPr>
        <w:t>по</w:t>
      </w:r>
      <w:r>
        <w:rPr>
          <w:rFonts w:ascii="Arial" w:hAnsi="Arial"/>
          <w:color w:val="79777B"/>
          <w:spacing w:val="18"/>
          <w:w w:val="110"/>
          <w:sz w:val="18"/>
        </w:rPr>
        <w:t> </w:t>
      </w:r>
      <w:r>
        <w:rPr>
          <w:rFonts w:ascii="Arial" w:hAnsi="Arial"/>
          <w:color w:val="79777B"/>
          <w:w w:val="110"/>
          <w:sz w:val="18"/>
        </w:rPr>
        <w:t>\1еждунаро;ню11</w:t>
      </w:r>
      <w:r>
        <w:rPr>
          <w:rFonts w:ascii="Arial" w:hAnsi="Arial"/>
          <w:color w:val="79777B"/>
          <w:spacing w:val="29"/>
          <w:w w:val="110"/>
          <w:sz w:val="18"/>
        </w:rPr>
        <w:t>  </w:t>
      </w:r>
      <w:r>
        <w:rPr>
          <w:rFonts w:ascii="Arial" w:hAnsi="Arial"/>
          <w:b/>
          <w:color w:val="1C1A1C"/>
          <w:w w:val="110"/>
          <w:sz w:val="20"/>
        </w:rPr>
        <w:t>N48.8,</w:t>
      </w:r>
      <w:r>
        <w:rPr>
          <w:rFonts w:ascii="Arial" w:hAnsi="Arial"/>
          <w:b/>
          <w:color w:val="1C1A1C"/>
          <w:spacing w:val="-24"/>
          <w:w w:val="110"/>
          <w:sz w:val="20"/>
        </w:rPr>
        <w:t> </w:t>
      </w:r>
      <w:r>
        <w:rPr>
          <w:rFonts w:ascii="Arial" w:hAnsi="Arial"/>
          <w:b/>
          <w:color w:val="1C1A1C"/>
          <w:spacing w:val="-2"/>
          <w:w w:val="110"/>
          <w:sz w:val="20"/>
        </w:rPr>
        <w:t>N48.6</w:t>
      </w:r>
    </w:p>
    <w:p>
      <w:pPr>
        <w:spacing w:before="87"/>
        <w:ind w:left="2319" w:right="0" w:firstLine="0"/>
        <w:jc w:val="left"/>
        <w:rPr>
          <w:rFonts w:ascii="Arial" w:hAnsi="Arial"/>
          <w:sz w:val="18"/>
        </w:rPr>
      </w:pPr>
      <w:r>
        <w:rPr>
          <w:rFonts w:ascii="Arial" w:hAnsi="Arial"/>
          <w:color w:val="79777B"/>
          <w:sz w:val="18"/>
        </w:rPr>
        <w:t>стап</w:t>
      </w:r>
      <w:r>
        <w:rPr>
          <w:rFonts w:ascii="Arial" w:hAnsi="Arial"/>
          <w:color w:val="BCB3B8"/>
          <w:sz w:val="18"/>
        </w:rPr>
        <w:t>,</w:t>
      </w:r>
      <w:r>
        <w:rPr>
          <w:rFonts w:ascii="Arial" w:hAnsi="Arial"/>
          <w:color w:val="79777B"/>
          <w:sz w:val="18"/>
        </w:rPr>
        <w:t>1ст11чсскоП</w:t>
      </w:r>
      <w:r>
        <w:rPr>
          <w:rFonts w:ascii="Arial" w:hAnsi="Arial"/>
          <w:color w:val="79777B"/>
          <w:spacing w:val="9"/>
          <w:sz w:val="18"/>
        </w:rPr>
        <w:t> </w:t>
      </w:r>
      <w:r>
        <w:rPr>
          <w:rFonts w:ascii="Arial" w:hAnsi="Arial"/>
          <w:color w:val="79777B"/>
          <w:spacing w:val="-2"/>
          <w:sz w:val="18"/>
        </w:rPr>
        <w:t>кпассифика1t11и</w:t>
      </w:r>
    </w:p>
    <w:p>
      <w:pPr>
        <w:spacing w:before="86"/>
        <w:ind w:left="2319" w:right="0" w:firstLine="0"/>
        <w:jc w:val="left"/>
        <w:rPr>
          <w:rFonts w:ascii="Arial" w:hAnsi="Arial"/>
          <w:sz w:val="14"/>
        </w:rPr>
      </w:pPr>
      <w:r>
        <w:rPr>
          <w:rFonts w:ascii="Arial" w:hAnsi="Arial"/>
          <w:color w:val="79777B"/>
          <w:w w:val="110"/>
          <w:sz w:val="14"/>
        </w:rPr>
        <w:t>C)()JlC3HCli</w:t>
      </w:r>
      <w:r>
        <w:rPr>
          <w:rFonts w:ascii="Arial" w:hAnsi="Arial"/>
          <w:color w:val="79777B"/>
          <w:spacing w:val="15"/>
          <w:w w:val="110"/>
          <w:sz w:val="14"/>
        </w:rPr>
        <w:t> </w:t>
      </w:r>
      <w:r>
        <w:rPr>
          <w:rFonts w:ascii="Arial" w:hAnsi="Arial"/>
          <w:color w:val="79777B"/>
          <w:w w:val="110"/>
          <w:sz w:val="14"/>
        </w:rPr>
        <w:t>И</w:t>
      </w:r>
      <w:r>
        <w:rPr>
          <w:rFonts w:ascii="Arial" w:hAnsi="Arial"/>
          <w:color w:val="79777B"/>
          <w:spacing w:val="-4"/>
          <w:w w:val="110"/>
          <w:sz w:val="14"/>
        </w:rPr>
        <w:t> </w:t>
      </w:r>
      <w:r>
        <w:rPr>
          <w:rFonts w:ascii="Arial" w:hAnsi="Arial"/>
          <w:color w:val="79777B"/>
          <w:w w:val="110"/>
          <w:sz w:val="18"/>
        </w:rPr>
        <w:t>пробЛС\!,</w:t>
      </w:r>
      <w:r>
        <w:rPr>
          <w:rFonts w:ascii="Arial" w:hAnsi="Arial"/>
          <w:color w:val="79777B"/>
          <w:spacing w:val="-13"/>
          <w:w w:val="110"/>
          <w:sz w:val="18"/>
        </w:rPr>
        <w:t> </w:t>
      </w:r>
      <w:r>
        <w:rPr>
          <w:rFonts w:ascii="Arial" w:hAnsi="Arial"/>
          <w:color w:val="79777B"/>
          <w:spacing w:val="-2"/>
          <w:w w:val="110"/>
          <w:sz w:val="14"/>
        </w:rPr>
        <w:t>СВЯ'ШННЫ\</w:t>
      </w:r>
    </w:p>
    <w:p>
      <w:pPr>
        <w:spacing w:before="81"/>
        <w:ind w:left="0" w:right="1628" w:firstLine="0"/>
        <w:jc w:val="center"/>
        <w:rPr>
          <w:rFonts w:ascii="Arial" w:hAnsi="Arial"/>
          <w:sz w:val="19"/>
        </w:rPr>
      </w:pPr>
      <w:r>
        <w:rPr>
          <w:rFonts w:ascii="Arial" w:hAnsi="Arial"/>
          <w:color w:val="79777B"/>
          <w:sz w:val="18"/>
        </w:rPr>
        <w:t>со</w:t>
      </w:r>
      <w:r>
        <w:rPr>
          <w:rFonts w:ascii="Arial" w:hAnsi="Arial"/>
          <w:color w:val="79777B"/>
          <w:spacing w:val="21"/>
          <w:sz w:val="18"/>
        </w:rPr>
        <w:t> </w:t>
      </w:r>
      <w:r>
        <w:rPr>
          <w:rFonts w:ascii="Arial" w:hAnsi="Arial"/>
          <w:color w:val="79777B"/>
          <w:spacing w:val="-2"/>
          <w:sz w:val="19"/>
        </w:rPr>
        <w:t>3дороrн,см:</w:t>
      </w:r>
    </w:p>
    <w:p>
      <w:pPr>
        <w:pStyle w:val="BodyText"/>
        <w:spacing w:before="155"/>
        <w:ind w:left="0"/>
        <w:jc w:val="left"/>
        <w:rPr>
          <w:rFonts w:ascii="Arial"/>
          <w:sz w:val="19"/>
        </w:rPr>
      </w:pPr>
    </w:p>
    <w:p>
      <w:pPr>
        <w:tabs>
          <w:tab w:pos="5550" w:val="left" w:leader="none"/>
        </w:tabs>
        <w:spacing w:before="1"/>
        <w:ind w:left="3491" w:right="0" w:firstLine="0"/>
        <w:jc w:val="left"/>
        <w:rPr>
          <w:b/>
          <w:sz w:val="20"/>
        </w:rPr>
      </w:pPr>
      <w:r>
        <w:rPr>
          <w:rFonts w:ascii="Arial" w:hAnsi="Arial"/>
          <w:color w:val="666267"/>
          <w:sz w:val="18"/>
        </w:rPr>
        <w:t>Во:зрастная</w:t>
      </w:r>
      <w:r>
        <w:rPr>
          <w:rFonts w:ascii="Arial" w:hAnsi="Arial"/>
          <w:color w:val="666267"/>
          <w:spacing w:val="47"/>
          <w:sz w:val="18"/>
        </w:rPr>
        <w:t> </w:t>
      </w:r>
      <w:r>
        <w:rPr>
          <w:rFonts w:ascii="Arial" w:hAnsi="Arial"/>
          <w:color w:val="666267"/>
          <w:spacing w:val="-2"/>
          <w:sz w:val="18"/>
        </w:rPr>
        <w:t>группа:</w:t>
      </w:r>
      <w:r>
        <w:rPr>
          <w:rFonts w:ascii="Arial" w:hAnsi="Arial"/>
          <w:color w:val="666267"/>
          <w:sz w:val="18"/>
        </w:rPr>
        <w:tab/>
      </w:r>
      <w:r>
        <w:rPr>
          <w:b/>
          <w:color w:val="1C1A1C"/>
          <w:spacing w:val="-2"/>
          <w:sz w:val="20"/>
        </w:rPr>
        <w:t>взрослые</w:t>
      </w:r>
    </w:p>
    <w:p>
      <w:pPr>
        <w:pStyle w:val="BodyText"/>
        <w:ind w:left="0"/>
        <w:jc w:val="left"/>
        <w:rPr>
          <w:b/>
          <w:sz w:val="20"/>
        </w:rPr>
      </w:pPr>
    </w:p>
    <w:p>
      <w:pPr>
        <w:pStyle w:val="BodyText"/>
        <w:spacing w:before="68"/>
        <w:ind w:left="0"/>
        <w:jc w:val="left"/>
        <w:rPr>
          <w:b/>
          <w:sz w:val="20"/>
        </w:rPr>
      </w:pPr>
      <w:r>
        <w:rPr/>
        <w:drawing>
          <wp:anchor distT="0" distB="0" distL="0" distR="0" allowOverlap="1" layoutInCell="1" locked="0" behindDoc="1" simplePos="0" relativeHeight="487587840">
            <wp:simplePos x="0" y="0"/>
            <wp:positionH relativeFrom="page">
              <wp:posOffset>2307974</wp:posOffset>
            </wp:positionH>
            <wp:positionV relativeFrom="paragraph">
              <wp:posOffset>204858</wp:posOffset>
            </wp:positionV>
            <wp:extent cx="1512526" cy="146303"/>
            <wp:effectExtent l="0" t="0" r="0" b="0"/>
            <wp:wrapTopAndBottom/>
            <wp:docPr id="5" name="Image 5"/>
            <wp:cNvGraphicFramePr>
              <a:graphicFrameLocks/>
            </wp:cNvGraphicFramePr>
            <a:graphic>
              <a:graphicData uri="http://schemas.openxmlformats.org/drawingml/2006/picture">
                <pic:pic>
                  <pic:nvPicPr>
                    <pic:cNvPr id="5" name="Image 5"/>
                    <pic:cNvPicPr/>
                  </pic:nvPicPr>
                  <pic:blipFill>
                    <a:blip r:embed="rId6" cstate="print"/>
                    <a:stretch>
                      <a:fillRect/>
                    </a:stretch>
                  </pic:blipFill>
                  <pic:spPr>
                    <a:xfrm>
                      <a:off x="0" y="0"/>
                      <a:ext cx="1512526" cy="146303"/>
                    </a:xfrm>
                    <a:prstGeom prst="rect">
                      <a:avLst/>
                    </a:prstGeom>
                  </pic:spPr>
                </pic:pic>
              </a:graphicData>
            </a:graphic>
          </wp:anchor>
        </w:drawing>
      </w:r>
    </w:p>
    <w:p>
      <w:pPr>
        <w:pStyle w:val="BodyText"/>
        <w:ind w:left="0"/>
        <w:jc w:val="left"/>
        <w:rPr>
          <w:b/>
          <w:sz w:val="18"/>
        </w:rPr>
      </w:pPr>
    </w:p>
    <w:p>
      <w:pPr>
        <w:pStyle w:val="BodyText"/>
        <w:spacing w:before="124"/>
        <w:ind w:left="0"/>
        <w:jc w:val="left"/>
        <w:rPr>
          <w:b/>
          <w:sz w:val="18"/>
        </w:rPr>
      </w:pPr>
    </w:p>
    <w:p>
      <w:pPr>
        <w:spacing w:before="0"/>
        <w:ind w:left="2081" w:right="0" w:firstLine="0"/>
        <w:jc w:val="left"/>
        <w:rPr>
          <w:rFonts w:ascii="Arial" w:hAnsi="Arial"/>
          <w:sz w:val="19"/>
        </w:rPr>
      </w:pPr>
      <w:r>
        <w:rPr>
          <w:rFonts w:ascii="Arial" w:hAnsi="Arial"/>
          <w:color w:val="79777B"/>
          <w:sz w:val="19"/>
        </w:rPr>
        <w:t>Р,вработчик</w:t>
      </w:r>
      <w:r>
        <w:rPr>
          <w:rFonts w:ascii="Arial" w:hAnsi="Arial"/>
          <w:color w:val="79777B"/>
          <w:spacing w:val="56"/>
          <w:sz w:val="19"/>
        </w:rPr>
        <w:t> </w:t>
      </w:r>
      <w:r>
        <w:rPr>
          <w:rFonts w:ascii="Arial" w:hAnsi="Arial"/>
          <w:color w:val="79777B"/>
          <w:sz w:val="19"/>
        </w:rPr>
        <w:t>кл11ничсской</w:t>
      </w:r>
      <w:r>
        <w:rPr>
          <w:rFonts w:ascii="Arial" w:hAnsi="Arial"/>
          <w:color w:val="79777B"/>
          <w:spacing w:val="67"/>
          <w:sz w:val="19"/>
        </w:rPr>
        <w:t> </w:t>
      </w:r>
      <w:r>
        <w:rPr>
          <w:rFonts w:ascii="Arial" w:hAnsi="Arial"/>
          <w:color w:val="79777B"/>
          <w:spacing w:val="-2"/>
          <w:sz w:val="19"/>
        </w:rPr>
        <w:t>рскт.1сн;щ1t11и:</w:t>
      </w:r>
    </w:p>
    <w:p>
      <w:pPr>
        <w:pStyle w:val="BodyText"/>
        <w:ind w:left="0"/>
        <w:jc w:val="left"/>
        <w:rPr>
          <w:rFonts w:ascii="Arial"/>
          <w:sz w:val="19"/>
        </w:rPr>
      </w:pPr>
    </w:p>
    <w:p>
      <w:pPr>
        <w:pStyle w:val="BodyText"/>
        <w:spacing w:before="124"/>
        <w:ind w:left="0"/>
        <w:jc w:val="left"/>
        <w:rPr>
          <w:rFonts w:ascii="Arial"/>
          <w:sz w:val="19"/>
        </w:rPr>
      </w:pPr>
    </w:p>
    <w:p>
      <w:pPr>
        <w:spacing w:before="0"/>
        <w:ind w:left="2422" w:right="0" w:firstLine="0"/>
        <w:jc w:val="left"/>
        <w:rPr>
          <w:b/>
          <w:sz w:val="20"/>
        </w:rPr>
      </w:pPr>
      <w:r>
        <w:rPr>
          <w:b/>
          <w:color w:val="1C1A1C"/>
          <w:w w:val="110"/>
          <w:sz w:val="20"/>
        </w:rPr>
        <w:t>Российское</w:t>
      </w:r>
      <w:r>
        <w:rPr>
          <w:b/>
          <w:color w:val="1C1A1C"/>
          <w:spacing w:val="14"/>
          <w:w w:val="110"/>
          <w:sz w:val="20"/>
        </w:rPr>
        <w:t> </w:t>
      </w:r>
      <w:r>
        <w:rPr>
          <w:b/>
          <w:color w:val="1C1A1C"/>
          <w:w w:val="110"/>
          <w:sz w:val="20"/>
        </w:rPr>
        <w:t>общество</w:t>
      </w:r>
      <w:r>
        <w:rPr>
          <w:b/>
          <w:color w:val="1C1A1C"/>
          <w:spacing w:val="12"/>
          <w:w w:val="110"/>
          <w:sz w:val="20"/>
        </w:rPr>
        <w:t> </w:t>
      </w:r>
      <w:r>
        <w:rPr>
          <w:b/>
          <w:color w:val="2B2A2D"/>
          <w:spacing w:val="-2"/>
          <w:w w:val="110"/>
          <w:sz w:val="20"/>
        </w:rPr>
        <w:t>урологов</w:t>
      </w: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ind w:left="0"/>
        <w:jc w:val="left"/>
        <w:rPr>
          <w:b/>
          <w:sz w:val="20"/>
        </w:rPr>
      </w:pPr>
    </w:p>
    <w:p>
      <w:pPr>
        <w:pStyle w:val="BodyText"/>
        <w:spacing w:before="169"/>
        <w:ind w:left="0"/>
        <w:jc w:val="left"/>
        <w:rPr>
          <w:b/>
          <w:sz w:val="20"/>
        </w:rPr>
      </w:pPr>
    </w:p>
    <w:p>
      <w:pPr>
        <w:spacing w:before="0"/>
        <w:ind w:left="6708" w:right="0" w:firstLine="0"/>
        <w:jc w:val="left"/>
        <w:rPr>
          <w:b/>
          <w:sz w:val="20"/>
        </w:rPr>
      </w:pPr>
      <w:r>
        <w:rPr/>
        <mc:AlternateContent>
          <mc:Choice Requires="wps">
            <w:drawing>
              <wp:anchor distT="0" distB="0" distL="0" distR="0" allowOverlap="1" layoutInCell="1" locked="0" behindDoc="0" simplePos="0" relativeHeight="15729152">
                <wp:simplePos x="0" y="0"/>
                <wp:positionH relativeFrom="page">
                  <wp:posOffset>1294419</wp:posOffset>
                </wp:positionH>
                <wp:positionV relativeFrom="paragraph">
                  <wp:posOffset>-387553</wp:posOffset>
                </wp:positionV>
                <wp:extent cx="2660015" cy="1929130"/>
                <wp:effectExtent l="0" t="0" r="0" b="0"/>
                <wp:wrapNone/>
                <wp:docPr id="6" name="Group 6"/>
                <wp:cNvGraphicFramePr>
                  <a:graphicFrameLocks/>
                </wp:cNvGraphicFramePr>
                <a:graphic>
                  <a:graphicData uri="http://schemas.microsoft.com/office/word/2010/wordprocessingGroup">
                    <wpg:wgp>
                      <wpg:cNvPr id="6" name="Group 6"/>
                      <wpg:cNvGrpSpPr/>
                      <wpg:grpSpPr>
                        <a:xfrm>
                          <a:off x="0" y="0"/>
                          <a:ext cx="2660015" cy="1929130"/>
                          <a:chExt cx="2660015" cy="1929130"/>
                        </a:xfrm>
                      </wpg:grpSpPr>
                      <pic:pic>
                        <pic:nvPicPr>
                          <pic:cNvPr id="7" name="Image 7"/>
                          <pic:cNvPicPr/>
                        </pic:nvPicPr>
                        <pic:blipFill>
                          <a:blip r:embed="rId7" cstate="print"/>
                          <a:stretch>
                            <a:fillRect/>
                          </a:stretch>
                        </pic:blipFill>
                        <pic:spPr>
                          <a:xfrm>
                            <a:off x="0" y="0"/>
                            <a:ext cx="2491148" cy="1928502"/>
                          </a:xfrm>
                          <a:prstGeom prst="rect">
                            <a:avLst/>
                          </a:prstGeom>
                        </pic:spPr>
                      </pic:pic>
                      <wps:wsp>
                        <wps:cNvPr id="8" name="Textbox 8"/>
                        <wps:cNvSpPr txBox="1"/>
                        <wps:spPr>
                          <a:xfrm>
                            <a:off x="11066" y="381033"/>
                            <a:ext cx="681990" cy="140970"/>
                          </a:xfrm>
                          <a:prstGeom prst="rect">
                            <a:avLst/>
                          </a:prstGeom>
                        </wps:spPr>
                        <wps:txbx>
                          <w:txbxContent>
                            <w:p>
                              <w:pPr>
                                <w:spacing w:line="222" w:lineRule="exact" w:before="0"/>
                                <w:ind w:left="0" w:right="0" w:firstLine="0"/>
                                <w:jc w:val="left"/>
                                <w:rPr>
                                  <w:b/>
                                  <w:sz w:val="20"/>
                                </w:rPr>
                              </w:pPr>
                              <w:r>
                                <w:rPr>
                                  <w:b/>
                                  <w:color w:val="1C1A1C"/>
                                  <w:spacing w:val="-2"/>
                                  <w:sz w:val="20"/>
                                </w:rPr>
                                <w:t>Утверждаю</w:t>
                              </w:r>
                            </w:p>
                          </w:txbxContent>
                        </wps:txbx>
                        <wps:bodyPr wrap="square" lIns="0" tIns="0" rIns="0" bIns="0" rtlCol="0">
                          <a:noAutofit/>
                        </wps:bodyPr>
                      </wps:wsp>
                      <wps:wsp>
                        <wps:cNvPr id="9" name="Textbox 9"/>
                        <wps:cNvSpPr txBox="1"/>
                        <wps:spPr>
                          <a:xfrm>
                            <a:off x="2441366" y="592019"/>
                            <a:ext cx="218440" cy="147955"/>
                          </a:xfrm>
                          <a:prstGeom prst="rect">
                            <a:avLst/>
                          </a:prstGeom>
                        </wps:spPr>
                        <wps:txbx>
                          <w:txbxContent>
                            <w:p>
                              <w:pPr>
                                <w:spacing w:line="233" w:lineRule="exact" w:before="0"/>
                                <w:ind w:left="0" w:right="0" w:firstLine="0"/>
                                <w:jc w:val="left"/>
                                <w:rPr>
                                  <w:sz w:val="21"/>
                                </w:rPr>
                              </w:pPr>
                              <w:r>
                                <w:rPr>
                                  <w:color w:val="2B2A2D"/>
                                  <w:spacing w:val="-4"/>
                                  <w:sz w:val="21"/>
                                </w:rPr>
                                <w:t>rов,</w:t>
                              </w:r>
                            </w:p>
                          </w:txbxContent>
                        </wps:txbx>
                        <wps:bodyPr wrap="square" lIns="0" tIns="0" rIns="0" bIns="0" rtlCol="0">
                          <a:noAutofit/>
                        </wps:bodyPr>
                      </wps:wsp>
                    </wpg:wgp>
                  </a:graphicData>
                </a:graphic>
              </wp:anchor>
            </w:drawing>
          </mc:Choice>
          <mc:Fallback>
            <w:pict>
              <v:group style="position:absolute;margin-left:101.922798pt;margin-top:-30.516033pt;width:209.45pt;height:151.9pt;mso-position-horizontal-relative:page;mso-position-vertical-relative:paragraph;z-index:15729152" id="docshapegroup2" coordorigin="2038,-610" coordsize="4189,3038">
                <v:shape style="position:absolute;left:2038;top:-611;width:3924;height:3038" type="#_x0000_t75" id="docshape3" stroked="false">
                  <v:imagedata r:id="rId7" o:title=""/>
                </v:shape>
                <v:shapetype id="_x0000_t202" o:spt="202" coordsize="21600,21600" path="m,l,21600r21600,l21600,xe">
                  <v:stroke joinstyle="miter"/>
                  <v:path gradientshapeok="t" o:connecttype="rect"/>
                </v:shapetype>
                <v:shape style="position:absolute;left:2055;top:-11;width:1074;height:222" type="#_x0000_t202" id="docshape4" filled="false" stroked="false">
                  <v:textbox inset="0,0,0,0">
                    <w:txbxContent>
                      <w:p>
                        <w:pPr>
                          <w:spacing w:line="222" w:lineRule="exact" w:before="0"/>
                          <w:ind w:left="0" w:right="0" w:firstLine="0"/>
                          <w:jc w:val="left"/>
                          <w:rPr>
                            <w:b/>
                            <w:sz w:val="20"/>
                          </w:rPr>
                        </w:pPr>
                        <w:r>
                          <w:rPr>
                            <w:b/>
                            <w:color w:val="1C1A1C"/>
                            <w:spacing w:val="-2"/>
                            <w:sz w:val="20"/>
                          </w:rPr>
                          <w:t>Утверждаю</w:t>
                        </w:r>
                      </w:p>
                    </w:txbxContent>
                  </v:textbox>
                  <w10:wrap type="none"/>
                </v:shape>
                <v:shape style="position:absolute;left:5883;top:322;width:344;height:233" type="#_x0000_t202" id="docshape5" filled="false" stroked="false">
                  <v:textbox inset="0,0,0,0">
                    <w:txbxContent>
                      <w:p>
                        <w:pPr>
                          <w:spacing w:line="233" w:lineRule="exact" w:before="0"/>
                          <w:ind w:left="0" w:right="0" w:firstLine="0"/>
                          <w:jc w:val="left"/>
                          <w:rPr>
                            <w:sz w:val="21"/>
                          </w:rPr>
                        </w:pPr>
                        <w:r>
                          <w:rPr>
                            <w:color w:val="2B2A2D"/>
                            <w:spacing w:val="-4"/>
                            <w:sz w:val="21"/>
                          </w:rPr>
                          <w:t>rов,</w:t>
                        </w:r>
                      </w:p>
                    </w:txbxContent>
                  </v:textbox>
                  <w10:wrap type="none"/>
                </v:shape>
                <w10:wrap type="none"/>
              </v:group>
            </w:pict>
          </mc:Fallback>
        </mc:AlternateContent>
      </w:r>
      <w:r>
        <w:rPr>
          <w:b/>
          <w:color w:val="1C1A1C"/>
          <w:spacing w:val="-2"/>
          <w:sz w:val="20"/>
        </w:rPr>
        <w:t>Согласовано</w:t>
      </w:r>
    </w:p>
    <w:p>
      <w:pPr>
        <w:spacing w:line="352" w:lineRule="auto" w:before="107"/>
        <w:ind w:left="6711" w:right="114" w:firstLine="5"/>
        <w:jc w:val="left"/>
        <w:rPr>
          <w:sz w:val="21"/>
        </w:rPr>
      </w:pPr>
      <w:r>
        <w:rPr>
          <w:color w:val="1C1A1C"/>
          <w:spacing w:val="-2"/>
          <w:sz w:val="21"/>
        </w:rPr>
        <w:t>Научно-практическим</w:t>
      </w:r>
      <w:r>
        <w:rPr>
          <w:color w:val="1C1A1C"/>
          <w:spacing w:val="31"/>
          <w:sz w:val="21"/>
        </w:rPr>
        <w:t> </w:t>
      </w:r>
      <w:r>
        <w:rPr>
          <w:color w:val="1C1A1C"/>
          <w:spacing w:val="-2"/>
          <w:sz w:val="21"/>
        </w:rPr>
        <w:t>советом</w:t>
      </w:r>
      <w:r>
        <w:rPr>
          <w:color w:val="1C1A1C"/>
          <w:spacing w:val="46"/>
          <w:sz w:val="21"/>
        </w:rPr>
        <w:t> </w:t>
      </w:r>
      <w:r>
        <w:rPr>
          <w:color w:val="1C1A1C"/>
          <w:spacing w:val="-2"/>
          <w:sz w:val="21"/>
        </w:rPr>
        <w:t>Министерства </w:t>
      </w:r>
      <w:r>
        <w:rPr>
          <w:color w:val="1C1A1C"/>
          <w:sz w:val="21"/>
        </w:rPr>
        <w:t>З</w:t>
      </w:r>
      <w:r>
        <w:rPr>
          <w:color w:val="413F42"/>
          <w:sz w:val="21"/>
        </w:rPr>
        <w:t>д</w:t>
      </w:r>
      <w:r>
        <w:rPr>
          <w:color w:val="1C1A1C"/>
          <w:sz w:val="21"/>
        </w:rPr>
        <w:t>равоохранения Российской</w:t>
      </w:r>
      <w:r>
        <w:rPr>
          <w:color w:val="1C1A1C"/>
          <w:spacing w:val="40"/>
          <w:sz w:val="21"/>
        </w:rPr>
        <w:t> </w:t>
      </w:r>
      <w:r>
        <w:rPr>
          <w:color w:val="1C1A1C"/>
          <w:sz w:val="21"/>
        </w:rPr>
        <w:t>Федераuии</w:t>
      </w:r>
    </w:p>
    <w:p>
      <w:pPr>
        <w:spacing w:after="0" w:line="352" w:lineRule="auto"/>
        <w:jc w:val="left"/>
        <w:rPr>
          <w:sz w:val="21"/>
        </w:rPr>
        <w:sectPr>
          <w:type w:val="continuous"/>
          <w:pgSz w:w="12000" w:h="16900"/>
          <w:pgMar w:top="1060" w:bottom="0" w:left="0" w:right="1040"/>
        </w:sectPr>
      </w:pPr>
    </w:p>
    <w:p>
      <w:pPr>
        <w:pStyle w:val="BodyText"/>
        <w:spacing w:before="55"/>
        <w:ind w:left="0"/>
        <w:jc w:val="left"/>
      </w:pPr>
    </w:p>
    <w:p>
      <w:pPr>
        <w:pStyle w:val="Heading2"/>
        <w:jc w:val="left"/>
      </w:pPr>
      <w:bookmarkStart w:name="_bookmark0" w:id="1"/>
      <w:bookmarkEnd w:id="1"/>
      <w:r>
        <w:rPr>
          <w:b w:val="0"/>
        </w:rPr>
      </w:r>
      <w:r>
        <w:rPr>
          <w:spacing w:val="-2"/>
          <w:u w:val="single"/>
        </w:rPr>
        <w:t>Оглавление</w:t>
      </w:r>
    </w:p>
    <w:p>
      <w:pPr>
        <w:pStyle w:val="BodyText"/>
        <w:tabs>
          <w:tab w:pos="2866" w:val="left" w:leader="none"/>
        </w:tabs>
        <w:spacing w:before="132"/>
        <w:ind w:left="1450"/>
        <w:jc w:val="left"/>
      </w:pPr>
      <w:hyperlink w:history="true" w:anchor="_bookmark0">
        <w:r>
          <w:rPr>
            <w:spacing w:val="-2"/>
          </w:rPr>
          <w:t>Оглавление</w:t>
        </w:r>
        <w:r>
          <w:rPr/>
          <w:tab/>
        </w:r>
        <w:r>
          <w:rPr>
            <w:spacing w:val="-10"/>
          </w:rPr>
          <w:t>2</w:t>
        </w:r>
      </w:hyperlink>
    </w:p>
    <w:p>
      <w:pPr>
        <w:pStyle w:val="BodyText"/>
        <w:spacing w:before="140"/>
        <w:ind w:left="1450"/>
      </w:pPr>
      <w:hyperlink w:history="true" w:anchor="_bookmark1">
        <w:r>
          <w:rPr/>
          <w:t>Список</w:t>
        </w:r>
        <w:r>
          <w:rPr>
            <w:spacing w:val="-4"/>
          </w:rPr>
          <w:t> </w:t>
        </w:r>
        <w:r>
          <w:rPr/>
          <w:t>сокращений</w:t>
        </w:r>
        <w:r>
          <w:rPr>
            <w:spacing w:val="-4"/>
          </w:rPr>
          <w:t> </w:t>
        </w:r>
        <w:r>
          <w:rPr>
            <w:spacing w:val="-10"/>
          </w:rPr>
          <w:t>4</w:t>
        </w:r>
      </w:hyperlink>
    </w:p>
    <w:p>
      <w:pPr>
        <w:pStyle w:val="BodyText"/>
        <w:spacing w:before="136"/>
        <w:ind w:left="1450"/>
      </w:pPr>
      <w:hyperlink w:history="true" w:anchor="_bookmark2">
        <w:r>
          <w:rPr/>
          <w:t>Термины</w:t>
        </w:r>
        <w:r>
          <w:rPr>
            <w:spacing w:val="-2"/>
          </w:rPr>
          <w:t> </w:t>
        </w:r>
        <w:r>
          <w:rPr/>
          <w:t>и</w:t>
        </w:r>
        <w:r>
          <w:rPr>
            <w:spacing w:val="-1"/>
          </w:rPr>
          <w:t> </w:t>
        </w:r>
        <w:r>
          <w:rPr/>
          <w:t>определения</w:t>
        </w:r>
        <w:r>
          <w:rPr>
            <w:spacing w:val="79"/>
            <w:w w:val="150"/>
          </w:rPr>
          <w:t>  </w:t>
        </w:r>
        <w:r>
          <w:rPr>
            <w:spacing w:val="-10"/>
          </w:rPr>
          <w:t>5</w:t>
        </w:r>
      </w:hyperlink>
    </w:p>
    <w:p>
      <w:pPr>
        <w:pStyle w:val="ListParagraph"/>
        <w:numPr>
          <w:ilvl w:val="0"/>
          <w:numId w:val="1"/>
        </w:numPr>
        <w:tabs>
          <w:tab w:pos="1724" w:val="left" w:leader="none"/>
        </w:tabs>
        <w:spacing w:line="360" w:lineRule="auto" w:before="137" w:after="0"/>
        <w:ind w:left="742" w:right="834" w:firstLine="707"/>
        <w:jc w:val="both"/>
        <w:rPr>
          <w:sz w:val="24"/>
        </w:rPr>
      </w:pPr>
      <w:hyperlink w:history="true" w:anchor="_bookmark3">
        <w:r>
          <w:rPr>
            <w:sz w:val="24"/>
          </w:rPr>
          <w:t>Краткая информация по заболеванию или состоянию (группе заболеваний или</w:t>
        </w:r>
      </w:hyperlink>
      <w:r>
        <w:rPr>
          <w:sz w:val="24"/>
        </w:rPr>
        <w:t> </w:t>
      </w:r>
      <w:hyperlink w:history="true" w:anchor="_bookmark3">
        <w:r>
          <w:rPr>
            <w:sz w:val="24"/>
          </w:rPr>
          <w:t>состояний)</w:t>
        </w:r>
        <w:r>
          <w:rPr>
            <w:spacing w:val="40"/>
            <w:sz w:val="24"/>
          </w:rPr>
          <w:t>  </w:t>
        </w:r>
        <w:r>
          <w:rPr>
            <w:sz w:val="24"/>
          </w:rPr>
          <w:t>6</w:t>
        </w:r>
      </w:hyperlink>
    </w:p>
    <w:p>
      <w:pPr>
        <w:spacing w:after="0" w:line="360" w:lineRule="auto"/>
        <w:jc w:val="both"/>
        <w:rPr>
          <w:sz w:val="24"/>
        </w:rPr>
        <w:sectPr>
          <w:footerReference w:type="default" r:id="rId8"/>
          <w:pgSz w:w="11910" w:h="16840"/>
          <w:pgMar w:header="0" w:footer="867" w:top="1920" w:bottom="1304" w:left="960" w:right="20"/>
          <w:pgNumType w:start="2"/>
        </w:sectPr>
      </w:pPr>
    </w:p>
    <w:sdt>
      <w:sdtPr>
        <w:docPartObj>
          <w:docPartGallery w:val="Table of Contents"/>
          <w:docPartUnique/>
        </w:docPartObj>
      </w:sdtPr>
      <w:sdtEndPr/>
      <w:sdtContent>
        <w:p>
          <w:pPr>
            <w:pStyle w:val="TOC1"/>
            <w:numPr>
              <w:ilvl w:val="1"/>
              <w:numId w:val="1"/>
            </w:numPr>
            <w:tabs>
              <w:tab w:pos="1385" w:val="left" w:leader="none"/>
            </w:tabs>
            <w:spacing w:line="240" w:lineRule="auto" w:before="1" w:after="0"/>
            <w:ind w:left="1385" w:right="0" w:hanging="360"/>
            <w:jc w:val="both"/>
          </w:pPr>
          <w:hyperlink w:history="true" w:anchor="_bookmark4">
            <w:r>
              <w:rPr/>
              <w:t>Определение</w:t>
            </w:r>
            <w:r>
              <w:rPr>
                <w:spacing w:val="-4"/>
              </w:rPr>
              <w:t> </w:t>
            </w:r>
            <w:r>
              <w:rPr/>
              <w:t>заболевания</w:t>
            </w:r>
            <w:r>
              <w:rPr>
                <w:spacing w:val="-2"/>
              </w:rPr>
              <w:t> </w:t>
            </w:r>
            <w:r>
              <w:rPr/>
              <w:t>или</w:t>
            </w:r>
            <w:r>
              <w:rPr>
                <w:spacing w:val="-1"/>
              </w:rPr>
              <w:t> </w:t>
            </w:r>
            <w:r>
              <w:rPr/>
              <w:t>состояния</w:t>
            </w:r>
            <w:r>
              <w:rPr>
                <w:spacing w:val="-2"/>
              </w:rPr>
              <w:t> </w:t>
            </w:r>
            <w:r>
              <w:rPr/>
              <w:t>(группы</w:t>
            </w:r>
            <w:r>
              <w:rPr>
                <w:spacing w:val="-3"/>
              </w:rPr>
              <w:t> </w:t>
            </w:r>
            <w:r>
              <w:rPr/>
              <w:t>заболеваний</w:t>
            </w:r>
            <w:r>
              <w:rPr>
                <w:spacing w:val="-2"/>
              </w:rPr>
              <w:t> </w:t>
            </w:r>
            <w:r>
              <w:rPr/>
              <w:t>или</w:t>
            </w:r>
            <w:r>
              <w:rPr>
                <w:spacing w:val="-4"/>
              </w:rPr>
              <w:t> </w:t>
            </w:r>
            <w:r>
              <w:rPr/>
              <w:t>состояний)</w:t>
            </w:r>
            <w:r>
              <w:rPr>
                <w:spacing w:val="72"/>
                <w:w w:val="150"/>
              </w:rPr>
              <w:t>   </w:t>
            </w:r>
            <w:r>
              <w:rPr>
                <w:spacing w:val="-10"/>
              </w:rPr>
              <w:t>6</w:t>
            </w:r>
          </w:hyperlink>
        </w:p>
        <w:p>
          <w:pPr>
            <w:pStyle w:val="TOC1"/>
            <w:numPr>
              <w:ilvl w:val="1"/>
              <w:numId w:val="1"/>
            </w:numPr>
            <w:tabs>
              <w:tab w:pos="1479" w:val="left" w:leader="none"/>
            </w:tabs>
            <w:spacing w:line="360" w:lineRule="auto" w:before="139" w:after="0"/>
            <w:ind w:left="962" w:right="830" w:firstLine="62"/>
            <w:jc w:val="both"/>
          </w:pPr>
          <w:hyperlink w:history="true" w:anchor="_bookmark5">
            <w:r>
              <w:rPr/>
              <w:t>Этиология и патогенез заболевания или состояния (группы заболеваний или</w:t>
            </w:r>
          </w:hyperlink>
          <w:r>
            <w:rPr/>
            <w:t> </w:t>
          </w:r>
          <w:hyperlink w:history="true" w:anchor="_bookmark5">
            <w:r>
              <w:rPr/>
              <w:t>состояний) 6</w:t>
            </w:r>
          </w:hyperlink>
        </w:p>
        <w:p>
          <w:pPr>
            <w:pStyle w:val="TOC1"/>
            <w:numPr>
              <w:ilvl w:val="1"/>
              <w:numId w:val="1"/>
            </w:numPr>
            <w:tabs>
              <w:tab w:pos="1385" w:val="left" w:leader="none"/>
            </w:tabs>
            <w:spacing w:line="240" w:lineRule="auto" w:before="0" w:after="0"/>
            <w:ind w:left="1385" w:right="0" w:hanging="360"/>
            <w:jc w:val="both"/>
          </w:pPr>
          <w:hyperlink w:history="true" w:anchor="_bookmark6">
            <w:r>
              <w:rPr/>
              <w:t>Эпидемиология</w:t>
            </w:r>
            <w:r>
              <w:rPr>
                <w:spacing w:val="-5"/>
              </w:rPr>
              <w:t> </w:t>
            </w:r>
            <w:r>
              <w:rPr/>
              <w:t>заболевания</w:t>
            </w:r>
            <w:r>
              <w:rPr>
                <w:spacing w:val="-3"/>
              </w:rPr>
              <w:t> </w:t>
            </w:r>
            <w:r>
              <w:rPr/>
              <w:t>или</w:t>
            </w:r>
            <w:r>
              <w:rPr>
                <w:spacing w:val="-3"/>
              </w:rPr>
              <w:t> </w:t>
            </w:r>
            <w:r>
              <w:rPr/>
              <w:t>состояния</w:t>
            </w:r>
            <w:r>
              <w:rPr>
                <w:spacing w:val="-3"/>
              </w:rPr>
              <w:t> </w:t>
            </w:r>
            <w:r>
              <w:rPr/>
              <w:t>(группы</w:t>
            </w:r>
            <w:r>
              <w:rPr>
                <w:spacing w:val="-4"/>
              </w:rPr>
              <w:t> </w:t>
            </w:r>
            <w:r>
              <w:rPr/>
              <w:t>заболеваний</w:t>
            </w:r>
            <w:r>
              <w:rPr>
                <w:spacing w:val="-3"/>
              </w:rPr>
              <w:t> </w:t>
            </w:r>
            <w:r>
              <w:rPr/>
              <w:t>или</w:t>
            </w:r>
            <w:r>
              <w:rPr>
                <w:spacing w:val="-3"/>
              </w:rPr>
              <w:t> </w:t>
            </w:r>
            <w:r>
              <w:rPr/>
              <w:t>состояний)</w:t>
            </w:r>
          </w:hyperlink>
          <w:r>
            <w:rPr>
              <w:spacing w:val="49"/>
            </w:rPr>
            <w:t>  </w:t>
          </w:r>
          <w:r>
            <w:rPr>
              <w:spacing w:val="-10"/>
            </w:rPr>
            <w:t>7</w:t>
          </w:r>
        </w:p>
        <w:p>
          <w:pPr>
            <w:pStyle w:val="TOC1"/>
            <w:numPr>
              <w:ilvl w:val="1"/>
              <w:numId w:val="1"/>
            </w:numPr>
            <w:tabs>
              <w:tab w:pos="1443" w:val="left" w:leader="none"/>
            </w:tabs>
            <w:spacing w:line="360" w:lineRule="auto" w:before="137" w:after="0"/>
            <w:ind w:left="962" w:right="833" w:firstLine="62"/>
            <w:jc w:val="both"/>
          </w:pPr>
          <w:hyperlink w:history="true" w:anchor="_bookmark7">
            <w:r>
              <w:rPr/>
              <w:t>Особенности кодирования заболевания или состояния (группы заболеваний или</w:t>
            </w:r>
          </w:hyperlink>
          <w:r>
            <w:rPr/>
            <w:t> </w:t>
          </w:r>
          <w:hyperlink w:history="true" w:anchor="_bookmark7">
            <w:r>
              <w:rPr/>
              <w:t>состояний) по Международной статистической классификации болезней и проблем,</w:t>
            </w:r>
          </w:hyperlink>
          <w:r>
            <w:rPr/>
            <w:t> </w:t>
          </w:r>
          <w:hyperlink w:history="true" w:anchor="_bookmark7">
            <w:r>
              <w:rPr/>
              <w:t>связанных со здоровьем</w:t>
            </w:r>
          </w:hyperlink>
          <w:r>
            <w:rPr>
              <w:spacing w:val="40"/>
            </w:rPr>
            <w:t> </w:t>
          </w:r>
          <w:r>
            <w:rPr/>
            <w:t>7</w:t>
          </w:r>
        </w:p>
        <w:p>
          <w:pPr>
            <w:pStyle w:val="TOC1"/>
            <w:numPr>
              <w:ilvl w:val="1"/>
              <w:numId w:val="1"/>
            </w:numPr>
            <w:tabs>
              <w:tab w:pos="1385" w:val="left" w:leader="none"/>
            </w:tabs>
            <w:spacing w:line="240" w:lineRule="auto" w:before="1" w:after="0"/>
            <w:ind w:left="1385" w:right="0" w:hanging="360"/>
            <w:jc w:val="both"/>
          </w:pPr>
          <w:hyperlink w:history="true" w:anchor="_bookmark8">
            <w:r>
              <w:rPr/>
              <w:t>Классификация</w:t>
            </w:r>
            <w:r>
              <w:rPr>
                <w:spacing w:val="-5"/>
              </w:rPr>
              <w:t> </w:t>
            </w:r>
            <w:r>
              <w:rPr/>
              <w:t>заболевания</w:t>
            </w:r>
            <w:r>
              <w:rPr>
                <w:spacing w:val="-3"/>
              </w:rPr>
              <w:t> </w:t>
            </w:r>
            <w:r>
              <w:rPr/>
              <w:t>или</w:t>
            </w:r>
            <w:r>
              <w:rPr>
                <w:spacing w:val="-3"/>
              </w:rPr>
              <w:t> </w:t>
            </w:r>
            <w:r>
              <w:rPr/>
              <w:t>состояния</w:t>
            </w:r>
            <w:r>
              <w:rPr>
                <w:spacing w:val="-3"/>
              </w:rPr>
              <w:t> </w:t>
            </w:r>
            <w:r>
              <w:rPr/>
              <w:t>(группы</w:t>
            </w:r>
            <w:r>
              <w:rPr>
                <w:spacing w:val="-3"/>
              </w:rPr>
              <w:t> </w:t>
            </w:r>
            <w:r>
              <w:rPr/>
              <w:t>заболеваний</w:t>
            </w:r>
            <w:r>
              <w:rPr>
                <w:spacing w:val="-4"/>
              </w:rPr>
              <w:t> </w:t>
            </w:r>
            <w:r>
              <w:rPr/>
              <w:t>или</w:t>
            </w:r>
            <w:r>
              <w:rPr>
                <w:spacing w:val="-2"/>
              </w:rPr>
              <w:t> </w:t>
            </w:r>
            <w:r>
              <w:rPr/>
              <w:t>состояний)</w:t>
            </w:r>
          </w:hyperlink>
          <w:r>
            <w:rPr>
              <w:spacing w:val="59"/>
            </w:rPr>
            <w:t>  </w:t>
          </w:r>
          <w:r>
            <w:rPr>
              <w:spacing w:val="-10"/>
            </w:rPr>
            <w:t>7</w:t>
          </w:r>
        </w:p>
        <w:p>
          <w:pPr>
            <w:pStyle w:val="TOC1"/>
            <w:numPr>
              <w:ilvl w:val="1"/>
              <w:numId w:val="1"/>
            </w:numPr>
            <w:tabs>
              <w:tab w:pos="1508" w:val="left" w:leader="none"/>
            </w:tabs>
            <w:spacing w:line="360" w:lineRule="auto" w:before="137" w:after="0"/>
            <w:ind w:left="962" w:right="824" w:firstLine="62"/>
            <w:jc w:val="both"/>
          </w:pPr>
          <w:hyperlink w:history="true" w:anchor="_bookmark9">
            <w:r>
              <w:rPr/>
              <w:t>Клиническая картина заболевания или состояния (группы заболеваний или</w:t>
            </w:r>
          </w:hyperlink>
          <w:r>
            <w:rPr/>
            <w:t> </w:t>
          </w:r>
          <w:hyperlink w:history="true" w:anchor="_bookmark9">
            <w:r>
              <w:rPr/>
              <w:t>состояний)</w:t>
            </w:r>
          </w:hyperlink>
          <w:r>
            <w:rPr/>
            <w:t> 7</w:t>
          </w:r>
        </w:p>
        <w:p>
          <w:pPr>
            <w:pStyle w:val="TOC2"/>
            <w:numPr>
              <w:ilvl w:val="0"/>
              <w:numId w:val="1"/>
            </w:numPr>
            <w:tabs>
              <w:tab w:pos="1729" w:val="left" w:leader="none"/>
            </w:tabs>
            <w:spacing w:line="360" w:lineRule="auto" w:before="1" w:after="0"/>
            <w:ind w:left="742" w:right="832" w:firstLine="707"/>
            <w:jc w:val="both"/>
          </w:pPr>
          <w:hyperlink w:history="true" w:anchor="_bookmark10">
            <w:r>
              <w:rPr/>
              <w:t>Диагностика заболевания или состояния (группы заболеваний или состояний),</w:t>
            </w:r>
          </w:hyperlink>
          <w:r>
            <w:rPr/>
            <w:t> </w:t>
          </w:r>
          <w:hyperlink w:history="true" w:anchor="_bookmark10">
            <w:r>
              <w:rPr/>
              <w:t>медицинские показания и противопоказания к применению методов диагностики</w:t>
            </w:r>
          </w:hyperlink>
          <w:r>
            <w:rPr>
              <w:spacing w:val="40"/>
            </w:rPr>
            <w:t> </w:t>
          </w:r>
          <w:r>
            <w:rPr/>
            <w:t>8</w:t>
          </w:r>
        </w:p>
        <w:p>
          <w:pPr>
            <w:pStyle w:val="TOC1"/>
            <w:numPr>
              <w:ilvl w:val="1"/>
              <w:numId w:val="1"/>
            </w:numPr>
            <w:tabs>
              <w:tab w:pos="1385" w:val="left" w:leader="none"/>
            </w:tabs>
            <w:spacing w:line="240" w:lineRule="auto" w:before="0" w:after="0"/>
            <w:ind w:left="1385" w:right="0" w:hanging="360"/>
            <w:jc w:val="both"/>
          </w:pPr>
          <w:hyperlink w:history="true" w:anchor="_bookmark11">
            <w:r>
              <w:rPr/>
              <w:t>Жалобы</w:t>
            </w:r>
            <w:r>
              <w:rPr>
                <w:spacing w:val="-1"/>
              </w:rPr>
              <w:t> </w:t>
            </w:r>
            <w:r>
              <w:rPr/>
              <w:t>и</w:t>
            </w:r>
            <w:r>
              <w:rPr>
                <w:spacing w:val="-1"/>
              </w:rPr>
              <w:t> </w:t>
            </w:r>
            <w:r>
              <w:rPr/>
              <w:t>анамнез</w:t>
            </w:r>
            <w:r>
              <w:rPr>
                <w:spacing w:val="75"/>
              </w:rPr>
              <w:t>  </w:t>
            </w:r>
            <w:r>
              <w:rPr>
                <w:spacing w:val="-10"/>
              </w:rPr>
              <w:t>8</w:t>
            </w:r>
          </w:hyperlink>
        </w:p>
        <w:p>
          <w:pPr>
            <w:pStyle w:val="TOC1"/>
            <w:numPr>
              <w:ilvl w:val="1"/>
              <w:numId w:val="1"/>
            </w:numPr>
            <w:tabs>
              <w:tab w:pos="1385" w:val="left" w:leader="none"/>
            </w:tabs>
            <w:spacing w:line="240" w:lineRule="auto" w:before="139" w:after="0"/>
            <w:ind w:left="1385" w:right="0" w:hanging="360"/>
            <w:jc w:val="both"/>
          </w:pPr>
          <w:hyperlink w:history="true" w:anchor="_bookmark12">
            <w:r>
              <w:rPr/>
              <w:t>Физикальное</w:t>
            </w:r>
            <w:r>
              <w:rPr>
                <w:spacing w:val="-5"/>
              </w:rPr>
              <w:t> </w:t>
            </w:r>
            <w:r>
              <w:rPr/>
              <w:t>обследование</w:t>
            </w:r>
          </w:hyperlink>
          <w:r>
            <w:rPr>
              <w:spacing w:val="22"/>
            </w:rPr>
            <w:t> </w:t>
          </w:r>
          <w:r>
            <w:rPr>
              <w:spacing w:val="-10"/>
            </w:rPr>
            <w:t>9</w:t>
          </w:r>
        </w:p>
        <w:p>
          <w:pPr>
            <w:pStyle w:val="TOC1"/>
            <w:numPr>
              <w:ilvl w:val="1"/>
              <w:numId w:val="1"/>
            </w:numPr>
            <w:tabs>
              <w:tab w:pos="1385" w:val="left" w:leader="none"/>
            </w:tabs>
            <w:spacing w:line="240" w:lineRule="auto" w:before="137" w:after="0"/>
            <w:ind w:left="1385" w:right="0" w:hanging="360"/>
            <w:jc w:val="both"/>
          </w:pPr>
          <w:hyperlink w:history="true" w:anchor="_bookmark13">
            <w:r>
              <w:rPr/>
              <w:t>Лабораторные</w:t>
            </w:r>
            <w:r>
              <w:rPr>
                <w:spacing w:val="-4"/>
              </w:rPr>
              <w:t> </w:t>
            </w:r>
            <w:r>
              <w:rPr/>
              <w:t>диагностические</w:t>
            </w:r>
            <w:r>
              <w:rPr>
                <w:spacing w:val="-3"/>
              </w:rPr>
              <w:t> </w:t>
            </w:r>
            <w:r>
              <w:rPr/>
              <w:t>исследования</w:t>
            </w:r>
          </w:hyperlink>
          <w:r>
            <w:rPr>
              <w:spacing w:val="54"/>
              <w:w w:val="150"/>
            </w:rPr>
            <w:t>  </w:t>
          </w:r>
          <w:r>
            <w:rPr>
              <w:spacing w:val="-5"/>
            </w:rPr>
            <w:t>10</w:t>
          </w:r>
        </w:p>
        <w:p>
          <w:pPr>
            <w:pStyle w:val="TOC1"/>
            <w:numPr>
              <w:ilvl w:val="1"/>
              <w:numId w:val="1"/>
            </w:numPr>
            <w:tabs>
              <w:tab w:pos="1385" w:val="left" w:leader="none"/>
            </w:tabs>
            <w:spacing w:line="240" w:lineRule="auto" w:before="139" w:after="0"/>
            <w:ind w:left="1385" w:right="0" w:hanging="360"/>
            <w:jc w:val="both"/>
          </w:pPr>
          <w:r>
            <w:rPr/>
            <w:t>Инструментальные</w:t>
          </w:r>
          <w:r>
            <w:rPr>
              <w:spacing w:val="-4"/>
            </w:rPr>
            <w:t> </w:t>
          </w:r>
          <w:r>
            <w:rPr/>
            <w:t>диагностические</w:t>
          </w:r>
          <w:r>
            <w:rPr>
              <w:spacing w:val="-3"/>
            </w:rPr>
            <w:t> </w:t>
          </w:r>
          <w:r>
            <w:rPr/>
            <w:t>исследования</w:t>
          </w:r>
          <w:r>
            <w:rPr>
              <w:spacing w:val="75"/>
              <w:w w:val="150"/>
            </w:rPr>
            <w:t>   </w:t>
          </w:r>
          <w:r>
            <w:rPr>
              <w:spacing w:val="-5"/>
            </w:rPr>
            <w:t>10</w:t>
          </w:r>
        </w:p>
        <w:p>
          <w:pPr>
            <w:pStyle w:val="TOC1"/>
            <w:numPr>
              <w:ilvl w:val="1"/>
              <w:numId w:val="1"/>
            </w:numPr>
            <w:tabs>
              <w:tab w:pos="1385" w:val="left" w:leader="none"/>
            </w:tabs>
            <w:spacing w:line="240" w:lineRule="auto" w:before="137" w:after="0"/>
            <w:ind w:left="1385" w:right="0" w:hanging="360"/>
            <w:jc w:val="both"/>
          </w:pPr>
          <w:hyperlink w:history="true" w:anchor="_bookmark14">
            <w:r>
              <w:rPr/>
              <w:t>Иные</w:t>
            </w:r>
            <w:r>
              <w:rPr>
                <w:spacing w:val="-3"/>
              </w:rPr>
              <w:t> </w:t>
            </w:r>
            <w:r>
              <w:rPr/>
              <w:t>диагностические</w:t>
            </w:r>
            <w:r>
              <w:rPr>
                <w:spacing w:val="-2"/>
              </w:rPr>
              <w:t> </w:t>
            </w:r>
            <w:r>
              <w:rPr/>
              <w:t>исследования</w:t>
            </w:r>
          </w:hyperlink>
          <w:r>
            <w:rPr>
              <w:spacing w:val="73"/>
              <w:w w:val="150"/>
            </w:rPr>
            <w:t>   </w:t>
          </w:r>
          <w:r>
            <w:rPr>
              <w:spacing w:val="-5"/>
            </w:rPr>
            <w:t>11</w:t>
          </w:r>
        </w:p>
        <w:p>
          <w:pPr>
            <w:pStyle w:val="TOC2"/>
            <w:numPr>
              <w:ilvl w:val="0"/>
              <w:numId w:val="1"/>
            </w:numPr>
            <w:tabs>
              <w:tab w:pos="1911" w:val="left" w:leader="none"/>
            </w:tabs>
            <w:spacing w:line="360" w:lineRule="auto" w:before="140" w:after="0"/>
            <w:ind w:left="742" w:right="832" w:firstLine="707"/>
            <w:jc w:val="both"/>
          </w:pPr>
          <w:hyperlink w:history="true" w:anchor="_bookmark15">
            <w:r>
              <w:rPr/>
              <w:t>Лечение, включая медикаментозную и немедикаментозную терапии,</w:t>
            </w:r>
          </w:hyperlink>
          <w:r>
            <w:rPr/>
            <w:t> </w:t>
          </w:r>
          <w:hyperlink w:history="true" w:anchor="_bookmark15">
            <w:r>
              <w:rPr/>
              <w:t>диетотерапию,</w:t>
            </w:r>
            <w:r>
              <w:rPr>
                <w:spacing w:val="-3"/>
              </w:rPr>
              <w:t> </w:t>
            </w:r>
            <w:r>
              <w:rPr/>
              <w:t>обезболивание,</w:t>
            </w:r>
            <w:r>
              <w:rPr>
                <w:spacing w:val="-3"/>
              </w:rPr>
              <w:t> </w:t>
            </w:r>
            <w:r>
              <w:rPr/>
              <w:t>медицинские</w:t>
            </w:r>
            <w:r>
              <w:rPr>
                <w:spacing w:val="-4"/>
              </w:rPr>
              <w:t> </w:t>
            </w:r>
            <w:r>
              <w:rPr/>
              <w:t>показания</w:t>
            </w:r>
            <w:r>
              <w:rPr>
                <w:spacing w:val="-3"/>
              </w:rPr>
              <w:t> </w:t>
            </w:r>
            <w:r>
              <w:rPr/>
              <w:t>и</w:t>
            </w:r>
            <w:r>
              <w:rPr>
                <w:spacing w:val="-2"/>
              </w:rPr>
              <w:t> </w:t>
            </w:r>
            <w:r>
              <w:rPr/>
              <w:t>противопоказания</w:t>
            </w:r>
            <w:r>
              <w:rPr>
                <w:spacing w:val="-3"/>
              </w:rPr>
              <w:t> </w:t>
            </w:r>
            <w:r>
              <w:rPr/>
              <w:t>к</w:t>
            </w:r>
            <w:r>
              <w:rPr>
                <w:spacing w:val="-3"/>
              </w:rPr>
              <w:t> </w:t>
            </w:r>
            <w:r>
              <w:rPr/>
              <w:t>применению</w:t>
            </w:r>
          </w:hyperlink>
          <w:r>
            <w:rPr/>
            <w:t> </w:t>
          </w:r>
          <w:hyperlink w:history="true" w:anchor="_bookmark15">
            <w:r>
              <w:rPr/>
              <w:t>методов лечения</w:t>
            </w:r>
          </w:hyperlink>
          <w:r>
            <w:rPr>
              <w:spacing w:val="80"/>
            </w:rPr>
            <w:t>  </w:t>
          </w:r>
          <w:r>
            <w:rPr/>
            <w:t>11</w:t>
          </w:r>
        </w:p>
        <w:p>
          <w:pPr>
            <w:pStyle w:val="TOC1"/>
            <w:numPr>
              <w:ilvl w:val="1"/>
              <w:numId w:val="1"/>
            </w:numPr>
            <w:tabs>
              <w:tab w:pos="1385" w:val="left" w:leader="none"/>
            </w:tabs>
            <w:spacing w:line="275" w:lineRule="exact" w:before="0" w:after="0"/>
            <w:ind w:left="1385" w:right="0" w:hanging="360"/>
            <w:jc w:val="both"/>
          </w:pPr>
          <w:hyperlink w:history="true" w:anchor="_bookmark16">
            <w:r>
              <w:rPr/>
              <w:t>Консервативное</w:t>
            </w:r>
            <w:r>
              <w:rPr>
                <w:spacing w:val="-2"/>
              </w:rPr>
              <w:t> </w:t>
            </w:r>
            <w:r>
              <w:rPr/>
              <w:t>лечение</w:t>
            </w:r>
            <w:r>
              <w:rPr>
                <w:spacing w:val="56"/>
              </w:rPr>
              <w:t>   </w:t>
            </w:r>
            <w:r>
              <w:rPr>
                <w:spacing w:val="-5"/>
              </w:rPr>
              <w:t>11</w:t>
            </w:r>
          </w:hyperlink>
        </w:p>
        <w:p>
          <w:pPr>
            <w:pStyle w:val="TOC1"/>
            <w:numPr>
              <w:ilvl w:val="1"/>
              <w:numId w:val="1"/>
            </w:numPr>
            <w:tabs>
              <w:tab w:pos="1385" w:val="left" w:leader="none"/>
            </w:tabs>
            <w:spacing w:line="240" w:lineRule="auto" w:before="139" w:after="0"/>
            <w:ind w:left="1385" w:right="0" w:hanging="360"/>
            <w:jc w:val="both"/>
          </w:pPr>
          <w:hyperlink w:history="true" w:anchor="_bookmark17">
            <w:r>
              <w:rPr/>
              <w:t>Хирургическое</w:t>
            </w:r>
            <w:r>
              <w:rPr>
                <w:spacing w:val="-2"/>
              </w:rPr>
              <w:t> </w:t>
            </w:r>
            <w:r>
              <w:rPr/>
              <w:t>лечение</w:t>
            </w:r>
            <w:r>
              <w:rPr>
                <w:spacing w:val="59"/>
                <w:w w:val="150"/>
              </w:rPr>
              <w:t>   </w:t>
            </w:r>
            <w:r>
              <w:rPr>
                <w:spacing w:val="-5"/>
              </w:rPr>
              <w:t>1</w:t>
            </w:r>
          </w:hyperlink>
          <w:r>
            <w:rPr>
              <w:spacing w:val="-5"/>
            </w:rPr>
            <w:t>3</w:t>
          </w:r>
        </w:p>
        <w:p>
          <w:pPr>
            <w:pStyle w:val="TOC1"/>
            <w:numPr>
              <w:ilvl w:val="1"/>
              <w:numId w:val="1"/>
            </w:numPr>
            <w:tabs>
              <w:tab w:pos="1384" w:val="left" w:leader="none"/>
            </w:tabs>
            <w:spacing w:line="240" w:lineRule="auto" w:before="137" w:after="0"/>
            <w:ind w:left="1384" w:right="0" w:hanging="359"/>
            <w:jc w:val="both"/>
          </w:pPr>
          <w:hyperlink w:history="true" w:anchor="_bookmark18">
            <w:r>
              <w:rPr/>
              <w:t>Иное</w:t>
            </w:r>
            <w:r>
              <w:rPr>
                <w:spacing w:val="-3"/>
              </w:rPr>
              <w:t> </w:t>
            </w:r>
            <w:r>
              <w:rPr/>
              <w:t>лечение</w:t>
            </w:r>
            <w:r>
              <w:rPr>
                <w:spacing w:val="15"/>
              </w:rPr>
              <w:t> </w:t>
            </w:r>
            <w:r>
              <w:rPr>
                <w:spacing w:val="-5"/>
              </w:rPr>
              <w:t>16</w:t>
            </w:r>
          </w:hyperlink>
        </w:p>
        <w:p>
          <w:pPr>
            <w:pStyle w:val="TOC2"/>
            <w:numPr>
              <w:ilvl w:val="0"/>
              <w:numId w:val="1"/>
            </w:numPr>
            <w:tabs>
              <w:tab w:pos="1815" w:val="left" w:leader="none"/>
            </w:tabs>
            <w:spacing w:line="360" w:lineRule="auto" w:before="139" w:after="20"/>
            <w:ind w:left="742" w:right="822" w:firstLine="707"/>
            <w:jc w:val="both"/>
          </w:pPr>
          <w:hyperlink w:history="true" w:anchor="_bookmark19">
            <w:r>
              <w:rPr/>
              <w:t>Медицинская реабилитация и санаторно-курортное лечение, медицинские</w:t>
            </w:r>
          </w:hyperlink>
          <w:r>
            <w:rPr/>
            <w:t> </w:t>
          </w:r>
          <w:hyperlink w:history="true" w:anchor="_bookmark19">
            <w:r>
              <w:rPr/>
              <w:t>показания и противопоказания к применению методов медицинской реабилитации, в том</w:t>
            </w:r>
          </w:hyperlink>
          <w:r>
            <w:rPr/>
            <w:t> </w:t>
          </w:r>
          <w:hyperlink w:history="true" w:anchor="_bookmark19">
            <w:r>
              <w:rPr/>
              <w:t>числе основанных на использовании природных лечебных факторов 1</w:t>
            </w:r>
          </w:hyperlink>
          <w:r>
            <w:rPr/>
            <w:t>6</w:t>
          </w:r>
        </w:p>
        <w:p>
          <w:pPr>
            <w:pStyle w:val="TOC2"/>
            <w:numPr>
              <w:ilvl w:val="0"/>
              <w:numId w:val="1"/>
            </w:numPr>
            <w:tabs>
              <w:tab w:pos="1857" w:val="left" w:leader="none"/>
              <w:tab w:pos="3584" w:val="left" w:leader="none"/>
              <w:tab w:pos="3939" w:val="left" w:leader="none"/>
              <w:tab w:pos="5574" w:val="left" w:leader="none"/>
              <w:tab w:pos="7113" w:val="left" w:leader="none"/>
              <w:tab w:pos="8691" w:val="left" w:leader="none"/>
              <w:tab w:pos="9962" w:val="left" w:leader="none"/>
            </w:tabs>
            <w:spacing w:line="360" w:lineRule="auto" w:before="71" w:after="0"/>
            <w:ind w:left="742" w:right="833" w:firstLine="707"/>
            <w:jc w:val="left"/>
          </w:pPr>
          <w:hyperlink w:history="true" w:anchor="_bookmark20">
            <w:r>
              <w:rPr>
                <w:spacing w:val="-2"/>
              </w:rPr>
              <w:t>Профилактика</w:t>
            </w:r>
            <w:r>
              <w:rPr/>
              <w:tab/>
            </w:r>
            <w:r>
              <w:rPr>
                <w:spacing w:val="-10"/>
              </w:rPr>
              <w:t>и</w:t>
            </w:r>
            <w:r>
              <w:rPr/>
              <w:tab/>
            </w:r>
            <w:r>
              <w:rPr>
                <w:spacing w:val="-2"/>
              </w:rPr>
              <w:t>диспансерное</w:t>
            </w:r>
            <w:r>
              <w:rPr/>
              <w:tab/>
            </w:r>
            <w:r>
              <w:rPr>
                <w:spacing w:val="-2"/>
              </w:rPr>
              <w:t>наблюдение,</w:t>
            </w:r>
            <w:r>
              <w:rPr/>
              <w:tab/>
            </w:r>
            <w:r>
              <w:rPr>
                <w:spacing w:val="-2"/>
              </w:rPr>
              <w:t>медицинские</w:t>
            </w:r>
            <w:r>
              <w:rPr/>
              <w:tab/>
            </w:r>
            <w:r>
              <w:rPr>
                <w:spacing w:val="-2"/>
              </w:rPr>
              <w:t>показания</w:t>
            </w:r>
            <w:r>
              <w:rPr/>
              <w:tab/>
            </w:r>
            <w:r>
              <w:rPr>
                <w:spacing w:val="-10"/>
              </w:rPr>
              <w:t>и</w:t>
            </w:r>
          </w:hyperlink>
          <w:r>
            <w:rPr>
              <w:spacing w:val="-10"/>
            </w:rPr>
            <w:t> </w:t>
          </w:r>
          <w:hyperlink w:history="true" w:anchor="_bookmark20">
            <w:r>
              <w:rPr/>
              <w:t>противопоказания к применению методов профилактики</w:t>
              <w:tab/>
            </w:r>
            <w:r>
              <w:rPr>
                <w:spacing w:val="-60"/>
              </w:rPr>
              <w:t> </w:t>
            </w:r>
            <w:r>
              <w:rPr>
                <w:spacing w:val="-6"/>
              </w:rPr>
              <w:t>1</w:t>
            </w:r>
          </w:hyperlink>
          <w:r>
            <w:rPr>
              <w:spacing w:val="-6"/>
            </w:rPr>
            <w:t>6</w:t>
          </w:r>
        </w:p>
        <w:p>
          <w:pPr>
            <w:pStyle w:val="TOC2"/>
            <w:numPr>
              <w:ilvl w:val="0"/>
              <w:numId w:val="1"/>
            </w:numPr>
            <w:tabs>
              <w:tab w:pos="1690" w:val="left" w:leader="none"/>
            </w:tabs>
            <w:spacing w:line="240" w:lineRule="auto" w:before="1" w:after="0"/>
            <w:ind w:left="1690" w:right="0" w:hanging="240"/>
            <w:jc w:val="left"/>
          </w:pPr>
          <w:hyperlink w:history="true" w:anchor="_bookmark21">
            <w:r>
              <w:rPr/>
              <w:t>Организация</w:t>
            </w:r>
            <w:r>
              <w:rPr>
                <w:spacing w:val="-7"/>
              </w:rPr>
              <w:t> </w:t>
            </w:r>
            <w:r>
              <w:rPr/>
              <w:t>оказания</w:t>
            </w:r>
            <w:r>
              <w:rPr>
                <w:spacing w:val="-4"/>
              </w:rPr>
              <w:t> </w:t>
            </w:r>
            <w:r>
              <w:rPr/>
              <w:t>медицинской</w:t>
            </w:r>
            <w:r>
              <w:rPr>
                <w:spacing w:val="-4"/>
              </w:rPr>
              <w:t> </w:t>
            </w:r>
            <w:r>
              <w:rPr/>
              <w:t>помощи</w:t>
            </w:r>
            <w:r>
              <w:rPr>
                <w:spacing w:val="37"/>
              </w:rPr>
              <w:t> </w:t>
            </w:r>
            <w:r>
              <w:rPr>
                <w:spacing w:val="-7"/>
              </w:rPr>
              <w:t>1</w:t>
            </w:r>
          </w:hyperlink>
          <w:r>
            <w:rPr>
              <w:spacing w:val="-7"/>
            </w:rPr>
            <w:t>6</w:t>
          </w:r>
        </w:p>
        <w:p>
          <w:pPr>
            <w:pStyle w:val="TOC2"/>
            <w:numPr>
              <w:ilvl w:val="0"/>
              <w:numId w:val="1"/>
            </w:numPr>
            <w:tabs>
              <w:tab w:pos="1794" w:val="left" w:leader="none"/>
            </w:tabs>
            <w:spacing w:line="360" w:lineRule="auto" w:before="136" w:after="0"/>
            <w:ind w:left="742" w:right="831" w:firstLine="707"/>
            <w:jc w:val="left"/>
          </w:pPr>
          <w:hyperlink w:history="true" w:anchor="_bookmark22">
            <w:r>
              <w:rPr/>
              <w:t>Дополнительная</w:t>
            </w:r>
            <w:r>
              <w:rPr>
                <w:spacing w:val="80"/>
              </w:rPr>
              <w:t> </w:t>
            </w:r>
            <w:r>
              <w:rPr/>
              <w:t>информация</w:t>
            </w:r>
            <w:r>
              <w:rPr>
                <w:spacing w:val="80"/>
              </w:rPr>
              <w:t> </w:t>
            </w:r>
            <w:r>
              <w:rPr/>
              <w:t>(в</w:t>
            </w:r>
            <w:r>
              <w:rPr>
                <w:spacing w:val="80"/>
              </w:rPr>
              <w:t> </w:t>
            </w:r>
            <w:r>
              <w:rPr/>
              <w:t>том</w:t>
            </w:r>
            <w:r>
              <w:rPr>
                <w:spacing w:val="80"/>
              </w:rPr>
              <w:t> </w:t>
            </w:r>
            <w:r>
              <w:rPr/>
              <w:t>числе</w:t>
            </w:r>
            <w:r>
              <w:rPr>
                <w:spacing w:val="80"/>
              </w:rPr>
              <w:t> </w:t>
            </w:r>
            <w:r>
              <w:rPr/>
              <w:t>факторы,</w:t>
            </w:r>
            <w:r>
              <w:rPr>
                <w:spacing w:val="80"/>
              </w:rPr>
              <w:t> </w:t>
            </w:r>
            <w:r>
              <w:rPr/>
              <w:t>влияющие</w:t>
            </w:r>
            <w:r>
              <w:rPr>
                <w:spacing w:val="80"/>
              </w:rPr>
              <w:t> </w:t>
            </w:r>
            <w:r>
              <w:rPr/>
              <w:t>на</w:t>
            </w:r>
            <w:r>
              <w:rPr>
                <w:spacing w:val="80"/>
              </w:rPr>
              <w:t> </w:t>
            </w:r>
            <w:r>
              <w:rPr/>
              <w:t>исход</w:t>
            </w:r>
          </w:hyperlink>
          <w:r>
            <w:rPr/>
            <w:t> </w:t>
          </w:r>
          <w:hyperlink w:history="true" w:anchor="_bookmark22">
            <w:r>
              <w:rPr/>
              <w:t>заболеванияили состояния)</w:t>
            </w:r>
            <w:r>
              <w:rPr>
                <w:spacing w:val="-25"/>
              </w:rPr>
              <w:t> </w:t>
            </w:r>
            <w:r>
              <w:rPr/>
              <w:t>1</w:t>
            </w:r>
          </w:hyperlink>
          <w:r>
            <w:rPr/>
            <w:t>7</w:t>
          </w:r>
        </w:p>
        <w:p>
          <w:pPr>
            <w:pStyle w:val="TOC2"/>
            <w:tabs>
              <w:tab w:pos="7114" w:val="left" w:leader="none"/>
            </w:tabs>
            <w:spacing w:before="0"/>
            <w:ind w:left="1450" w:firstLine="0"/>
            <w:jc w:val="left"/>
          </w:pPr>
          <w:hyperlink w:history="true" w:anchor="_bookmark23">
            <w:r>
              <w:rPr/>
              <w:t>Критерии</w:t>
            </w:r>
            <w:r>
              <w:rPr>
                <w:spacing w:val="-5"/>
              </w:rPr>
              <w:t> </w:t>
            </w:r>
            <w:r>
              <w:rPr/>
              <w:t>оценки</w:t>
            </w:r>
            <w:r>
              <w:rPr>
                <w:spacing w:val="-6"/>
              </w:rPr>
              <w:t> </w:t>
            </w:r>
            <w:r>
              <w:rPr/>
              <w:t>качества</w:t>
            </w:r>
            <w:r>
              <w:rPr>
                <w:spacing w:val="-6"/>
              </w:rPr>
              <w:t> </w:t>
            </w:r>
            <w:r>
              <w:rPr/>
              <w:t>медицинской</w:t>
            </w:r>
            <w:r>
              <w:rPr>
                <w:spacing w:val="-4"/>
              </w:rPr>
              <w:t> </w:t>
            </w:r>
            <w:r>
              <w:rPr>
                <w:spacing w:val="-2"/>
              </w:rPr>
              <w:t>помощи</w:t>
            </w:r>
          </w:hyperlink>
          <w:r>
            <w:rPr/>
            <w:tab/>
          </w:r>
          <w:r>
            <w:rPr>
              <w:spacing w:val="-5"/>
            </w:rPr>
            <w:t>17</w:t>
          </w:r>
        </w:p>
        <w:p>
          <w:pPr>
            <w:pStyle w:val="TOC2"/>
            <w:spacing w:before="137"/>
            <w:ind w:left="1450" w:firstLine="0"/>
            <w:jc w:val="left"/>
          </w:pPr>
          <w:hyperlink w:history="true" w:anchor="_bookmark24">
            <w:r>
              <w:rPr/>
              <w:t>Список</w:t>
            </w:r>
            <w:r>
              <w:rPr>
                <w:spacing w:val="-6"/>
              </w:rPr>
              <w:t> </w:t>
            </w:r>
            <w:r>
              <w:rPr/>
              <w:t>литературы</w:t>
            </w:r>
          </w:hyperlink>
          <w:r>
            <w:rPr>
              <w:spacing w:val="48"/>
            </w:rPr>
            <w:t> </w:t>
          </w:r>
          <w:r>
            <w:rPr>
              <w:spacing w:val="-5"/>
            </w:rPr>
            <w:t>18</w:t>
          </w:r>
        </w:p>
        <w:p>
          <w:pPr>
            <w:pStyle w:val="TOC2"/>
            <w:spacing w:line="360" w:lineRule="auto" w:before="139"/>
            <w:ind w:right="834"/>
          </w:pPr>
          <w:hyperlink w:history="true" w:anchor="_bookmark25">
            <w:r>
              <w:rPr/>
              <w:t>Приложение А1. Состав рабочей группы по разработке и пересмотру клинических</w:t>
            </w:r>
          </w:hyperlink>
          <w:r>
            <w:rPr/>
            <w:t> </w:t>
          </w:r>
          <w:hyperlink w:history="true" w:anchor="_bookmark25">
            <w:r>
              <w:rPr/>
              <w:t>рекомендаций</w:t>
            </w:r>
          </w:hyperlink>
          <w:r>
            <w:rPr>
              <w:spacing w:val="80"/>
              <w:w w:val="150"/>
            </w:rPr>
            <w:t>   </w:t>
          </w:r>
          <w:r>
            <w:rPr/>
            <w:t>27</w:t>
          </w:r>
        </w:p>
        <w:p>
          <w:pPr>
            <w:pStyle w:val="TOC2"/>
            <w:ind w:left="1450" w:firstLine="0"/>
          </w:pPr>
          <w:hyperlink w:history="true" w:anchor="_bookmark26">
            <w:r>
              <w:rPr/>
              <w:t>Приложение</w:t>
            </w:r>
            <w:r>
              <w:rPr>
                <w:spacing w:val="-3"/>
              </w:rPr>
              <w:t> </w:t>
            </w:r>
            <w:r>
              <w:rPr/>
              <w:t>А2.</w:t>
            </w:r>
            <w:r>
              <w:rPr>
                <w:spacing w:val="-2"/>
              </w:rPr>
              <w:t> </w:t>
            </w:r>
            <w:r>
              <w:rPr/>
              <w:t>Методология</w:t>
            </w:r>
            <w:r>
              <w:rPr>
                <w:spacing w:val="-2"/>
              </w:rPr>
              <w:t> </w:t>
            </w:r>
            <w:r>
              <w:rPr/>
              <w:t>разработки</w:t>
            </w:r>
            <w:r>
              <w:rPr>
                <w:spacing w:val="-2"/>
              </w:rPr>
              <w:t> </w:t>
            </w:r>
            <w:r>
              <w:rPr/>
              <w:t>клинических рекомендаций</w:t>
            </w:r>
          </w:hyperlink>
          <w:r>
            <w:rPr>
              <w:spacing w:val="73"/>
            </w:rPr>
            <w:t>    </w:t>
          </w:r>
          <w:r>
            <w:rPr>
              <w:spacing w:val="-5"/>
            </w:rPr>
            <w:t>28</w:t>
          </w:r>
        </w:p>
        <w:p>
          <w:pPr>
            <w:pStyle w:val="TOC2"/>
            <w:spacing w:line="360" w:lineRule="auto" w:before="137"/>
            <w:ind w:right="829"/>
          </w:pPr>
          <w:hyperlink w:history="true" w:anchor="_bookmark27">
            <w:r>
              <w:rPr/>
              <w:t>Приложение А3. Справочные материалы, включая соответствие показаний к</w:t>
            </w:r>
          </w:hyperlink>
          <w:r>
            <w:rPr/>
            <w:t> </w:t>
          </w:r>
          <w:hyperlink w:history="true" w:anchor="_bookmark27">
            <w:r>
              <w:rPr/>
              <w:t>применению и противопоказаний, способов применения и доз лекарственных препаратов,</w:t>
            </w:r>
          </w:hyperlink>
          <w:r>
            <w:rPr/>
            <w:t> </w:t>
          </w:r>
          <w:hyperlink w:history="true" w:anchor="_bookmark27">
            <w:r>
              <w:rPr/>
              <w:t>инструкции по применению лекарственного препарата</w:t>
            </w:r>
          </w:hyperlink>
          <w:r>
            <w:rPr/>
            <w:t> 30</w:t>
          </w:r>
        </w:p>
        <w:p>
          <w:pPr>
            <w:pStyle w:val="TOC2"/>
            <w:ind w:left="1450" w:firstLine="0"/>
          </w:pPr>
          <w:hyperlink w:history="true" w:anchor="_bookmark28">
            <w:r>
              <w:rPr/>
              <w:t>Приложение</w:t>
            </w:r>
            <w:r>
              <w:rPr>
                <w:spacing w:val="-3"/>
              </w:rPr>
              <w:t> </w:t>
            </w:r>
            <w:r>
              <w:rPr/>
              <w:t>Б.</w:t>
            </w:r>
            <w:r>
              <w:rPr>
                <w:spacing w:val="-1"/>
              </w:rPr>
              <w:t> </w:t>
            </w:r>
            <w:r>
              <w:rPr/>
              <w:t>Алгоритмы</w:t>
            </w:r>
            <w:r>
              <w:rPr>
                <w:spacing w:val="-2"/>
              </w:rPr>
              <w:t> </w:t>
            </w:r>
            <w:r>
              <w:rPr/>
              <w:t>действий</w:t>
            </w:r>
            <w:r>
              <w:rPr>
                <w:spacing w:val="-1"/>
              </w:rPr>
              <w:t> </w:t>
            </w:r>
            <w:r>
              <w:rPr/>
              <w:t>врача</w:t>
            </w:r>
          </w:hyperlink>
          <w:r>
            <w:rPr>
              <w:spacing w:val="71"/>
            </w:rPr>
            <w:t>    </w:t>
          </w:r>
          <w:r>
            <w:rPr>
              <w:spacing w:val="-5"/>
            </w:rPr>
            <w:t>31</w:t>
          </w:r>
        </w:p>
        <w:p>
          <w:pPr>
            <w:pStyle w:val="TOC2"/>
            <w:spacing w:before="137"/>
            <w:ind w:left="1450" w:firstLine="0"/>
          </w:pPr>
          <w:hyperlink w:history="true" w:anchor="_bookmark29">
            <w:r>
              <w:rPr/>
              <w:t>Приложение</w:t>
            </w:r>
            <w:r>
              <w:rPr>
                <w:spacing w:val="-2"/>
              </w:rPr>
              <w:t> </w:t>
            </w:r>
            <w:r>
              <w:rPr/>
              <w:t>В.</w:t>
            </w:r>
            <w:r>
              <w:rPr>
                <w:spacing w:val="-1"/>
              </w:rPr>
              <w:t> </w:t>
            </w:r>
            <w:r>
              <w:rPr/>
              <w:t>Информация</w:t>
            </w:r>
            <w:r>
              <w:rPr>
                <w:spacing w:val="-1"/>
              </w:rPr>
              <w:t> </w:t>
            </w:r>
            <w:r>
              <w:rPr/>
              <w:t>для</w:t>
            </w:r>
            <w:r>
              <w:rPr>
                <w:spacing w:val="-1"/>
              </w:rPr>
              <w:t> </w:t>
            </w:r>
            <w:r>
              <w:rPr/>
              <w:t>пациента</w:t>
            </w:r>
          </w:hyperlink>
          <w:r>
            <w:rPr>
              <w:spacing w:val="54"/>
              <w:w w:val="150"/>
            </w:rPr>
            <w:t>    </w:t>
          </w:r>
          <w:r>
            <w:rPr>
              <w:spacing w:val="-5"/>
            </w:rPr>
            <w:t>32</w:t>
          </w:r>
        </w:p>
        <w:p>
          <w:pPr>
            <w:pStyle w:val="TOC2"/>
            <w:spacing w:line="360" w:lineRule="auto" w:before="140"/>
            <w:ind w:right="835"/>
          </w:pPr>
          <w:hyperlink w:history="true" w:anchor="_bookmark30">
            <w:r>
              <w:rPr/>
              <w:t>Приложение Г1-ГN. Шкалы оценки, вопросники и другие оценочные инструменты</w:t>
            </w:r>
          </w:hyperlink>
          <w:r>
            <w:rPr/>
            <w:t> </w:t>
          </w:r>
          <w:hyperlink w:history="true" w:anchor="_bookmark30">
            <w:r>
              <w:rPr/>
              <w:t>состояния пациента, приведенные в клинических рекомендациях</w:t>
            </w:r>
          </w:hyperlink>
          <w:r>
            <w:rPr>
              <w:spacing w:val="80"/>
            </w:rPr>
            <w:t>  </w:t>
          </w:r>
          <w:r>
            <w:rPr/>
            <w:t>34</w:t>
          </w:r>
        </w:p>
      </w:sdtContent>
    </w:sdt>
    <w:p>
      <w:pPr>
        <w:spacing w:after="0" w:line="360" w:lineRule="auto"/>
        <w:sectPr>
          <w:type w:val="continuous"/>
          <w:pgSz w:w="11910" w:h="16840"/>
          <w:pgMar w:header="0" w:footer="867" w:top="1679" w:bottom="1304" w:left="960" w:right="20"/>
        </w:sectPr>
      </w:pPr>
    </w:p>
    <w:p>
      <w:pPr>
        <w:pStyle w:val="Heading1"/>
        <w:spacing w:before="416"/>
        <w:ind w:left="621" w:right="1"/>
        <w:jc w:val="center"/>
      </w:pPr>
      <w:bookmarkStart w:name="_bookmark1" w:id="2"/>
      <w:bookmarkEnd w:id="2"/>
      <w:r>
        <w:rPr>
          <w:b w:val="0"/>
        </w:rPr>
      </w:r>
      <w:r>
        <w:rPr/>
        <w:t>Список</w:t>
      </w:r>
      <w:r>
        <w:rPr>
          <w:spacing w:val="-4"/>
        </w:rPr>
        <w:t> </w:t>
      </w:r>
      <w:r>
        <w:rPr>
          <w:spacing w:val="-2"/>
        </w:rPr>
        <w:t>сокращений</w:t>
      </w:r>
    </w:p>
    <w:p>
      <w:pPr>
        <w:pStyle w:val="BodyText"/>
        <w:spacing w:before="159"/>
        <w:ind w:left="621" w:right="6311"/>
        <w:jc w:val="center"/>
      </w:pPr>
      <w:r>
        <w:rPr/>
        <w:t>БП</w:t>
      </w:r>
      <w:r>
        <w:rPr>
          <w:spacing w:val="-3"/>
        </w:rPr>
        <w:t> </w:t>
      </w:r>
      <w:r>
        <w:rPr/>
        <w:t>–</w:t>
      </w:r>
      <w:r>
        <w:rPr>
          <w:spacing w:val="-2"/>
        </w:rPr>
        <w:t> </w:t>
      </w:r>
      <w:r>
        <w:rPr/>
        <w:t>Болезнь</w:t>
      </w:r>
      <w:r>
        <w:rPr>
          <w:spacing w:val="-1"/>
        </w:rPr>
        <w:t> </w:t>
      </w:r>
      <w:r>
        <w:rPr>
          <w:spacing w:val="-2"/>
        </w:rPr>
        <w:t>Пейрони</w:t>
      </w:r>
    </w:p>
    <w:p>
      <w:pPr>
        <w:pStyle w:val="BodyText"/>
        <w:tabs>
          <w:tab w:pos="2515" w:val="left" w:leader="none"/>
          <w:tab w:pos="2861" w:val="left" w:leader="none"/>
          <w:tab w:pos="4326" w:val="left" w:leader="none"/>
          <w:tab w:pos="6366" w:val="left" w:leader="none"/>
          <w:tab w:pos="7388" w:val="left" w:leader="none"/>
          <w:tab w:pos="8697" w:val="left" w:leader="none"/>
          <w:tab w:pos="9275" w:val="left" w:leader="none"/>
        </w:tabs>
        <w:spacing w:line="360" w:lineRule="auto" w:before="137"/>
        <w:ind w:right="828" w:firstLine="707"/>
        <w:jc w:val="left"/>
      </w:pPr>
      <w:r>
        <w:rPr>
          <w:spacing w:val="-2"/>
        </w:rPr>
        <w:t>иФДЭ-5</w:t>
      </w:r>
      <w:r>
        <w:rPr/>
        <w:tab/>
      </w:r>
      <w:r>
        <w:rPr>
          <w:spacing w:val="-10"/>
        </w:rPr>
        <w:t>–</w:t>
      </w:r>
      <w:r>
        <w:rPr/>
        <w:tab/>
      </w:r>
      <w:r>
        <w:rPr>
          <w:spacing w:val="-2"/>
        </w:rPr>
        <w:t>ингибиторы</w:t>
      </w:r>
      <w:r>
        <w:rPr/>
        <w:tab/>
      </w:r>
      <w:r>
        <w:rPr>
          <w:spacing w:val="-2"/>
        </w:rPr>
        <w:t>фосфодиэстеразы</w:t>
      </w:r>
      <w:r>
        <w:rPr/>
        <w:tab/>
      </w:r>
      <w:r>
        <w:rPr>
          <w:spacing w:val="-2"/>
        </w:rPr>
        <w:t>(G04BE</w:t>
      </w:r>
      <w:r>
        <w:rPr/>
        <w:tab/>
      </w:r>
      <w:r>
        <w:rPr>
          <w:spacing w:val="-2"/>
        </w:rPr>
        <w:t>препараты</w:t>
      </w:r>
      <w:r>
        <w:rPr/>
        <w:tab/>
      </w:r>
      <w:r>
        <w:rPr>
          <w:spacing w:val="-4"/>
        </w:rPr>
        <w:t>для</w:t>
      </w:r>
      <w:r>
        <w:rPr/>
        <w:tab/>
      </w:r>
      <w:r>
        <w:rPr>
          <w:spacing w:val="-2"/>
        </w:rPr>
        <w:t>лечения </w:t>
      </w:r>
      <w:r>
        <w:rPr/>
        <w:t>эректильной дисфункции)</w:t>
      </w:r>
    </w:p>
    <w:p>
      <w:pPr>
        <w:pStyle w:val="BodyText"/>
        <w:spacing w:line="360" w:lineRule="auto"/>
        <w:ind w:left="1450" w:right="828"/>
        <w:jc w:val="left"/>
      </w:pPr>
      <w:r>
        <w:rPr/>
        <w:t>НПВС</w:t>
      </w:r>
      <w:r>
        <w:rPr>
          <w:spacing w:val="-7"/>
        </w:rPr>
        <w:t> </w:t>
      </w:r>
      <w:r>
        <w:rPr/>
        <w:t>–</w:t>
      </w:r>
      <w:r>
        <w:rPr>
          <w:spacing w:val="-7"/>
        </w:rPr>
        <w:t> </w:t>
      </w:r>
      <w:r>
        <w:rPr/>
        <w:t>нестероидные</w:t>
      </w:r>
      <w:r>
        <w:rPr>
          <w:spacing w:val="-7"/>
        </w:rPr>
        <w:t> </w:t>
      </w:r>
      <w:r>
        <w:rPr/>
        <w:t>противовоспалительные</w:t>
      </w:r>
      <w:r>
        <w:rPr>
          <w:spacing w:val="-4"/>
        </w:rPr>
        <w:t> </w:t>
      </w:r>
      <w:r>
        <w:rPr/>
        <w:t>и</w:t>
      </w:r>
      <w:r>
        <w:rPr>
          <w:spacing w:val="-7"/>
        </w:rPr>
        <w:t> </w:t>
      </w:r>
      <w:r>
        <w:rPr/>
        <w:t>противоревматические</w:t>
      </w:r>
      <w:r>
        <w:rPr>
          <w:spacing w:val="-8"/>
        </w:rPr>
        <w:t> </w:t>
      </w:r>
      <w:r>
        <w:rPr/>
        <w:t>средства ТТ – тракционная терапия</w:t>
      </w:r>
    </w:p>
    <w:p>
      <w:pPr>
        <w:pStyle w:val="BodyText"/>
        <w:spacing w:line="360" w:lineRule="auto" w:before="1"/>
        <w:ind w:left="1450" w:right="5725"/>
        <w:jc w:val="left"/>
      </w:pPr>
      <w:r>
        <w:rPr/>
        <w:t>УВТ – ударно-волновая терапия УЗИ</w:t>
      </w:r>
      <w:r>
        <w:rPr>
          <w:spacing w:val="-12"/>
        </w:rPr>
        <w:t> </w:t>
      </w:r>
      <w:r>
        <w:rPr/>
        <w:t>–</w:t>
      </w:r>
      <w:r>
        <w:rPr>
          <w:spacing w:val="-10"/>
        </w:rPr>
        <w:t> </w:t>
      </w:r>
      <w:r>
        <w:rPr/>
        <w:t>ультразвуковое</w:t>
      </w:r>
      <w:r>
        <w:rPr>
          <w:spacing w:val="-11"/>
        </w:rPr>
        <w:t> </w:t>
      </w:r>
      <w:r>
        <w:rPr/>
        <w:t>исследование ЭД – эректильная дисфункция</w:t>
      </w:r>
    </w:p>
    <w:p>
      <w:pPr>
        <w:spacing w:after="0" w:line="360" w:lineRule="auto"/>
        <w:jc w:val="left"/>
        <w:sectPr>
          <w:type w:val="continuous"/>
          <w:pgSz w:w="11910" w:h="16840"/>
          <w:pgMar w:header="0" w:footer="867" w:top="1660" w:bottom="1060" w:left="960" w:right="20"/>
        </w:sectPr>
      </w:pPr>
    </w:p>
    <w:p>
      <w:pPr>
        <w:pStyle w:val="Heading1"/>
        <w:spacing w:before="74"/>
        <w:ind w:left="4222"/>
        <w:jc w:val="both"/>
      </w:pPr>
      <w:bookmarkStart w:name="_bookmark2" w:id="3"/>
      <w:bookmarkEnd w:id="3"/>
      <w:r>
        <w:rPr>
          <w:b w:val="0"/>
        </w:rPr>
      </w:r>
      <w:r>
        <w:rPr/>
        <w:t>Термины</w:t>
      </w:r>
      <w:r>
        <w:rPr>
          <w:spacing w:val="-5"/>
        </w:rPr>
        <w:t> </w:t>
      </w:r>
      <w:r>
        <w:rPr/>
        <w:t>и</w:t>
      </w:r>
      <w:r>
        <w:rPr>
          <w:spacing w:val="-5"/>
        </w:rPr>
        <w:t> </w:t>
      </w:r>
      <w:r>
        <w:rPr>
          <w:spacing w:val="-2"/>
        </w:rPr>
        <w:t>определения</w:t>
      </w:r>
    </w:p>
    <w:p>
      <w:pPr>
        <w:pStyle w:val="BodyText"/>
        <w:spacing w:line="360" w:lineRule="auto" w:before="157"/>
        <w:ind w:right="832" w:firstLine="707"/>
      </w:pPr>
      <w:r>
        <w:rPr/>
        <w:t>Болезнь Пейрони – состояние, характеризующееся фиброзным перерождением белочной оболочки с формированием бляшек и способное приводить к искривлению полового члена.</w:t>
      </w:r>
    </w:p>
    <w:p>
      <w:pPr>
        <w:pStyle w:val="BodyText"/>
        <w:spacing w:line="360" w:lineRule="auto"/>
        <w:ind w:right="829" w:firstLine="707"/>
      </w:pPr>
      <w:r>
        <w:rPr/>
        <w:t>Эректильная дисфункция – невозможность достичь и/или поддерживать достаточную для совершения полового акта эрекцию.</w:t>
      </w:r>
    </w:p>
    <w:p>
      <w:pPr>
        <w:pStyle w:val="BodyText"/>
        <w:spacing w:line="362" w:lineRule="auto"/>
        <w:ind w:right="825" w:firstLine="707"/>
      </w:pPr>
      <w:r>
        <w:rPr/>
        <w:t>Протез полового члена полужесткий – имплант, состоящий из трех частей – надувных цилиндров, помпы и резервуара с жидкостью.</w:t>
      </w:r>
    </w:p>
    <w:p>
      <w:pPr>
        <w:pStyle w:val="BodyText"/>
        <w:spacing w:line="360" w:lineRule="auto"/>
        <w:ind w:right="829" w:firstLine="707"/>
      </w:pPr>
      <w:r>
        <w:rPr/>
        <w:t>Протез полового члена трехкомпонентный – имплант, состоящий из двух полужестких цилиндров.</w:t>
      </w:r>
    </w:p>
    <w:p>
      <w:pPr>
        <w:pStyle w:val="BodyText"/>
        <w:spacing w:line="360" w:lineRule="auto"/>
        <w:ind w:right="829" w:firstLine="707"/>
      </w:pPr>
      <w:r>
        <w:rPr/>
        <w:t>Пликационная корпоропластика – операция, при которой на здоровой стороне белочной оболочки накладываются отдельные швы с целью укорочения белочной оболочки и функционального выпрямления полового члена</w:t>
      </w:r>
    </w:p>
    <w:p>
      <w:pPr>
        <w:pStyle w:val="BodyText"/>
        <w:spacing w:line="360" w:lineRule="auto"/>
        <w:ind w:right="831" w:firstLine="707"/>
      </w:pPr>
      <w:r>
        <w:rPr/>
        <w:t>Лоскутная корпоропластика – операция, при которой пораженная область рассекается либо иссекается, а дефект замещается пластическим материалом.</w:t>
      </w:r>
    </w:p>
    <w:p>
      <w:pPr>
        <w:pStyle w:val="BodyText"/>
        <w:spacing w:line="360" w:lineRule="auto"/>
        <w:ind w:right="828" w:firstLine="707"/>
      </w:pPr>
      <w:r>
        <w:rPr/>
        <w:t>Контрактура Дюпюитрена – заболевание соединительной ткани, при котором происходит фиброзное перерождение ладонного апоневроза.</w:t>
      </w:r>
    </w:p>
    <w:p>
      <w:pPr>
        <w:pStyle w:val="BodyText"/>
        <w:spacing w:line="360" w:lineRule="auto"/>
        <w:ind w:right="831" w:firstLine="707"/>
      </w:pPr>
      <w:r>
        <w:rPr/>
        <w:t>Тимпаносклероз – склерозирующее заболевание среднего уха, приводящее к развитию тугоухости</w:t>
      </w:r>
    </w:p>
    <w:p>
      <w:pPr>
        <w:pStyle w:val="BodyText"/>
        <w:spacing w:line="360" w:lineRule="auto"/>
        <w:ind w:right="831" w:firstLine="707"/>
      </w:pPr>
      <w:r>
        <w:rPr/>
        <w:t>Болезнь Леддерхоза – заболевание соединительной ткани, при котором происходит фиброзное перерождение подошвенного апоневроза.</w:t>
      </w:r>
    </w:p>
    <w:p>
      <w:pPr>
        <w:pStyle w:val="BodyText"/>
        <w:spacing w:line="360" w:lineRule="auto"/>
        <w:ind w:right="830" w:firstLine="707"/>
      </w:pPr>
      <w:r>
        <w:rPr/>
        <w:t>Острая фаза болезни Пейрони – фаза болезни Пейрони, характеризующаяся изменением симптомов.</w:t>
      </w:r>
    </w:p>
    <w:p>
      <w:pPr>
        <w:pStyle w:val="BodyText"/>
        <w:spacing w:line="360" w:lineRule="auto"/>
        <w:ind w:right="832" w:firstLine="707"/>
      </w:pPr>
      <w:r>
        <w:rPr/>
        <w:t>Фаза стабилизации болезни Пейрони – фаза болезни Пейрони, характеризующаяся отсутствием изменения симптоматики.</w:t>
      </w:r>
    </w:p>
    <w:p>
      <w:pPr>
        <w:spacing w:after="0" w:line="360" w:lineRule="auto"/>
        <w:sectPr>
          <w:pgSz w:w="11910" w:h="16840"/>
          <w:pgMar w:header="0" w:footer="867" w:top="1660" w:bottom="1060" w:left="960" w:right="20"/>
        </w:sectPr>
      </w:pPr>
    </w:p>
    <w:p>
      <w:pPr>
        <w:pStyle w:val="Heading1"/>
        <w:numPr>
          <w:ilvl w:val="0"/>
          <w:numId w:val="2"/>
        </w:numPr>
        <w:tabs>
          <w:tab w:pos="1975" w:val="left" w:leader="none"/>
          <w:tab w:pos="3617" w:val="left" w:leader="none"/>
        </w:tabs>
        <w:spacing w:line="360" w:lineRule="auto" w:before="74" w:after="0"/>
        <w:ind w:left="3617" w:right="1075" w:hanging="1921"/>
        <w:jc w:val="left"/>
      </w:pPr>
      <w:bookmarkStart w:name="_bookmark3" w:id="4"/>
      <w:bookmarkEnd w:id="4"/>
      <w:r>
        <w:rPr>
          <w:b w:val="0"/>
        </w:rPr>
      </w:r>
      <w:r>
        <w:rPr/>
        <w:t>Краткая</w:t>
      </w:r>
      <w:r>
        <w:rPr>
          <w:spacing w:val="-6"/>
        </w:rPr>
        <w:t> </w:t>
      </w:r>
      <w:r>
        <w:rPr/>
        <w:t>информация</w:t>
      </w:r>
      <w:r>
        <w:rPr>
          <w:spacing w:val="-6"/>
        </w:rPr>
        <w:t> </w:t>
      </w:r>
      <w:r>
        <w:rPr/>
        <w:t>по</w:t>
      </w:r>
      <w:r>
        <w:rPr>
          <w:spacing w:val="-3"/>
        </w:rPr>
        <w:t> </w:t>
      </w:r>
      <w:r>
        <w:rPr/>
        <w:t>заболеванию</w:t>
      </w:r>
      <w:r>
        <w:rPr>
          <w:spacing w:val="-5"/>
        </w:rPr>
        <w:t> </w:t>
      </w:r>
      <w:r>
        <w:rPr/>
        <w:t>или</w:t>
      </w:r>
      <w:r>
        <w:rPr>
          <w:spacing w:val="-5"/>
        </w:rPr>
        <w:t> </w:t>
      </w:r>
      <w:r>
        <w:rPr/>
        <w:t>состоянию</w:t>
      </w:r>
      <w:r>
        <w:rPr>
          <w:spacing w:val="-5"/>
        </w:rPr>
        <w:t> </w:t>
      </w:r>
      <w:r>
        <w:rPr/>
        <w:t>(группе заболеваний или состояний)</w:t>
      </w:r>
    </w:p>
    <w:p>
      <w:pPr>
        <w:pStyle w:val="Heading2"/>
        <w:numPr>
          <w:ilvl w:val="1"/>
          <w:numId w:val="2"/>
        </w:numPr>
        <w:tabs>
          <w:tab w:pos="1749" w:val="left" w:leader="none"/>
        </w:tabs>
        <w:spacing w:line="360" w:lineRule="auto" w:before="240" w:after="0"/>
        <w:ind w:left="742" w:right="829" w:firstLine="707"/>
        <w:jc w:val="left"/>
        <w:rPr>
          <w:u w:val="single"/>
        </w:rPr>
      </w:pPr>
      <w:bookmarkStart w:name="_bookmark4" w:id="5"/>
      <w:bookmarkEnd w:id="5"/>
      <w:r>
        <w:rPr>
          <w:b w:val="0"/>
        </w:rPr>
      </w:r>
      <w:r>
        <w:rPr>
          <w:spacing w:val="40"/>
          <w:u w:val="single"/>
        </w:rPr>
        <w:t> </w:t>
      </w:r>
      <w:r>
        <w:rPr>
          <w:u w:val="single"/>
        </w:rPr>
        <w:t>​</w:t>
      </w:r>
      <w:r>
        <w:rPr>
          <w:spacing w:val="14"/>
          <w:u w:val="single"/>
        </w:rPr>
        <w:t> </w:t>
      </w:r>
      <w:r>
        <w:rPr>
          <w:u w:val="single"/>
        </w:rPr>
        <w:t>Определение</w:t>
      </w:r>
      <w:r>
        <w:rPr>
          <w:spacing w:val="80"/>
          <w:w w:val="150"/>
          <w:u w:val="single"/>
        </w:rPr>
        <w:t> </w:t>
      </w:r>
      <w:r>
        <w:rPr>
          <w:color w:val="333333"/>
          <w:u w:val="single" w:color="333333"/>
        </w:rPr>
        <w:t>заболевания</w:t>
      </w:r>
      <w:r>
        <w:rPr>
          <w:color w:val="333333"/>
          <w:spacing w:val="80"/>
          <w:w w:val="150"/>
          <w:u w:val="single" w:color="333333"/>
        </w:rPr>
        <w:t> </w:t>
      </w:r>
      <w:r>
        <w:rPr>
          <w:color w:val="333333"/>
          <w:u w:val="single" w:color="333333"/>
        </w:rPr>
        <w:t>или</w:t>
      </w:r>
      <w:r>
        <w:rPr>
          <w:color w:val="333333"/>
          <w:spacing w:val="80"/>
          <w:w w:val="150"/>
          <w:u w:val="single" w:color="333333"/>
        </w:rPr>
        <w:t> </w:t>
      </w:r>
      <w:r>
        <w:rPr>
          <w:color w:val="333333"/>
          <w:u w:val="single" w:color="333333"/>
        </w:rPr>
        <w:t>состояния</w:t>
      </w:r>
      <w:r>
        <w:rPr>
          <w:color w:val="333333"/>
          <w:spacing w:val="80"/>
          <w:w w:val="150"/>
          <w:u w:val="single" w:color="333333"/>
        </w:rPr>
        <w:t> </w:t>
      </w:r>
      <w:r>
        <w:rPr>
          <w:color w:val="333333"/>
          <w:u w:val="single" w:color="333333"/>
        </w:rPr>
        <w:t>(группы</w:t>
      </w:r>
      <w:r>
        <w:rPr>
          <w:color w:val="333333"/>
          <w:spacing w:val="80"/>
          <w:w w:val="150"/>
          <w:u w:val="single" w:color="333333"/>
        </w:rPr>
        <w:t> </w:t>
      </w:r>
      <w:r>
        <w:rPr>
          <w:color w:val="333333"/>
          <w:u w:val="single" w:color="333333"/>
        </w:rPr>
        <w:t>заболеваний</w:t>
      </w:r>
      <w:r>
        <w:rPr>
          <w:color w:val="333333"/>
          <w:spacing w:val="80"/>
          <w:w w:val="150"/>
          <w:u w:val="single" w:color="333333"/>
        </w:rPr>
        <w:t> </w:t>
      </w:r>
      <w:r>
        <w:rPr>
          <w:color w:val="333333"/>
          <w:u w:val="single" w:color="333333"/>
        </w:rPr>
        <w:t>или</w:t>
      </w:r>
      <w:r>
        <w:rPr>
          <w:color w:val="333333"/>
          <w:u w:val="none"/>
        </w:rPr>
        <w:t> </w:t>
      </w:r>
      <w:r>
        <w:rPr>
          <w:color w:val="333333"/>
          <w:spacing w:val="-2"/>
          <w:u w:val="single" w:color="333333"/>
        </w:rPr>
        <w:t>состояний)</w:t>
      </w:r>
    </w:p>
    <w:p>
      <w:pPr>
        <w:pStyle w:val="BodyText"/>
        <w:spacing w:line="360" w:lineRule="auto"/>
        <w:ind w:right="830" w:firstLine="707"/>
      </w:pPr>
      <w:r>
        <w:rPr/>
        <w:t>Болезнь Пейрони – это заболевание, являющееся нарушением процесса репарации белочной оболочки, приводящее к формированию рубцов (фиброзных бляшек), вызывающих искривление или изменение формы полового члена [1].</w:t>
      </w:r>
    </w:p>
    <w:p>
      <w:pPr>
        <w:pStyle w:val="Heading2"/>
        <w:numPr>
          <w:ilvl w:val="1"/>
          <w:numId w:val="2"/>
        </w:numPr>
        <w:tabs>
          <w:tab w:pos="1749" w:val="left" w:leader="none"/>
        </w:tabs>
        <w:spacing w:line="360" w:lineRule="auto" w:before="240" w:after="0"/>
        <w:ind w:left="742" w:right="829" w:firstLine="707"/>
        <w:jc w:val="left"/>
        <w:rPr>
          <w:u w:val="single"/>
        </w:rPr>
      </w:pPr>
      <w:bookmarkStart w:name="_bookmark5" w:id="6"/>
      <w:bookmarkEnd w:id="6"/>
      <w:r>
        <w:rPr>
          <w:b w:val="0"/>
        </w:rPr>
      </w:r>
      <w:r>
        <w:rPr>
          <w:spacing w:val="-4"/>
          <w:u w:val="single"/>
        </w:rPr>
        <w:t> </w:t>
      </w:r>
      <w:r>
        <w:rPr>
          <w:u w:val="single"/>
        </w:rPr>
        <w:t>​</w:t>
      </w:r>
      <w:r>
        <w:rPr>
          <w:spacing w:val="-15"/>
          <w:u w:val="single"/>
        </w:rPr>
        <w:t> </w:t>
      </w:r>
      <w:r>
        <w:rPr>
          <w:u w:val="single"/>
        </w:rPr>
        <w:t>Этиология</w:t>
      </w:r>
      <w:r>
        <w:rPr>
          <w:spacing w:val="38"/>
          <w:u w:val="single"/>
        </w:rPr>
        <w:t> </w:t>
      </w:r>
      <w:r>
        <w:rPr>
          <w:u w:val="single"/>
        </w:rPr>
        <w:t>и</w:t>
      </w:r>
      <w:r>
        <w:rPr>
          <w:spacing w:val="40"/>
          <w:u w:val="single"/>
        </w:rPr>
        <w:t> </w:t>
      </w:r>
      <w:r>
        <w:rPr>
          <w:u w:val="single"/>
        </w:rPr>
        <w:t>патогенез</w:t>
      </w:r>
      <w:r>
        <w:rPr>
          <w:spacing w:val="40"/>
          <w:u w:val="single"/>
        </w:rPr>
        <w:t> </w:t>
      </w:r>
      <w:r>
        <w:rPr>
          <w:color w:val="333333"/>
          <w:u w:val="single" w:color="333333"/>
        </w:rPr>
        <w:t>заболевания</w:t>
      </w:r>
      <w:r>
        <w:rPr>
          <w:color w:val="333333"/>
          <w:spacing w:val="40"/>
          <w:u w:val="single" w:color="333333"/>
        </w:rPr>
        <w:t> </w:t>
      </w:r>
      <w:r>
        <w:rPr>
          <w:color w:val="333333"/>
          <w:u w:val="single" w:color="333333"/>
        </w:rPr>
        <w:t>или</w:t>
      </w:r>
      <w:r>
        <w:rPr>
          <w:color w:val="333333"/>
          <w:spacing w:val="40"/>
          <w:u w:val="single" w:color="333333"/>
        </w:rPr>
        <w:t> </w:t>
      </w:r>
      <w:r>
        <w:rPr>
          <w:color w:val="333333"/>
          <w:u w:val="single" w:color="333333"/>
        </w:rPr>
        <w:t>состояния</w:t>
      </w:r>
      <w:r>
        <w:rPr>
          <w:color w:val="333333"/>
          <w:spacing w:val="40"/>
          <w:u w:val="single" w:color="333333"/>
        </w:rPr>
        <w:t> </w:t>
      </w:r>
      <w:r>
        <w:rPr>
          <w:color w:val="333333"/>
          <w:u w:val="single" w:color="333333"/>
        </w:rPr>
        <w:t>(группы</w:t>
      </w:r>
      <w:r>
        <w:rPr>
          <w:color w:val="333333"/>
          <w:spacing w:val="40"/>
          <w:u w:val="single" w:color="333333"/>
        </w:rPr>
        <w:t> </w:t>
      </w:r>
      <w:r>
        <w:rPr>
          <w:color w:val="333333"/>
          <w:u w:val="single" w:color="333333"/>
        </w:rPr>
        <w:t>заболеваний</w:t>
      </w:r>
      <w:r>
        <w:rPr>
          <w:color w:val="333333"/>
          <w:u w:val="none"/>
        </w:rPr>
        <w:t> </w:t>
      </w:r>
      <w:r>
        <w:rPr>
          <w:color w:val="333333"/>
          <w:u w:val="single" w:color="333333"/>
        </w:rPr>
        <w:t>или состояний)</w:t>
      </w:r>
    </w:p>
    <w:p>
      <w:pPr>
        <w:pStyle w:val="BodyText"/>
        <w:spacing w:line="360" w:lineRule="auto"/>
        <w:ind w:right="826" w:firstLine="707"/>
      </w:pPr>
      <w:r>
        <w:rPr/>
        <w:t>Точная этиология заболевания не установлена. Наиболее вероятным пусковым фактором</w:t>
      </w:r>
      <w:r>
        <w:rPr>
          <w:spacing w:val="-3"/>
        </w:rPr>
        <w:t> </w:t>
      </w:r>
      <w:r>
        <w:rPr/>
        <w:t>развития</w:t>
      </w:r>
      <w:r>
        <w:rPr>
          <w:spacing w:val="-4"/>
        </w:rPr>
        <w:t> </w:t>
      </w:r>
      <w:r>
        <w:rPr/>
        <w:t>заболевания</w:t>
      </w:r>
      <w:r>
        <w:rPr>
          <w:spacing w:val="-2"/>
        </w:rPr>
        <w:t> </w:t>
      </w:r>
      <w:r>
        <w:rPr/>
        <w:t>является</w:t>
      </w:r>
      <w:r>
        <w:rPr>
          <w:spacing w:val="-2"/>
        </w:rPr>
        <w:t> </w:t>
      </w:r>
      <w:r>
        <w:rPr/>
        <w:t>травма</w:t>
      </w:r>
      <w:r>
        <w:rPr>
          <w:spacing w:val="-3"/>
        </w:rPr>
        <w:t> </w:t>
      </w:r>
      <w:r>
        <w:rPr/>
        <w:t>белочной</w:t>
      </w:r>
      <w:r>
        <w:rPr>
          <w:spacing w:val="-1"/>
        </w:rPr>
        <w:t> </w:t>
      </w:r>
      <w:r>
        <w:rPr/>
        <w:t>оболочки.</w:t>
      </w:r>
      <w:r>
        <w:rPr>
          <w:spacing w:val="-7"/>
        </w:rPr>
        <w:t> </w:t>
      </w:r>
      <w:r>
        <w:rPr/>
        <w:t>При</w:t>
      </w:r>
      <w:r>
        <w:rPr>
          <w:spacing w:val="-2"/>
        </w:rPr>
        <w:t> </w:t>
      </w:r>
      <w:r>
        <w:rPr/>
        <w:t>индивидуальной предрасположенности однократная или повторяющаяся травма способна запускать процессы,</w:t>
      </w:r>
      <w:r>
        <w:rPr>
          <w:spacing w:val="-2"/>
        </w:rPr>
        <w:t> </w:t>
      </w:r>
      <w:r>
        <w:rPr/>
        <w:t>приводящие</w:t>
      </w:r>
      <w:r>
        <w:rPr>
          <w:spacing w:val="-2"/>
        </w:rPr>
        <w:t> </w:t>
      </w:r>
      <w:r>
        <w:rPr/>
        <w:t>к</w:t>
      </w:r>
      <w:r>
        <w:rPr>
          <w:spacing w:val="-1"/>
        </w:rPr>
        <w:t> </w:t>
      </w:r>
      <w:r>
        <w:rPr/>
        <w:t>развитию</w:t>
      </w:r>
      <w:r>
        <w:rPr>
          <w:spacing w:val="-1"/>
        </w:rPr>
        <w:t> </w:t>
      </w:r>
      <w:r>
        <w:rPr/>
        <w:t>заболевания [2–6].</w:t>
      </w:r>
      <w:r>
        <w:rPr>
          <w:spacing w:val="-1"/>
        </w:rPr>
        <w:t> </w:t>
      </w:r>
      <w:r>
        <w:rPr/>
        <w:t>Следует</w:t>
      </w:r>
      <w:r>
        <w:rPr>
          <w:spacing w:val="-1"/>
        </w:rPr>
        <w:t> </w:t>
      </w:r>
      <w:r>
        <w:rPr/>
        <w:t>различать</w:t>
      </w:r>
      <w:r>
        <w:rPr>
          <w:spacing w:val="-1"/>
        </w:rPr>
        <w:t> </w:t>
      </w:r>
      <w:r>
        <w:rPr/>
        <w:t>болезнь</w:t>
      </w:r>
      <w:r>
        <w:rPr>
          <w:spacing w:val="-1"/>
        </w:rPr>
        <w:t> </w:t>
      </w:r>
      <w:r>
        <w:rPr/>
        <w:t>Пейрони и последствия перелома полового члена, поскольку после перелома происходит развитие фиброза кавернозных тел, тогда как при болезни Пейрони первичным является фиброз именно белочной оболочки. От 16 до 40% пациентов сообщают о наличии травмы до развития заболевания [6, 7]. Также возможными предрасполагающими факторами являются генетическая предрасположенность, аутоиммунные факторы, нарушения процессов заживления тканей, инфекция [8–10].</w:t>
      </w:r>
    </w:p>
    <w:p>
      <w:pPr>
        <w:pStyle w:val="BodyText"/>
        <w:spacing w:line="360" w:lineRule="auto"/>
        <w:ind w:right="827" w:firstLine="707"/>
      </w:pPr>
      <w:r>
        <w:rPr/>
        <w:t>При болезни Пейрони вследствие травмы происходит экстравазация крови между наружным продольным и внутренним циркулярным слоями белочной оболочки и образование тромбов, что приводит к формированию фибронектина и фибрина, развитию воспаления и высвобождению активных форм кислорода, что, в свою очередь, вызывает снижение активности коллагеназы и способствует синтезу коллагена. В конечном итоге данный каскад приводит к формированию фиброзной бляшки и нарушению нормальной архитектоники полового члена [1,11–13].</w:t>
      </w:r>
    </w:p>
    <w:p>
      <w:pPr>
        <w:pStyle w:val="BodyText"/>
        <w:spacing w:line="360" w:lineRule="auto"/>
        <w:ind w:right="832" w:firstLine="707"/>
      </w:pPr>
      <w:r>
        <w:rPr/>
        <w:t>Большинство бляшек располагается на дорсальной поверхности полового члена и часто связано</w:t>
      </w:r>
      <w:r>
        <w:rPr>
          <w:spacing w:val="-2"/>
        </w:rPr>
        <w:t> </w:t>
      </w:r>
      <w:r>
        <w:rPr/>
        <w:t>с</w:t>
      </w:r>
      <w:r>
        <w:rPr>
          <w:spacing w:val="-1"/>
        </w:rPr>
        <w:t> </w:t>
      </w:r>
      <w:r>
        <w:rPr/>
        <w:t>межкавернозной</w:t>
      </w:r>
      <w:r>
        <w:rPr>
          <w:spacing w:val="-1"/>
        </w:rPr>
        <w:t> </w:t>
      </w:r>
      <w:r>
        <w:rPr/>
        <w:t>перегородкой,</w:t>
      </w:r>
      <w:r>
        <w:rPr>
          <w:spacing w:val="-2"/>
        </w:rPr>
        <w:t> </w:t>
      </w:r>
      <w:r>
        <w:rPr/>
        <w:t>что</w:t>
      </w:r>
      <w:r>
        <w:rPr>
          <w:spacing w:val="-2"/>
        </w:rPr>
        <w:t> </w:t>
      </w:r>
      <w:r>
        <w:rPr/>
        <w:t>обусловлено</w:t>
      </w:r>
      <w:r>
        <w:rPr>
          <w:spacing w:val="-2"/>
        </w:rPr>
        <w:t> </w:t>
      </w:r>
      <w:r>
        <w:rPr/>
        <w:t>наибольшей</w:t>
      </w:r>
      <w:r>
        <w:rPr>
          <w:spacing w:val="-1"/>
        </w:rPr>
        <w:t> </w:t>
      </w:r>
      <w:r>
        <w:rPr/>
        <w:t>нагрузкой</w:t>
      </w:r>
      <w:r>
        <w:rPr>
          <w:spacing w:val="-1"/>
        </w:rPr>
        <w:t> </w:t>
      </w:r>
      <w:r>
        <w:rPr/>
        <w:t>на эту часть белочной оболочки во время полового акта. Белочная оболочка имеет наименьшую толщину</w:t>
      </w:r>
      <w:r>
        <w:rPr>
          <w:spacing w:val="-4"/>
        </w:rPr>
        <w:t> </w:t>
      </w:r>
      <w:r>
        <w:rPr/>
        <w:t>на 3 и 9 часах условного циферблата, а над губчатым телом (между 5 и 7 часами условного циферблата) отсутствует [14,15].</w:t>
      </w:r>
    </w:p>
    <w:p>
      <w:pPr>
        <w:spacing w:after="0" w:line="360" w:lineRule="auto"/>
        <w:sectPr>
          <w:pgSz w:w="11910" w:h="16840"/>
          <w:pgMar w:header="0" w:footer="867" w:top="1660" w:bottom="1060" w:left="960" w:right="20"/>
        </w:sectPr>
      </w:pPr>
    </w:p>
    <w:p>
      <w:pPr>
        <w:pStyle w:val="Heading2"/>
        <w:numPr>
          <w:ilvl w:val="1"/>
          <w:numId w:val="2"/>
        </w:numPr>
        <w:tabs>
          <w:tab w:pos="1749" w:val="left" w:leader="none"/>
        </w:tabs>
        <w:spacing w:line="360" w:lineRule="auto" w:before="75" w:after="0"/>
        <w:ind w:left="742" w:right="829" w:firstLine="707"/>
        <w:jc w:val="left"/>
        <w:rPr>
          <w:u w:val="single"/>
        </w:rPr>
      </w:pPr>
      <w:bookmarkStart w:name="_bookmark6" w:id="7"/>
      <w:bookmarkEnd w:id="7"/>
      <w:r>
        <w:rPr>
          <w:b w:val="0"/>
        </w:rPr>
      </w:r>
      <w:r>
        <w:rPr>
          <w:spacing w:val="40"/>
          <w:u w:val="single"/>
        </w:rPr>
        <w:t> </w:t>
      </w:r>
      <w:r>
        <w:rPr>
          <w:u w:val="single"/>
        </w:rPr>
        <w:t>​</w:t>
      </w:r>
      <w:r>
        <w:rPr>
          <w:spacing w:val="-27"/>
          <w:u w:val="single"/>
        </w:rPr>
        <w:t> </w:t>
      </w:r>
      <w:r>
        <w:rPr>
          <w:u w:val="single"/>
        </w:rPr>
        <w:t>Эпидемиология</w:t>
      </w:r>
      <w:r>
        <w:rPr>
          <w:spacing w:val="80"/>
          <w:u w:val="single"/>
        </w:rPr>
        <w:t> </w:t>
      </w:r>
      <w:r>
        <w:rPr>
          <w:color w:val="333333"/>
          <w:u w:val="single" w:color="333333"/>
        </w:rPr>
        <w:t>заболевания</w:t>
      </w:r>
      <w:r>
        <w:rPr>
          <w:color w:val="333333"/>
          <w:spacing w:val="80"/>
          <w:u w:val="single" w:color="333333"/>
        </w:rPr>
        <w:t> </w:t>
      </w:r>
      <w:r>
        <w:rPr>
          <w:color w:val="333333"/>
          <w:u w:val="single" w:color="333333"/>
        </w:rPr>
        <w:t>или</w:t>
      </w:r>
      <w:r>
        <w:rPr>
          <w:color w:val="333333"/>
          <w:spacing w:val="80"/>
          <w:u w:val="single" w:color="333333"/>
        </w:rPr>
        <w:t> </w:t>
      </w:r>
      <w:r>
        <w:rPr>
          <w:color w:val="333333"/>
          <w:u w:val="single" w:color="333333"/>
        </w:rPr>
        <w:t>состояния</w:t>
      </w:r>
      <w:r>
        <w:rPr>
          <w:color w:val="333333"/>
          <w:spacing w:val="80"/>
          <w:u w:val="single" w:color="333333"/>
        </w:rPr>
        <w:t> </w:t>
      </w:r>
      <w:r>
        <w:rPr>
          <w:color w:val="333333"/>
          <w:u w:val="single" w:color="333333"/>
        </w:rPr>
        <w:t>(группы</w:t>
      </w:r>
      <w:r>
        <w:rPr>
          <w:color w:val="333333"/>
          <w:spacing w:val="80"/>
          <w:u w:val="single" w:color="333333"/>
        </w:rPr>
        <w:t> </w:t>
      </w:r>
      <w:r>
        <w:rPr>
          <w:color w:val="333333"/>
          <w:u w:val="single" w:color="333333"/>
        </w:rPr>
        <w:t>заболеваний</w:t>
      </w:r>
      <w:r>
        <w:rPr>
          <w:color w:val="333333"/>
          <w:spacing w:val="80"/>
          <w:u w:val="single" w:color="333333"/>
        </w:rPr>
        <w:t> </w:t>
      </w:r>
      <w:r>
        <w:rPr>
          <w:color w:val="333333"/>
          <w:u w:val="single" w:color="333333"/>
        </w:rPr>
        <w:t>или</w:t>
      </w:r>
      <w:r>
        <w:rPr>
          <w:color w:val="333333"/>
          <w:u w:val="none"/>
        </w:rPr>
        <w:t> </w:t>
      </w:r>
      <w:r>
        <w:rPr>
          <w:color w:val="333333"/>
          <w:spacing w:val="-2"/>
          <w:u w:val="single" w:color="333333"/>
        </w:rPr>
        <w:t>состояний)</w:t>
      </w:r>
    </w:p>
    <w:p>
      <w:pPr>
        <w:pStyle w:val="BodyText"/>
        <w:spacing w:line="360" w:lineRule="auto"/>
        <w:ind w:right="824" w:firstLine="707"/>
      </w:pPr>
      <w:r>
        <w:rPr/>
        <w:t>Распространенность БП составляет от 0.39 до 20.3% по данным различных эпидемиологических исследований и обнаруживается чаще у пациентов с эректильной дисфункцией и сахарным диабетом. Болезнь Пейрони может встречаться в любом возрасте, однако пик заболеваемости приходится на возраст 50-60 лет [16–21] Эпидемиологических исследований БП в России не проводилось.</w:t>
      </w:r>
    </w:p>
    <w:p>
      <w:pPr>
        <w:pStyle w:val="Heading2"/>
        <w:numPr>
          <w:ilvl w:val="1"/>
          <w:numId w:val="2"/>
        </w:numPr>
        <w:tabs>
          <w:tab w:pos="1749" w:val="left" w:leader="none"/>
        </w:tabs>
        <w:spacing w:line="360" w:lineRule="auto" w:before="240" w:after="0"/>
        <w:ind w:left="742" w:right="832" w:firstLine="707"/>
        <w:jc w:val="both"/>
        <w:rPr>
          <w:u w:val="single"/>
        </w:rPr>
      </w:pPr>
      <w:bookmarkStart w:name="_bookmark7" w:id="8"/>
      <w:bookmarkEnd w:id="8"/>
      <w:r>
        <w:rPr>
          <w:b w:val="0"/>
        </w:rPr>
      </w:r>
      <w:r>
        <w:rPr>
          <w:u w:val="single"/>
        </w:rPr>
        <w:t> ​</w:t>
      </w:r>
      <w:r>
        <w:rPr>
          <w:spacing w:val="-11"/>
          <w:u w:val="single"/>
        </w:rPr>
        <w:t> </w:t>
      </w:r>
      <w:r>
        <w:rPr>
          <w:color w:val="333333"/>
          <w:u w:val="single" w:color="333333"/>
        </w:rPr>
        <w:t>Особенности кодирования заболевания или состояния (группы</w:t>
      </w:r>
      <w:r>
        <w:rPr>
          <w:color w:val="333333"/>
          <w:u w:val="none"/>
        </w:rPr>
        <w:t> </w:t>
      </w:r>
      <w:r>
        <w:rPr>
          <w:color w:val="333333"/>
          <w:u w:val="single" w:color="333333"/>
        </w:rPr>
        <w:t>заболеваний или состояний) по Международной статистической классификации</w:t>
      </w:r>
      <w:r>
        <w:rPr>
          <w:color w:val="333333"/>
          <w:u w:val="none"/>
        </w:rPr>
        <w:t> </w:t>
      </w:r>
      <w:r>
        <w:rPr>
          <w:color w:val="333333"/>
          <w:u w:val="single" w:color="333333"/>
        </w:rPr>
        <w:t>болезней и проблем, связанных со здоровьем</w:t>
      </w:r>
    </w:p>
    <w:p>
      <w:pPr>
        <w:pStyle w:val="BodyText"/>
        <w:spacing w:line="360" w:lineRule="auto"/>
        <w:ind w:left="1450" w:right="3937"/>
      </w:pPr>
      <w:r>
        <w:rPr/>
        <w:t>N48.8</w:t>
      </w:r>
      <w:r>
        <w:rPr>
          <w:spacing w:val="-8"/>
        </w:rPr>
        <w:t> </w:t>
      </w:r>
      <w:r>
        <w:rPr/>
        <w:t>Другие</w:t>
      </w:r>
      <w:r>
        <w:rPr>
          <w:spacing w:val="-7"/>
        </w:rPr>
        <w:t> </w:t>
      </w:r>
      <w:r>
        <w:rPr/>
        <w:t>специфические</w:t>
      </w:r>
      <w:r>
        <w:rPr>
          <w:spacing w:val="-9"/>
        </w:rPr>
        <w:t> </w:t>
      </w:r>
      <w:r>
        <w:rPr/>
        <w:t>болезни</w:t>
      </w:r>
      <w:r>
        <w:rPr>
          <w:spacing w:val="-8"/>
        </w:rPr>
        <w:t> </w:t>
      </w:r>
      <w:r>
        <w:rPr/>
        <w:t>полового</w:t>
      </w:r>
      <w:r>
        <w:rPr>
          <w:spacing w:val="-8"/>
        </w:rPr>
        <w:t> </w:t>
      </w:r>
      <w:r>
        <w:rPr/>
        <w:t>члена N48.6 Баланит</w:t>
      </w:r>
    </w:p>
    <w:p>
      <w:pPr>
        <w:spacing w:line="360" w:lineRule="auto" w:before="0"/>
        <w:ind w:left="742" w:right="829" w:firstLine="1415"/>
        <w:jc w:val="both"/>
        <w:rPr>
          <w:i/>
          <w:sz w:val="24"/>
        </w:rPr>
      </w:pPr>
      <w:r>
        <w:rPr>
          <w:sz w:val="24"/>
        </w:rPr>
        <w:t>Примечание: </w:t>
      </w:r>
      <w:r>
        <w:rPr>
          <w:i/>
          <w:sz w:val="24"/>
        </w:rPr>
        <w:t>в англоязычной МКБ-10 болезни Пейрони наиболее</w:t>
      </w:r>
      <w:r>
        <w:rPr>
          <w:i/>
          <w:sz w:val="24"/>
        </w:rPr>
        <w:t> соответствует код N48.6 induration penis plastica (Баланит)</w:t>
      </w:r>
    </w:p>
    <w:p>
      <w:pPr>
        <w:pStyle w:val="Heading2"/>
        <w:numPr>
          <w:ilvl w:val="1"/>
          <w:numId w:val="2"/>
        </w:numPr>
        <w:tabs>
          <w:tab w:pos="1749" w:val="left" w:leader="none"/>
        </w:tabs>
        <w:spacing w:line="360" w:lineRule="auto" w:before="239" w:after="0"/>
        <w:ind w:left="742" w:right="829" w:firstLine="707"/>
        <w:jc w:val="left"/>
        <w:rPr>
          <w:u w:val="single"/>
        </w:rPr>
      </w:pPr>
      <w:bookmarkStart w:name="_bookmark8" w:id="9"/>
      <w:bookmarkEnd w:id="9"/>
      <w:r>
        <w:rPr>
          <w:b w:val="0"/>
        </w:rPr>
      </w:r>
      <w:r>
        <w:rPr>
          <w:spacing w:val="-2"/>
          <w:u w:val="single"/>
        </w:rPr>
        <w:t> </w:t>
      </w:r>
      <w:r>
        <w:rPr>
          <w:u w:val="single"/>
        </w:rPr>
        <w:t>​ Классификация</w:t>
      </w:r>
      <w:r>
        <w:rPr>
          <w:spacing w:val="80"/>
          <w:u w:val="single"/>
        </w:rPr>
        <w:t> </w:t>
      </w:r>
      <w:r>
        <w:rPr>
          <w:color w:val="333333"/>
          <w:u w:val="single" w:color="333333"/>
        </w:rPr>
        <w:t>заболевания</w:t>
      </w:r>
      <w:r>
        <w:rPr>
          <w:color w:val="333333"/>
          <w:spacing w:val="40"/>
          <w:u w:val="single" w:color="333333"/>
        </w:rPr>
        <w:t> </w:t>
      </w:r>
      <w:r>
        <w:rPr>
          <w:color w:val="333333"/>
          <w:u w:val="single" w:color="333333"/>
        </w:rPr>
        <w:t>или</w:t>
      </w:r>
      <w:r>
        <w:rPr>
          <w:color w:val="333333"/>
          <w:spacing w:val="40"/>
          <w:u w:val="single" w:color="333333"/>
        </w:rPr>
        <w:t> </w:t>
      </w:r>
      <w:r>
        <w:rPr>
          <w:color w:val="333333"/>
          <w:u w:val="single" w:color="333333"/>
        </w:rPr>
        <w:t>состояния</w:t>
      </w:r>
      <w:r>
        <w:rPr>
          <w:color w:val="333333"/>
          <w:spacing w:val="40"/>
          <w:u w:val="single" w:color="333333"/>
        </w:rPr>
        <w:t> </w:t>
      </w:r>
      <w:r>
        <w:rPr>
          <w:color w:val="333333"/>
          <w:u w:val="single" w:color="333333"/>
        </w:rPr>
        <w:t>(группы</w:t>
      </w:r>
      <w:r>
        <w:rPr>
          <w:color w:val="333333"/>
          <w:spacing w:val="40"/>
          <w:u w:val="single" w:color="333333"/>
        </w:rPr>
        <w:t> </w:t>
      </w:r>
      <w:r>
        <w:rPr>
          <w:color w:val="333333"/>
          <w:u w:val="single" w:color="333333"/>
        </w:rPr>
        <w:t>заболеваний</w:t>
      </w:r>
      <w:r>
        <w:rPr>
          <w:color w:val="333333"/>
          <w:spacing w:val="40"/>
          <w:u w:val="single" w:color="333333"/>
        </w:rPr>
        <w:t> </w:t>
      </w:r>
      <w:r>
        <w:rPr>
          <w:color w:val="333333"/>
          <w:u w:val="single" w:color="333333"/>
        </w:rPr>
        <w:t>или</w:t>
      </w:r>
      <w:r>
        <w:rPr>
          <w:color w:val="333333"/>
          <w:spacing w:val="40"/>
          <w:u w:val="none"/>
        </w:rPr>
        <w:t> </w:t>
      </w:r>
      <w:r>
        <w:rPr>
          <w:color w:val="333333"/>
          <w:spacing w:val="-2"/>
          <w:u w:val="single" w:color="333333"/>
        </w:rPr>
        <w:t>состояний)</w:t>
      </w:r>
    </w:p>
    <w:p>
      <w:pPr>
        <w:pStyle w:val="BodyText"/>
        <w:spacing w:line="360" w:lineRule="auto"/>
        <w:ind w:right="826" w:firstLine="707"/>
      </w:pPr>
      <w:bookmarkStart w:name="_bookmark9" w:id="10"/>
      <w:bookmarkEnd w:id="10"/>
      <w:r>
        <w:rPr/>
      </w:r>
      <w:r>
        <w:rPr/>
        <w:t>Течение болезни Пейрони определяется двумя фазами – острой фазой и фазой стабилизации.</w:t>
      </w:r>
      <w:r>
        <w:rPr>
          <w:spacing w:val="-2"/>
        </w:rPr>
        <w:t> </w:t>
      </w:r>
      <w:r>
        <w:rPr/>
        <w:t>Острая</w:t>
      </w:r>
      <w:r>
        <w:rPr>
          <w:spacing w:val="-2"/>
        </w:rPr>
        <w:t> </w:t>
      </w:r>
      <w:r>
        <w:rPr/>
        <w:t>фаза</w:t>
      </w:r>
      <w:r>
        <w:rPr>
          <w:spacing w:val="-3"/>
        </w:rPr>
        <w:t> </w:t>
      </w:r>
      <w:r>
        <w:rPr/>
        <w:t>сопровождается</w:t>
      </w:r>
      <w:r>
        <w:rPr>
          <w:spacing w:val="-2"/>
        </w:rPr>
        <w:t> </w:t>
      </w:r>
      <w:r>
        <w:rPr/>
        <w:t>развитием</w:t>
      </w:r>
      <w:r>
        <w:rPr>
          <w:spacing w:val="-3"/>
        </w:rPr>
        <w:t> </w:t>
      </w:r>
      <w:r>
        <w:rPr/>
        <w:t>и</w:t>
      </w:r>
      <w:r>
        <w:rPr>
          <w:spacing w:val="-1"/>
        </w:rPr>
        <w:t> </w:t>
      </w:r>
      <w:r>
        <w:rPr/>
        <w:t>изменением симптомов,</w:t>
      </w:r>
      <w:r>
        <w:rPr>
          <w:spacing w:val="-3"/>
        </w:rPr>
        <w:t> </w:t>
      </w:r>
      <w:r>
        <w:rPr/>
        <w:t>тогда</w:t>
      </w:r>
      <w:r>
        <w:rPr>
          <w:spacing w:val="-3"/>
        </w:rPr>
        <w:t> </w:t>
      </w:r>
      <w:r>
        <w:rPr/>
        <w:t>как стабилизацией считается отсутствие изменения выраженности симптомов (боль, градус искривления) на протяжении 3 месяцев [22, 23].</w:t>
      </w:r>
    </w:p>
    <w:p>
      <w:pPr>
        <w:pStyle w:val="Heading2"/>
        <w:numPr>
          <w:ilvl w:val="1"/>
          <w:numId w:val="2"/>
        </w:numPr>
        <w:tabs>
          <w:tab w:pos="1749" w:val="left" w:leader="none"/>
        </w:tabs>
        <w:spacing w:line="360" w:lineRule="auto" w:before="241" w:after="0"/>
        <w:ind w:left="742" w:right="828" w:firstLine="707"/>
        <w:jc w:val="left"/>
        <w:rPr>
          <w:u w:val="single"/>
        </w:rPr>
      </w:pPr>
      <w:r>
        <w:rPr>
          <w:spacing w:val="-3"/>
          <w:u w:val="single"/>
        </w:rPr>
        <w:t> </w:t>
      </w:r>
      <w:r>
        <w:rPr>
          <w:u w:val="single"/>
        </w:rPr>
        <w:t>​</w:t>
      </w:r>
      <w:r>
        <w:rPr>
          <w:spacing w:val="-4"/>
          <w:u w:val="single"/>
        </w:rPr>
        <w:t> </w:t>
      </w:r>
      <w:r>
        <w:rPr>
          <w:u w:val="single"/>
        </w:rPr>
        <w:t>Клиническая</w:t>
      </w:r>
      <w:r>
        <w:rPr>
          <w:spacing w:val="40"/>
          <w:u w:val="single"/>
        </w:rPr>
        <w:t> </w:t>
      </w:r>
      <w:r>
        <w:rPr>
          <w:u w:val="single"/>
        </w:rPr>
        <w:t>картина</w:t>
      </w:r>
      <w:r>
        <w:rPr>
          <w:spacing w:val="40"/>
          <w:u w:val="single"/>
        </w:rPr>
        <w:t> </w:t>
      </w:r>
      <w:r>
        <w:rPr>
          <w:color w:val="333333"/>
          <w:u w:val="single" w:color="333333"/>
        </w:rPr>
        <w:t>заболевания</w:t>
      </w:r>
      <w:r>
        <w:rPr>
          <w:color w:val="333333"/>
          <w:spacing w:val="40"/>
          <w:u w:val="single" w:color="333333"/>
        </w:rPr>
        <w:t> </w:t>
      </w:r>
      <w:r>
        <w:rPr>
          <w:color w:val="333333"/>
          <w:u w:val="single" w:color="333333"/>
        </w:rPr>
        <w:t>или</w:t>
      </w:r>
      <w:r>
        <w:rPr>
          <w:color w:val="333333"/>
          <w:spacing w:val="40"/>
          <w:u w:val="single" w:color="333333"/>
        </w:rPr>
        <w:t> </w:t>
      </w:r>
      <w:r>
        <w:rPr>
          <w:color w:val="333333"/>
          <w:u w:val="single" w:color="333333"/>
        </w:rPr>
        <w:t>состояния</w:t>
      </w:r>
      <w:r>
        <w:rPr>
          <w:color w:val="333333"/>
          <w:spacing w:val="40"/>
          <w:u w:val="single" w:color="333333"/>
        </w:rPr>
        <w:t> </w:t>
      </w:r>
      <w:r>
        <w:rPr>
          <w:color w:val="333333"/>
          <w:u w:val="single" w:color="333333"/>
        </w:rPr>
        <w:t>(группы</w:t>
      </w:r>
      <w:r>
        <w:rPr>
          <w:color w:val="333333"/>
          <w:spacing w:val="40"/>
          <w:u w:val="single" w:color="333333"/>
        </w:rPr>
        <w:t> </w:t>
      </w:r>
      <w:r>
        <w:rPr>
          <w:color w:val="333333"/>
          <w:u w:val="single" w:color="333333"/>
        </w:rPr>
        <w:t>заболеваний</w:t>
      </w:r>
      <w:r>
        <w:rPr>
          <w:color w:val="333333"/>
          <w:u w:val="none"/>
        </w:rPr>
        <w:t> </w:t>
      </w:r>
      <w:r>
        <w:rPr>
          <w:color w:val="333333"/>
          <w:u w:val="single" w:color="333333"/>
        </w:rPr>
        <w:t>или состояний)</w:t>
      </w:r>
    </w:p>
    <w:p>
      <w:pPr>
        <w:pStyle w:val="BodyText"/>
        <w:spacing w:line="360" w:lineRule="auto"/>
        <w:ind w:right="825" w:firstLine="707"/>
      </w:pPr>
      <w:r>
        <w:rPr/>
        <w:t>Для заболевания характерно наличие двух фаз – острой фазы и фазы стабилизации. Острая фаза характеризуется болями в покое и при эрекции, появлением и прогрессированием деформации полового члена, появлением пальпируемых бляшек белочной оболочки, развитием эректильной дисфункции. Некоторые пациенты не отмечают формирование бляшки, но замечают укорочение полового члена, искривление, уменьшение наполняемости полового члена дистальнее максимального угла искривления.</w:t>
      </w:r>
    </w:p>
    <w:p>
      <w:pPr>
        <w:pStyle w:val="BodyText"/>
      </w:pPr>
      <w:r>
        <w:rPr/>
        <w:t>«шарнирный»</w:t>
      </w:r>
      <w:r>
        <w:rPr>
          <w:spacing w:val="-10"/>
        </w:rPr>
        <w:t> </w:t>
      </w:r>
      <w:r>
        <w:rPr>
          <w:spacing w:val="-2"/>
        </w:rPr>
        <w:t>эффект.</w:t>
      </w:r>
    </w:p>
    <w:p>
      <w:pPr>
        <w:pStyle w:val="BodyText"/>
        <w:spacing w:line="360" w:lineRule="auto" w:before="135"/>
        <w:ind w:right="826" w:firstLine="707"/>
      </w:pPr>
      <w:r>
        <w:rPr/>
        <w:t>За острой фазой следует фаза стабилизации, критерием наступления которой считается отсутствие прогрессирования симптомов на протяжении 3-х месяцев. При этом может</w:t>
      </w:r>
      <w:r>
        <w:rPr>
          <w:spacing w:val="70"/>
          <w:w w:val="150"/>
        </w:rPr>
        <w:t> </w:t>
      </w:r>
      <w:r>
        <w:rPr/>
        <w:t>сохраняться</w:t>
      </w:r>
      <w:r>
        <w:rPr>
          <w:spacing w:val="69"/>
          <w:w w:val="150"/>
        </w:rPr>
        <w:t> </w:t>
      </w:r>
      <w:r>
        <w:rPr/>
        <w:t>боль,</w:t>
      </w:r>
      <w:r>
        <w:rPr>
          <w:spacing w:val="69"/>
          <w:w w:val="150"/>
        </w:rPr>
        <w:t> </w:t>
      </w:r>
      <w:r>
        <w:rPr/>
        <w:t>однако</w:t>
      </w:r>
      <w:r>
        <w:rPr>
          <w:spacing w:val="69"/>
          <w:w w:val="150"/>
        </w:rPr>
        <w:t> </w:t>
      </w:r>
      <w:r>
        <w:rPr/>
        <w:t>она</w:t>
      </w:r>
      <w:r>
        <w:rPr>
          <w:spacing w:val="69"/>
          <w:w w:val="150"/>
        </w:rPr>
        <w:t> </w:t>
      </w:r>
      <w:r>
        <w:rPr/>
        <w:t>возникает</w:t>
      </w:r>
      <w:r>
        <w:rPr>
          <w:spacing w:val="70"/>
          <w:w w:val="150"/>
        </w:rPr>
        <w:t> </w:t>
      </w:r>
      <w:r>
        <w:rPr/>
        <w:t>при</w:t>
      </w:r>
      <w:r>
        <w:rPr>
          <w:spacing w:val="68"/>
          <w:w w:val="150"/>
        </w:rPr>
        <w:t> </w:t>
      </w:r>
      <w:r>
        <w:rPr/>
        <w:t>сильной</w:t>
      </w:r>
      <w:r>
        <w:rPr>
          <w:spacing w:val="70"/>
          <w:w w:val="150"/>
        </w:rPr>
        <w:t> </w:t>
      </w:r>
      <w:r>
        <w:rPr/>
        <w:t>эрекции</w:t>
      </w:r>
      <w:r>
        <w:rPr>
          <w:spacing w:val="68"/>
          <w:w w:val="150"/>
        </w:rPr>
        <w:t> </w:t>
      </w:r>
      <w:r>
        <w:rPr/>
        <w:t>и</w:t>
      </w:r>
      <w:r>
        <w:rPr>
          <w:spacing w:val="70"/>
          <w:w w:val="150"/>
        </w:rPr>
        <w:t> </w:t>
      </w:r>
      <w:r>
        <w:rPr/>
        <w:t>связана</w:t>
      </w:r>
      <w:r>
        <w:rPr>
          <w:spacing w:val="69"/>
          <w:w w:val="150"/>
        </w:rPr>
        <w:t> </w:t>
      </w:r>
      <w:r>
        <w:rPr/>
        <w:t>с</w:t>
      </w:r>
    </w:p>
    <w:p>
      <w:pPr>
        <w:spacing w:after="0" w:line="360" w:lineRule="auto"/>
        <w:sectPr>
          <w:pgSz w:w="11910" w:h="16840"/>
          <w:pgMar w:header="0" w:footer="867" w:top="1660" w:bottom="1060" w:left="960" w:right="20"/>
        </w:sectPr>
      </w:pPr>
    </w:p>
    <w:p>
      <w:pPr>
        <w:pStyle w:val="BodyText"/>
        <w:spacing w:line="360" w:lineRule="auto" w:before="70"/>
        <w:ind w:right="822"/>
      </w:pPr>
      <w:r>
        <w:rPr/>
        <w:t>натяжением белочной оболочки. Больший дискомфорт, как правило, причиняет латеральная или вентральная деформация, поскольку</w:t>
      </w:r>
      <w:r>
        <w:rPr>
          <w:spacing w:val="-1"/>
        </w:rPr>
        <w:t> </w:t>
      </w:r>
      <w:r>
        <w:rPr/>
        <w:t>затрудняет введение полового члена во влагалище. Дорсальная деформация вызывает меньший дискомфорт. При этом некоторые пациенты не предъявляют жалоб на какой-либо дискомфорт или нарушения при половом акте даже при выраженном искривлении (более 60 градусов). Выраженность и направление искривления зависит от размера и локализации бляшки. Кроме простого искривления в одной плоскости могут присутствовать и сложные виды искривления, такие, как деформация по типу «песочные часы» или появление шарнирного эффекта из- за потери осевой ригидности полового члена вследствие деформации.</w:t>
      </w:r>
    </w:p>
    <w:p>
      <w:pPr>
        <w:pStyle w:val="BodyText"/>
        <w:spacing w:before="142"/>
        <w:ind w:left="0"/>
        <w:jc w:val="left"/>
      </w:pPr>
    </w:p>
    <w:p>
      <w:pPr>
        <w:pStyle w:val="Heading2"/>
        <w:numPr>
          <w:ilvl w:val="0"/>
          <w:numId w:val="2"/>
        </w:numPr>
        <w:tabs>
          <w:tab w:pos="2229" w:val="left" w:leader="none"/>
        </w:tabs>
        <w:spacing w:line="360" w:lineRule="auto" w:before="0" w:after="0"/>
        <w:ind w:left="1006" w:right="1089" w:firstLine="983"/>
        <w:jc w:val="left"/>
      </w:pPr>
      <w:bookmarkStart w:name="_bookmark10" w:id="11"/>
      <w:bookmarkEnd w:id="11"/>
      <w:r>
        <w:rPr>
          <w:b w:val="0"/>
        </w:rPr>
      </w:r>
      <w:r>
        <w:rPr/>
        <w:t>Диагностика заболевания или состояния (группы заболеваний или состояний),</w:t>
      </w:r>
      <w:r>
        <w:rPr>
          <w:spacing w:val="-5"/>
        </w:rPr>
        <w:t> </w:t>
      </w:r>
      <w:r>
        <w:rPr/>
        <w:t>медицинские</w:t>
      </w:r>
      <w:r>
        <w:rPr>
          <w:spacing w:val="-6"/>
        </w:rPr>
        <w:t> </w:t>
      </w:r>
      <w:r>
        <w:rPr/>
        <w:t>показания</w:t>
      </w:r>
      <w:r>
        <w:rPr>
          <w:spacing w:val="-5"/>
        </w:rPr>
        <w:t> </w:t>
      </w:r>
      <w:r>
        <w:rPr/>
        <w:t>и</w:t>
      </w:r>
      <w:r>
        <w:rPr>
          <w:spacing w:val="-5"/>
        </w:rPr>
        <w:t> </w:t>
      </w:r>
      <w:r>
        <w:rPr/>
        <w:t>противопоказания</w:t>
      </w:r>
      <w:r>
        <w:rPr>
          <w:spacing w:val="-5"/>
        </w:rPr>
        <w:t> </w:t>
      </w:r>
      <w:r>
        <w:rPr/>
        <w:t>к</w:t>
      </w:r>
      <w:r>
        <w:rPr>
          <w:spacing w:val="-5"/>
        </w:rPr>
        <w:t> </w:t>
      </w:r>
      <w:r>
        <w:rPr/>
        <w:t>применению</w:t>
      </w:r>
      <w:r>
        <w:rPr>
          <w:spacing w:val="-6"/>
        </w:rPr>
        <w:t> </w:t>
      </w:r>
      <w:r>
        <w:rPr/>
        <w:t>методов</w:t>
      </w:r>
    </w:p>
    <w:p>
      <w:pPr>
        <w:spacing w:before="0"/>
        <w:ind w:left="4726" w:right="0" w:firstLine="0"/>
        <w:jc w:val="left"/>
        <w:rPr>
          <w:b/>
          <w:sz w:val="24"/>
        </w:rPr>
      </w:pPr>
      <w:r>
        <w:rPr>
          <w:b/>
          <w:spacing w:val="-2"/>
          <w:sz w:val="24"/>
        </w:rPr>
        <w:t>диагностики</w:t>
      </w:r>
    </w:p>
    <w:p>
      <w:pPr>
        <w:spacing w:line="360" w:lineRule="auto" w:before="134"/>
        <w:ind w:left="742" w:right="823" w:firstLine="707"/>
        <w:jc w:val="both"/>
        <w:rPr>
          <w:i/>
          <w:sz w:val="24"/>
        </w:rPr>
      </w:pPr>
      <w:r>
        <w:rPr>
          <w:i/>
          <w:sz w:val="24"/>
        </w:rPr>
        <w:t>При диагностике пациента с болезнью Пейрони проводится физикальный осмотр,</w:t>
      </w:r>
      <w:r>
        <w:rPr>
          <w:i/>
          <w:sz w:val="24"/>
        </w:rPr>
        <w:t> сбор анамнеза и проведение инструментальных исследований. При физикальном исследовании следует оценить расположение бляшки, растяжимость полового члена, болезненность при пальпации, связь бляшки с окружающими тканями (кожа, уретра). Пациентам следует рекомендовать проведение фотофиксации полового члена в состоянии эрекции в трех проекциях – сверху, спереди и сбоку на однотонном фоне и с хорошим освещением. К инструментальным исследованиям относится допплерография сосудов</w:t>
      </w:r>
      <w:r>
        <w:rPr>
          <w:i/>
          <w:spacing w:val="-1"/>
          <w:sz w:val="24"/>
        </w:rPr>
        <w:t> </w:t>
      </w:r>
      <w:r>
        <w:rPr>
          <w:i/>
          <w:sz w:val="24"/>
        </w:rPr>
        <w:t>полового члена с</w:t>
      </w:r>
      <w:r>
        <w:rPr>
          <w:i/>
          <w:spacing w:val="-1"/>
          <w:sz w:val="24"/>
        </w:rPr>
        <w:t> </w:t>
      </w:r>
      <w:r>
        <w:rPr>
          <w:i/>
          <w:sz w:val="24"/>
        </w:rPr>
        <w:t>лекарственными препаратами (алпростадил)</w:t>
      </w:r>
      <w:r>
        <w:rPr>
          <w:i/>
          <w:spacing w:val="-3"/>
          <w:sz w:val="24"/>
        </w:rPr>
        <w:t> </w:t>
      </w:r>
      <w:r>
        <w:rPr>
          <w:i/>
          <w:sz w:val="24"/>
        </w:rPr>
        <w:t>с целью уточнения выраженности эректильных нарушений.</w:t>
      </w:r>
    </w:p>
    <w:p>
      <w:pPr>
        <w:spacing w:line="360" w:lineRule="auto" w:before="0"/>
        <w:ind w:left="742" w:right="825" w:firstLine="707"/>
        <w:jc w:val="both"/>
        <w:rPr>
          <w:i/>
          <w:sz w:val="24"/>
        </w:rPr>
      </w:pPr>
      <w:r>
        <w:rPr>
          <w:b/>
          <w:i/>
          <w:sz w:val="24"/>
        </w:rPr>
        <w:t>Критерии установления диагноза/состояния: </w:t>
      </w:r>
      <w:r>
        <w:rPr>
          <w:i/>
          <w:sz w:val="24"/>
        </w:rPr>
        <w:t>на основании патогномоничных</w:t>
      </w:r>
      <w:r>
        <w:rPr>
          <w:i/>
          <w:sz w:val="24"/>
        </w:rPr>
        <w:t> данных: наличие уплотнения белочной оболочки при пальпации, искривления полового </w:t>
      </w:r>
      <w:r>
        <w:rPr>
          <w:i/>
          <w:spacing w:val="-2"/>
          <w:sz w:val="24"/>
        </w:rPr>
        <w:t>члена.</w:t>
      </w:r>
    </w:p>
    <w:p>
      <w:pPr>
        <w:pStyle w:val="Heading2"/>
        <w:numPr>
          <w:ilvl w:val="1"/>
          <w:numId w:val="2"/>
        </w:numPr>
        <w:tabs>
          <w:tab w:pos="1750" w:val="left" w:leader="none"/>
        </w:tabs>
        <w:spacing w:line="240" w:lineRule="auto" w:before="246" w:after="0"/>
        <w:ind w:left="1750" w:right="0" w:hanging="300"/>
        <w:jc w:val="left"/>
        <w:rPr>
          <w:u w:val="single"/>
        </w:rPr>
      </w:pPr>
      <w:bookmarkStart w:name="_bookmark11" w:id="12"/>
      <w:bookmarkEnd w:id="12"/>
      <w:r>
        <w:rPr>
          <w:b w:val="0"/>
        </w:rPr>
      </w:r>
      <w:r>
        <w:rPr>
          <w:u w:val="single"/>
        </w:rPr>
        <w:t> ​Жалобы</w:t>
      </w:r>
      <w:r>
        <w:rPr>
          <w:spacing w:val="1"/>
          <w:u w:val="single"/>
        </w:rPr>
        <w:t> </w:t>
      </w:r>
      <w:r>
        <w:rPr>
          <w:u w:val="single"/>
        </w:rPr>
        <w:t>и </w:t>
      </w:r>
      <w:r>
        <w:rPr>
          <w:spacing w:val="-2"/>
          <w:u w:val="single"/>
        </w:rPr>
        <w:t>анамнез</w:t>
      </w:r>
    </w:p>
    <w:p>
      <w:pPr>
        <w:pStyle w:val="BodyText"/>
        <w:spacing w:line="360" w:lineRule="auto" w:before="133"/>
        <w:ind w:right="822"/>
      </w:pPr>
      <w:r>
        <w:rPr>
          <w:b/>
        </w:rPr>
        <w:t>Рекомендуется </w:t>
      </w:r>
      <w:r>
        <w:rPr/>
        <w:t>устанавливать время начала заболевания, наличие провоцирующего фактора, наличие боли и её связь с эрекцией с целью дифференциальной диагностики с последствиями перелома полового члена [22].</w:t>
      </w:r>
    </w:p>
    <w:p>
      <w:pPr>
        <w:spacing w:line="355" w:lineRule="auto" w:before="6"/>
        <w:ind w:left="2160" w:right="826" w:hanging="1419"/>
        <w:jc w:val="both"/>
        <w:rPr>
          <w:i/>
          <w:sz w:val="24"/>
        </w:rPr>
      </w:pPr>
      <w:r>
        <w:rPr>
          <w:b/>
          <w:sz w:val="24"/>
        </w:rPr>
        <w:t>Уровень убедительности рекомендаций C (уровень достоверности доказательств – 5 Комментарии:</w:t>
      </w:r>
      <w:r>
        <w:rPr>
          <w:b/>
          <w:spacing w:val="24"/>
          <w:sz w:val="24"/>
        </w:rPr>
        <w:t> </w:t>
      </w:r>
      <w:r>
        <w:rPr>
          <w:i/>
          <w:sz w:val="24"/>
        </w:rPr>
        <w:t>Определение</w:t>
      </w:r>
      <w:r>
        <w:rPr>
          <w:i/>
          <w:spacing w:val="25"/>
          <w:sz w:val="24"/>
        </w:rPr>
        <w:t> </w:t>
      </w:r>
      <w:r>
        <w:rPr>
          <w:i/>
          <w:sz w:val="24"/>
        </w:rPr>
        <w:t>времени</w:t>
      </w:r>
      <w:r>
        <w:rPr>
          <w:i/>
          <w:spacing w:val="27"/>
          <w:sz w:val="24"/>
        </w:rPr>
        <w:t> </w:t>
      </w:r>
      <w:r>
        <w:rPr>
          <w:i/>
          <w:sz w:val="24"/>
        </w:rPr>
        <w:t>с</w:t>
      </w:r>
      <w:r>
        <w:rPr>
          <w:i/>
          <w:spacing w:val="25"/>
          <w:sz w:val="24"/>
        </w:rPr>
        <w:t> </w:t>
      </w:r>
      <w:r>
        <w:rPr>
          <w:i/>
          <w:sz w:val="24"/>
        </w:rPr>
        <w:t>начала</w:t>
      </w:r>
      <w:r>
        <w:rPr>
          <w:i/>
          <w:spacing w:val="26"/>
          <w:sz w:val="24"/>
        </w:rPr>
        <w:t> </w:t>
      </w:r>
      <w:r>
        <w:rPr>
          <w:i/>
          <w:sz w:val="24"/>
        </w:rPr>
        <w:t>заболевания</w:t>
      </w:r>
      <w:r>
        <w:rPr>
          <w:i/>
          <w:spacing w:val="25"/>
          <w:sz w:val="24"/>
        </w:rPr>
        <w:t> </w:t>
      </w:r>
      <w:r>
        <w:rPr>
          <w:i/>
          <w:sz w:val="24"/>
        </w:rPr>
        <w:t>необходимо</w:t>
      </w:r>
      <w:r>
        <w:rPr>
          <w:i/>
          <w:spacing w:val="27"/>
          <w:sz w:val="24"/>
        </w:rPr>
        <w:t> </w:t>
      </w:r>
      <w:r>
        <w:rPr>
          <w:i/>
          <w:spacing w:val="-5"/>
          <w:sz w:val="24"/>
        </w:rPr>
        <w:t>для</w:t>
      </w:r>
    </w:p>
    <w:p>
      <w:pPr>
        <w:spacing w:before="6"/>
        <w:ind w:left="1450" w:right="0" w:firstLine="0"/>
        <w:jc w:val="both"/>
        <w:rPr>
          <w:i/>
          <w:sz w:val="24"/>
        </w:rPr>
      </w:pPr>
      <w:r>
        <w:rPr>
          <w:i/>
          <w:sz w:val="24"/>
        </w:rPr>
        <w:t>определения</w:t>
      </w:r>
      <w:r>
        <w:rPr>
          <w:i/>
          <w:spacing w:val="-8"/>
          <w:sz w:val="24"/>
        </w:rPr>
        <w:t> </w:t>
      </w:r>
      <w:r>
        <w:rPr>
          <w:i/>
          <w:sz w:val="24"/>
        </w:rPr>
        <w:t>стадии</w:t>
      </w:r>
      <w:r>
        <w:rPr>
          <w:i/>
          <w:spacing w:val="-3"/>
          <w:sz w:val="24"/>
        </w:rPr>
        <w:t> </w:t>
      </w:r>
      <w:r>
        <w:rPr>
          <w:i/>
          <w:sz w:val="24"/>
        </w:rPr>
        <w:t>заболевания</w:t>
      </w:r>
      <w:r>
        <w:rPr>
          <w:i/>
          <w:spacing w:val="-5"/>
          <w:sz w:val="24"/>
        </w:rPr>
        <w:t> </w:t>
      </w:r>
      <w:r>
        <w:rPr>
          <w:i/>
          <w:sz w:val="24"/>
        </w:rPr>
        <w:t>при</w:t>
      </w:r>
      <w:r>
        <w:rPr>
          <w:i/>
          <w:spacing w:val="-3"/>
          <w:sz w:val="24"/>
        </w:rPr>
        <w:t> </w:t>
      </w:r>
      <w:r>
        <w:rPr>
          <w:i/>
          <w:sz w:val="24"/>
        </w:rPr>
        <w:t>планировании</w:t>
      </w:r>
      <w:r>
        <w:rPr>
          <w:i/>
          <w:spacing w:val="-3"/>
          <w:sz w:val="24"/>
        </w:rPr>
        <w:t> </w:t>
      </w:r>
      <w:r>
        <w:rPr>
          <w:i/>
          <w:sz w:val="24"/>
        </w:rPr>
        <w:t>оперативного </w:t>
      </w:r>
      <w:r>
        <w:rPr>
          <w:i/>
          <w:spacing w:val="-2"/>
          <w:sz w:val="24"/>
        </w:rPr>
        <w:t>вмешательства.</w:t>
      </w:r>
    </w:p>
    <w:p>
      <w:pPr>
        <w:spacing w:after="0"/>
        <w:jc w:val="both"/>
        <w:rPr>
          <w:sz w:val="24"/>
        </w:rPr>
        <w:sectPr>
          <w:pgSz w:w="11910" w:h="16840"/>
          <w:pgMar w:header="0" w:footer="867" w:top="1660" w:bottom="1060" w:left="960" w:right="20"/>
        </w:sectPr>
      </w:pPr>
    </w:p>
    <w:p>
      <w:pPr>
        <w:pStyle w:val="BodyText"/>
        <w:spacing w:line="360" w:lineRule="auto" w:before="70"/>
        <w:jc w:val="left"/>
      </w:pPr>
      <w:r>
        <w:rPr>
          <w:b/>
        </w:rPr>
        <w:t>Рекомендуется </w:t>
      </w:r>
      <w:r>
        <w:rPr/>
        <w:t>при сборе анамнеза уточнять направление и степень искривления, темпы прогрессирования искривления для планирования оперативного вмешательства [24].</w:t>
      </w:r>
    </w:p>
    <w:p>
      <w:pPr>
        <w:spacing w:line="357" w:lineRule="auto" w:before="5"/>
        <w:ind w:left="742" w:right="828" w:firstLine="0"/>
        <w:jc w:val="left"/>
        <w:rPr>
          <w:sz w:val="24"/>
        </w:rPr>
      </w:pPr>
      <w:r>
        <w:rPr>
          <w:b/>
          <w:sz w:val="24"/>
        </w:rPr>
        <w:t>Уровень убедительности рекомендаций С (уровень достоверности доказательств – 4 Рекомендуется </w:t>
      </w:r>
      <w:r>
        <w:rPr>
          <w:sz w:val="24"/>
        </w:rPr>
        <w:t>целенаправленный сбор анамнеза в отношении эректильной функции при первичной</w:t>
      </w:r>
      <w:r>
        <w:rPr>
          <w:spacing w:val="80"/>
          <w:sz w:val="24"/>
        </w:rPr>
        <w:t> </w:t>
      </w:r>
      <w:r>
        <w:rPr>
          <w:sz w:val="24"/>
        </w:rPr>
        <w:t>консультации</w:t>
      </w:r>
      <w:r>
        <w:rPr>
          <w:spacing w:val="80"/>
          <w:sz w:val="24"/>
        </w:rPr>
        <w:t> </w:t>
      </w:r>
      <w:r>
        <w:rPr>
          <w:sz w:val="24"/>
        </w:rPr>
        <w:t>для</w:t>
      </w:r>
      <w:r>
        <w:rPr>
          <w:spacing w:val="80"/>
          <w:sz w:val="24"/>
        </w:rPr>
        <w:t> </w:t>
      </w:r>
      <w:r>
        <w:rPr>
          <w:sz w:val="24"/>
        </w:rPr>
        <w:t>возможности</w:t>
      </w:r>
      <w:r>
        <w:rPr>
          <w:spacing w:val="80"/>
          <w:sz w:val="24"/>
        </w:rPr>
        <w:t> </w:t>
      </w:r>
      <w:r>
        <w:rPr>
          <w:sz w:val="24"/>
        </w:rPr>
        <w:t>объективной</w:t>
      </w:r>
      <w:r>
        <w:rPr>
          <w:spacing w:val="80"/>
          <w:sz w:val="24"/>
        </w:rPr>
        <w:t> </w:t>
      </w:r>
      <w:r>
        <w:rPr>
          <w:sz w:val="24"/>
        </w:rPr>
        <w:t>оценки</w:t>
      </w:r>
      <w:r>
        <w:rPr>
          <w:spacing w:val="80"/>
          <w:sz w:val="24"/>
        </w:rPr>
        <w:t> </w:t>
      </w:r>
      <w:r>
        <w:rPr>
          <w:sz w:val="24"/>
        </w:rPr>
        <w:t>и</w:t>
      </w:r>
      <w:r>
        <w:rPr>
          <w:spacing w:val="80"/>
          <w:sz w:val="24"/>
        </w:rPr>
        <w:t> </w:t>
      </w:r>
      <w:r>
        <w:rPr>
          <w:sz w:val="24"/>
        </w:rPr>
        <w:t>установки</w:t>
      </w:r>
      <w:r>
        <w:rPr>
          <w:spacing w:val="80"/>
          <w:sz w:val="24"/>
        </w:rPr>
        <w:t> </w:t>
      </w:r>
      <w:r>
        <w:rPr>
          <w:sz w:val="24"/>
        </w:rPr>
        <w:t>длины полового</w:t>
      </w:r>
      <w:r>
        <w:rPr>
          <w:spacing w:val="39"/>
          <w:sz w:val="24"/>
        </w:rPr>
        <w:t> </w:t>
      </w:r>
      <w:r>
        <w:rPr>
          <w:sz w:val="24"/>
        </w:rPr>
        <w:t>члена</w:t>
      </w:r>
      <w:r>
        <w:rPr>
          <w:spacing w:val="39"/>
          <w:sz w:val="24"/>
        </w:rPr>
        <w:t> </w:t>
      </w:r>
      <w:r>
        <w:rPr>
          <w:sz w:val="24"/>
        </w:rPr>
        <w:t>для</w:t>
      </w:r>
      <w:r>
        <w:rPr>
          <w:spacing w:val="39"/>
          <w:sz w:val="24"/>
        </w:rPr>
        <w:t> </w:t>
      </w:r>
      <w:r>
        <w:rPr>
          <w:sz w:val="24"/>
        </w:rPr>
        <w:t>определения</w:t>
      </w:r>
      <w:r>
        <w:rPr>
          <w:spacing w:val="39"/>
          <w:sz w:val="24"/>
        </w:rPr>
        <w:t> </w:t>
      </w:r>
      <w:r>
        <w:rPr>
          <w:sz w:val="24"/>
        </w:rPr>
        <w:t>выраженности</w:t>
      </w:r>
      <w:r>
        <w:rPr>
          <w:spacing w:val="40"/>
          <w:sz w:val="24"/>
        </w:rPr>
        <w:t> </w:t>
      </w:r>
      <w:r>
        <w:rPr>
          <w:sz w:val="24"/>
        </w:rPr>
        <w:t>укорочения</w:t>
      </w:r>
      <w:r>
        <w:rPr>
          <w:spacing w:val="39"/>
          <w:sz w:val="24"/>
        </w:rPr>
        <w:t> </w:t>
      </w:r>
      <w:r>
        <w:rPr>
          <w:sz w:val="24"/>
        </w:rPr>
        <w:t>полового</w:t>
      </w:r>
      <w:r>
        <w:rPr>
          <w:spacing w:val="39"/>
          <w:sz w:val="24"/>
        </w:rPr>
        <w:t> </w:t>
      </w:r>
      <w:r>
        <w:rPr>
          <w:sz w:val="24"/>
        </w:rPr>
        <w:t>члена</w:t>
      </w:r>
      <w:r>
        <w:rPr>
          <w:spacing w:val="39"/>
          <w:sz w:val="24"/>
        </w:rPr>
        <w:t> </w:t>
      </w:r>
      <w:r>
        <w:rPr>
          <w:sz w:val="24"/>
        </w:rPr>
        <w:t>в</w:t>
      </w:r>
      <w:r>
        <w:rPr>
          <w:spacing w:val="39"/>
          <w:sz w:val="24"/>
        </w:rPr>
        <w:t> </w:t>
      </w:r>
      <w:r>
        <w:rPr>
          <w:sz w:val="24"/>
        </w:rPr>
        <w:t>будущем </w:t>
      </w:r>
      <w:r>
        <w:rPr>
          <w:spacing w:val="-2"/>
          <w:sz w:val="24"/>
        </w:rPr>
        <w:t>[22,24].</w:t>
      </w:r>
    </w:p>
    <w:p>
      <w:pPr>
        <w:spacing w:line="357" w:lineRule="auto" w:before="13"/>
        <w:ind w:left="742" w:right="828" w:firstLine="0"/>
        <w:jc w:val="left"/>
        <w:rPr>
          <w:b/>
          <w:sz w:val="24"/>
        </w:rPr>
      </w:pPr>
      <w:r>
        <w:rPr>
          <w:b/>
          <w:sz w:val="24"/>
        </w:rPr>
        <w:t>Уровень убедительности рекомендаций С (уровень достоверности доказательств – 4 Рекомендуется</w:t>
      </w:r>
      <w:r>
        <w:rPr>
          <w:b/>
          <w:spacing w:val="40"/>
          <w:sz w:val="24"/>
        </w:rPr>
        <w:t> </w:t>
      </w:r>
      <w:r>
        <w:rPr>
          <w:sz w:val="24"/>
        </w:rPr>
        <w:t>уточнение</w:t>
      </w:r>
      <w:r>
        <w:rPr>
          <w:spacing w:val="40"/>
          <w:sz w:val="24"/>
        </w:rPr>
        <w:t> </w:t>
      </w:r>
      <w:r>
        <w:rPr>
          <w:sz w:val="24"/>
        </w:rPr>
        <w:t>наличия</w:t>
      </w:r>
      <w:r>
        <w:rPr>
          <w:spacing w:val="40"/>
          <w:sz w:val="24"/>
        </w:rPr>
        <w:t> </w:t>
      </w:r>
      <w:r>
        <w:rPr>
          <w:sz w:val="24"/>
        </w:rPr>
        <w:t>в</w:t>
      </w:r>
      <w:r>
        <w:rPr>
          <w:spacing w:val="40"/>
          <w:sz w:val="24"/>
        </w:rPr>
        <w:t> </w:t>
      </w:r>
      <w:r>
        <w:rPr>
          <w:sz w:val="24"/>
        </w:rPr>
        <w:t>семейном</w:t>
      </w:r>
      <w:r>
        <w:rPr>
          <w:spacing w:val="40"/>
          <w:sz w:val="24"/>
        </w:rPr>
        <w:t> </w:t>
      </w:r>
      <w:r>
        <w:rPr>
          <w:sz w:val="24"/>
        </w:rPr>
        <w:t>анамнезе</w:t>
      </w:r>
      <w:r>
        <w:rPr>
          <w:spacing w:val="40"/>
          <w:sz w:val="24"/>
        </w:rPr>
        <w:t> </w:t>
      </w:r>
      <w:r>
        <w:rPr>
          <w:sz w:val="24"/>
        </w:rPr>
        <w:t>контрактуры</w:t>
      </w:r>
      <w:r>
        <w:rPr>
          <w:spacing w:val="40"/>
          <w:sz w:val="24"/>
        </w:rPr>
        <w:t> </w:t>
      </w:r>
      <w:r>
        <w:rPr>
          <w:sz w:val="24"/>
        </w:rPr>
        <w:t>Дюпюитрена</w:t>
      </w:r>
      <w:r>
        <w:rPr>
          <w:spacing w:val="40"/>
          <w:sz w:val="24"/>
        </w:rPr>
        <w:t> </w:t>
      </w:r>
      <w:r>
        <w:rPr>
          <w:sz w:val="24"/>
        </w:rPr>
        <w:t>и подошвенного фасциального фиброматоза</w:t>
      </w:r>
      <w:r>
        <w:rPr>
          <w:spacing w:val="29"/>
          <w:sz w:val="24"/>
        </w:rPr>
        <w:t> </w:t>
      </w:r>
      <w:r>
        <w:rPr>
          <w:sz w:val="24"/>
        </w:rPr>
        <w:t>с целью</w:t>
      </w:r>
      <w:r>
        <w:rPr>
          <w:spacing w:val="29"/>
          <w:sz w:val="24"/>
        </w:rPr>
        <w:t> </w:t>
      </w:r>
      <w:r>
        <w:rPr>
          <w:sz w:val="24"/>
        </w:rPr>
        <w:t>уточнения причины заболевания, так как заболевание имеет в т. ч. наследственную природу [22]</w:t>
      </w:r>
      <w:r>
        <w:rPr>
          <w:b/>
          <w:sz w:val="24"/>
        </w:rPr>
        <w:t>.</w:t>
      </w:r>
    </w:p>
    <w:p>
      <w:pPr>
        <w:pStyle w:val="Heading2"/>
        <w:spacing w:before="12"/>
        <w:jc w:val="left"/>
      </w:pPr>
      <w:r>
        <w:rPr/>
        <w:t>Уровень</w:t>
      </w:r>
      <w:r>
        <w:rPr>
          <w:spacing w:val="-6"/>
        </w:rPr>
        <w:t> </w:t>
      </w:r>
      <w:r>
        <w:rPr/>
        <w:t>убедительности</w:t>
      </w:r>
      <w:r>
        <w:rPr>
          <w:spacing w:val="-5"/>
        </w:rPr>
        <w:t> </w:t>
      </w:r>
      <w:r>
        <w:rPr/>
        <w:t>рекомендаций</w:t>
      </w:r>
      <w:r>
        <w:rPr>
          <w:spacing w:val="1"/>
        </w:rPr>
        <w:t> </w:t>
      </w:r>
      <w:r>
        <w:rPr/>
        <w:t>C</w:t>
      </w:r>
      <w:r>
        <w:rPr>
          <w:spacing w:val="-4"/>
        </w:rPr>
        <w:t> </w:t>
      </w:r>
      <w:r>
        <w:rPr/>
        <w:t>(уровень</w:t>
      </w:r>
      <w:r>
        <w:rPr>
          <w:spacing w:val="-3"/>
        </w:rPr>
        <w:t> </w:t>
      </w:r>
      <w:r>
        <w:rPr/>
        <w:t>достоверности</w:t>
      </w:r>
      <w:r>
        <w:rPr>
          <w:spacing w:val="-5"/>
        </w:rPr>
        <w:t> </w:t>
      </w:r>
      <w:r>
        <w:rPr/>
        <w:t>доказательств</w:t>
      </w:r>
      <w:r>
        <w:rPr>
          <w:spacing w:val="-1"/>
        </w:rPr>
        <w:t> </w:t>
      </w:r>
      <w:r>
        <w:rPr/>
        <w:t>–</w:t>
      </w:r>
      <w:r>
        <w:rPr>
          <w:spacing w:val="-3"/>
        </w:rPr>
        <w:t> </w:t>
      </w:r>
      <w:r>
        <w:rPr>
          <w:spacing w:val="-10"/>
        </w:rPr>
        <w:t>5</w:t>
      </w:r>
    </w:p>
    <w:p>
      <w:pPr>
        <w:pStyle w:val="BodyText"/>
        <w:spacing w:before="101"/>
        <w:ind w:left="0"/>
        <w:jc w:val="left"/>
        <w:rPr>
          <w:b/>
        </w:rPr>
      </w:pPr>
    </w:p>
    <w:p>
      <w:pPr>
        <w:pStyle w:val="ListParagraph"/>
        <w:numPr>
          <w:ilvl w:val="1"/>
          <w:numId w:val="2"/>
        </w:numPr>
        <w:tabs>
          <w:tab w:pos="1750" w:val="left" w:leader="none"/>
        </w:tabs>
        <w:spacing w:line="240" w:lineRule="auto" w:before="0" w:after="0"/>
        <w:ind w:left="1750" w:right="0" w:hanging="300"/>
        <w:jc w:val="left"/>
        <w:rPr>
          <w:b/>
          <w:sz w:val="24"/>
          <w:u w:val="single"/>
        </w:rPr>
      </w:pPr>
      <w:bookmarkStart w:name="_bookmark12" w:id="13"/>
      <w:bookmarkEnd w:id="13"/>
      <w:r>
        <w:rPr/>
      </w:r>
      <w:r>
        <w:rPr>
          <w:b/>
          <w:spacing w:val="-3"/>
          <w:sz w:val="24"/>
          <w:u w:val="single"/>
        </w:rPr>
        <w:t> </w:t>
      </w:r>
      <w:r>
        <w:rPr>
          <w:b/>
          <w:sz w:val="24"/>
          <w:u w:val="single"/>
        </w:rPr>
        <w:t>​Физикальное</w:t>
      </w:r>
      <w:r>
        <w:rPr>
          <w:b/>
          <w:spacing w:val="-3"/>
          <w:sz w:val="24"/>
          <w:u w:val="single"/>
        </w:rPr>
        <w:t> </w:t>
      </w:r>
      <w:r>
        <w:rPr>
          <w:b/>
          <w:spacing w:val="-2"/>
          <w:sz w:val="24"/>
          <w:u w:val="single"/>
        </w:rPr>
        <w:t>обследование</w:t>
      </w:r>
    </w:p>
    <w:p>
      <w:pPr>
        <w:pStyle w:val="BodyText"/>
        <w:spacing w:line="360" w:lineRule="auto" w:before="134"/>
        <w:ind w:right="827" w:firstLine="357"/>
        <w:rPr>
          <w:b/>
        </w:rPr>
      </w:pPr>
      <w:r>
        <w:rPr>
          <w:b/>
        </w:rPr>
        <w:t>Рекомендуется </w:t>
      </w:r>
      <w:r>
        <w:rPr/>
        <w:t>устанавливать расположение бляшки и болезненность при пальпации</w:t>
      </w:r>
      <w:r>
        <w:rPr>
          <w:spacing w:val="40"/>
        </w:rPr>
        <w:t> </w:t>
      </w:r>
      <w:r>
        <w:rPr/>
        <w:t>в процессе физикального исследования с целью планирования оперативного вмешательства и дифференциальной диагностики с другими причинами уплотнения тканей полового члена (новообразование, стриктура уретры, кавернозный фиброз) [25]</w:t>
      </w:r>
      <w:r>
        <w:rPr>
          <w:b/>
        </w:rPr>
        <w:t>.</w:t>
      </w:r>
    </w:p>
    <w:p>
      <w:pPr>
        <w:spacing w:line="355" w:lineRule="auto" w:before="5"/>
        <w:ind w:left="1450" w:right="772" w:hanging="708"/>
        <w:jc w:val="both"/>
        <w:rPr>
          <w:i/>
          <w:sz w:val="24"/>
        </w:rPr>
      </w:pPr>
      <w:r>
        <w:rPr>
          <w:b/>
          <w:sz w:val="24"/>
        </w:rPr>
        <w:t>Уровень убедительности рекомендаций C (уровень достоверности доказательств – 4) Комментарии:</w:t>
      </w:r>
      <w:r>
        <w:rPr>
          <w:b/>
          <w:spacing w:val="-6"/>
          <w:sz w:val="24"/>
        </w:rPr>
        <w:t> </w:t>
      </w:r>
      <w:r>
        <w:rPr>
          <w:i/>
          <w:sz w:val="24"/>
        </w:rPr>
        <w:t>следует</w:t>
      </w:r>
      <w:r>
        <w:rPr>
          <w:i/>
          <w:spacing w:val="-3"/>
          <w:sz w:val="24"/>
        </w:rPr>
        <w:t> </w:t>
      </w:r>
      <w:r>
        <w:rPr>
          <w:i/>
          <w:sz w:val="24"/>
        </w:rPr>
        <w:t>оценивать</w:t>
      </w:r>
      <w:r>
        <w:rPr>
          <w:i/>
          <w:spacing w:val="-3"/>
          <w:sz w:val="24"/>
        </w:rPr>
        <w:t> </w:t>
      </w:r>
      <w:r>
        <w:rPr>
          <w:i/>
          <w:sz w:val="24"/>
        </w:rPr>
        <w:t>наличие</w:t>
      </w:r>
      <w:r>
        <w:rPr>
          <w:i/>
          <w:spacing w:val="-4"/>
          <w:sz w:val="24"/>
        </w:rPr>
        <w:t> </w:t>
      </w:r>
      <w:r>
        <w:rPr>
          <w:i/>
          <w:sz w:val="24"/>
        </w:rPr>
        <w:t>связи</w:t>
      </w:r>
      <w:r>
        <w:rPr>
          <w:i/>
          <w:spacing w:val="-3"/>
          <w:sz w:val="24"/>
        </w:rPr>
        <w:t> </w:t>
      </w:r>
      <w:r>
        <w:rPr>
          <w:i/>
          <w:sz w:val="24"/>
        </w:rPr>
        <w:t>бляшки</w:t>
      </w:r>
      <w:r>
        <w:rPr>
          <w:i/>
          <w:spacing w:val="-3"/>
          <w:sz w:val="24"/>
        </w:rPr>
        <w:t> </w:t>
      </w:r>
      <w:r>
        <w:rPr>
          <w:i/>
          <w:sz w:val="24"/>
        </w:rPr>
        <w:t>с</w:t>
      </w:r>
      <w:r>
        <w:rPr>
          <w:i/>
          <w:spacing w:val="-3"/>
          <w:sz w:val="24"/>
        </w:rPr>
        <w:t> </w:t>
      </w:r>
      <w:r>
        <w:rPr>
          <w:i/>
          <w:sz w:val="24"/>
        </w:rPr>
        <w:t>окружающими</w:t>
      </w:r>
      <w:r>
        <w:rPr>
          <w:i/>
          <w:spacing w:val="-3"/>
          <w:sz w:val="24"/>
        </w:rPr>
        <w:t> </w:t>
      </w:r>
      <w:r>
        <w:rPr>
          <w:i/>
          <w:spacing w:val="-2"/>
          <w:sz w:val="24"/>
        </w:rPr>
        <w:t>тканями,</w:t>
      </w:r>
    </w:p>
    <w:p>
      <w:pPr>
        <w:spacing w:line="360" w:lineRule="auto" w:before="7"/>
        <w:ind w:left="742" w:right="831" w:firstLine="0"/>
        <w:jc w:val="both"/>
        <w:rPr>
          <w:i/>
          <w:sz w:val="24"/>
        </w:rPr>
      </w:pPr>
      <w:r>
        <w:rPr>
          <w:i/>
          <w:sz w:val="24"/>
        </w:rPr>
        <w:t>смещаемость уплотнения, отношение к уретре. При пальпации важно обращать</w:t>
      </w:r>
      <w:r>
        <w:rPr>
          <w:i/>
          <w:sz w:val="24"/>
        </w:rPr>
        <w:t> внимание не только на бляшки, находящиеся в области висячей части полового члена, но также проводить пальпацию на всем доступном пальпации протяжении кавернозных тел. Размер бляшки не связан со степенью искривления полового члена [26].</w:t>
      </w:r>
    </w:p>
    <w:p>
      <w:pPr>
        <w:pStyle w:val="BodyText"/>
        <w:spacing w:line="360" w:lineRule="auto" w:before="1"/>
        <w:ind w:right="825" w:firstLine="707"/>
      </w:pPr>
      <w:r>
        <w:rPr>
          <w:b/>
        </w:rPr>
        <w:t>Рекомендуется </w:t>
      </w:r>
      <w:r>
        <w:rPr/>
        <w:t>определять длину полового члена у пациентов в растянутом виде</w:t>
      </w:r>
      <w:r>
        <w:rPr>
          <w:spacing w:val="40"/>
        </w:rPr>
        <w:t> </w:t>
      </w:r>
      <w:r>
        <w:rPr/>
        <w:t>от пенопубикального угла до верхушки головки для определения показаний к оперативному лечению [27, 28].</w:t>
      </w:r>
    </w:p>
    <w:p>
      <w:pPr>
        <w:spacing w:line="357" w:lineRule="auto" w:before="3"/>
        <w:ind w:left="1450" w:right="830" w:hanging="708"/>
        <w:jc w:val="both"/>
        <w:rPr>
          <w:sz w:val="24"/>
        </w:rPr>
      </w:pPr>
      <w:r>
        <w:rPr>
          <w:b/>
          <w:sz w:val="24"/>
        </w:rPr>
        <w:t>Уровень убедительности рекомендаций С (уровень достоверности доказательств – 4 Рекомендуется</w:t>
      </w:r>
      <w:r>
        <w:rPr>
          <w:b/>
          <w:spacing w:val="32"/>
          <w:sz w:val="24"/>
        </w:rPr>
        <w:t> </w:t>
      </w:r>
      <w:r>
        <w:rPr>
          <w:sz w:val="24"/>
        </w:rPr>
        <w:t>проводить</w:t>
      </w:r>
      <w:r>
        <w:rPr>
          <w:spacing w:val="28"/>
          <w:sz w:val="24"/>
        </w:rPr>
        <w:t> </w:t>
      </w:r>
      <w:r>
        <w:rPr>
          <w:sz w:val="24"/>
        </w:rPr>
        <w:t>фотографирование</w:t>
      </w:r>
      <w:r>
        <w:rPr>
          <w:spacing w:val="28"/>
          <w:sz w:val="24"/>
        </w:rPr>
        <w:t> </w:t>
      </w:r>
      <w:r>
        <w:rPr>
          <w:sz w:val="24"/>
        </w:rPr>
        <w:t>полового</w:t>
      </w:r>
      <w:r>
        <w:rPr>
          <w:spacing w:val="30"/>
          <w:sz w:val="24"/>
        </w:rPr>
        <w:t> </w:t>
      </w:r>
      <w:r>
        <w:rPr>
          <w:sz w:val="24"/>
        </w:rPr>
        <w:t>члена</w:t>
      </w:r>
      <w:r>
        <w:rPr>
          <w:spacing w:val="29"/>
          <w:sz w:val="24"/>
        </w:rPr>
        <w:t> </w:t>
      </w:r>
      <w:r>
        <w:rPr>
          <w:sz w:val="24"/>
        </w:rPr>
        <w:t>в</w:t>
      </w:r>
      <w:r>
        <w:rPr>
          <w:spacing w:val="30"/>
          <w:sz w:val="24"/>
        </w:rPr>
        <w:t> </w:t>
      </w:r>
      <w:r>
        <w:rPr>
          <w:sz w:val="24"/>
        </w:rPr>
        <w:t>трёх</w:t>
      </w:r>
      <w:r>
        <w:rPr>
          <w:spacing w:val="30"/>
          <w:sz w:val="24"/>
        </w:rPr>
        <w:t> </w:t>
      </w:r>
      <w:r>
        <w:rPr>
          <w:sz w:val="24"/>
        </w:rPr>
        <w:t>проекциях</w:t>
      </w:r>
      <w:r>
        <w:rPr>
          <w:spacing w:val="33"/>
          <w:sz w:val="24"/>
        </w:rPr>
        <w:t> </w:t>
      </w:r>
      <w:r>
        <w:rPr>
          <w:spacing w:val="-10"/>
          <w:sz w:val="24"/>
        </w:rPr>
        <w:t>в</w:t>
      </w:r>
    </w:p>
    <w:p>
      <w:pPr>
        <w:pStyle w:val="BodyText"/>
        <w:spacing w:line="360" w:lineRule="auto" w:before="1"/>
        <w:ind w:right="830"/>
      </w:pPr>
      <w:r>
        <w:rPr/>
        <w:t>состоянии эрекции, выполняемое пациентом</w:t>
      </w:r>
      <w:r>
        <w:rPr>
          <w:spacing w:val="-1"/>
        </w:rPr>
        <w:t> </w:t>
      </w:r>
      <w:r>
        <w:rPr/>
        <w:t>в домашних условиях, для первичной оценки направления и выраженности деформации полового члена [29,30].</w:t>
      </w:r>
    </w:p>
    <w:p>
      <w:pPr>
        <w:pStyle w:val="Heading2"/>
        <w:spacing w:before="5"/>
      </w:pPr>
      <w:r>
        <w:rPr/>
        <w:t>Уровень</w:t>
      </w:r>
      <w:r>
        <w:rPr>
          <w:spacing w:val="-6"/>
        </w:rPr>
        <w:t> </w:t>
      </w:r>
      <w:r>
        <w:rPr/>
        <w:t>убедительности</w:t>
      </w:r>
      <w:r>
        <w:rPr>
          <w:spacing w:val="-6"/>
        </w:rPr>
        <w:t> </w:t>
      </w:r>
      <w:r>
        <w:rPr/>
        <w:t>рекомендаций В</w:t>
      </w:r>
      <w:r>
        <w:rPr>
          <w:spacing w:val="-4"/>
        </w:rPr>
        <w:t> </w:t>
      </w:r>
      <w:r>
        <w:rPr/>
        <w:t>(уровень</w:t>
      </w:r>
      <w:r>
        <w:rPr>
          <w:spacing w:val="-3"/>
        </w:rPr>
        <w:t> </w:t>
      </w:r>
      <w:r>
        <w:rPr/>
        <w:t>достоверности</w:t>
      </w:r>
      <w:r>
        <w:rPr>
          <w:spacing w:val="-6"/>
        </w:rPr>
        <w:t> </w:t>
      </w:r>
      <w:r>
        <w:rPr/>
        <w:t>доказательств</w:t>
      </w:r>
      <w:r>
        <w:rPr>
          <w:spacing w:val="-1"/>
        </w:rPr>
        <w:t> </w:t>
      </w:r>
      <w:r>
        <w:rPr/>
        <w:t>–</w:t>
      </w:r>
      <w:r>
        <w:rPr>
          <w:spacing w:val="-3"/>
        </w:rPr>
        <w:t> </w:t>
      </w:r>
      <w:r>
        <w:rPr>
          <w:spacing w:val="-5"/>
        </w:rPr>
        <w:t>3)</w:t>
      </w:r>
    </w:p>
    <w:p>
      <w:pPr>
        <w:pStyle w:val="BodyText"/>
        <w:spacing w:line="360" w:lineRule="auto" w:before="135"/>
        <w:ind w:right="826" w:firstLine="707"/>
      </w:pPr>
      <w:r>
        <w:rPr>
          <w:b/>
        </w:rPr>
        <w:t>Комментарии: </w:t>
      </w:r>
      <w:r>
        <w:rPr/>
        <w:t>проведение фотографирования полового члена желательно проводить на однотонном фоне, контрастном по отношению к половому члену.</w:t>
      </w:r>
    </w:p>
    <w:p>
      <w:pPr>
        <w:spacing w:after="0" w:line="360" w:lineRule="auto"/>
        <w:sectPr>
          <w:pgSz w:w="11910" w:h="16840"/>
          <w:pgMar w:header="0" w:footer="867" w:top="1660" w:bottom="1060" w:left="960" w:right="20"/>
        </w:sectPr>
      </w:pPr>
    </w:p>
    <w:p>
      <w:pPr>
        <w:pStyle w:val="Heading2"/>
        <w:numPr>
          <w:ilvl w:val="1"/>
          <w:numId w:val="2"/>
        </w:numPr>
        <w:tabs>
          <w:tab w:pos="1750" w:val="left" w:leader="none"/>
        </w:tabs>
        <w:spacing w:line="240" w:lineRule="auto" w:before="75" w:after="0"/>
        <w:ind w:left="1750" w:right="0" w:hanging="300"/>
        <w:jc w:val="left"/>
        <w:rPr>
          <w:u w:val="single"/>
        </w:rPr>
      </w:pPr>
      <w:bookmarkStart w:name="_bookmark13" w:id="14"/>
      <w:bookmarkEnd w:id="14"/>
      <w:r>
        <w:rPr>
          <w:b w:val="0"/>
        </w:rPr>
      </w:r>
      <w:r>
        <w:rPr>
          <w:spacing w:val="-6"/>
          <w:u w:val="single"/>
        </w:rPr>
        <w:t> </w:t>
      </w:r>
      <w:r>
        <w:rPr>
          <w:u w:val="single"/>
        </w:rPr>
        <w:t>​Лабораторные</w:t>
      </w:r>
      <w:r>
        <w:rPr>
          <w:spacing w:val="-6"/>
          <w:u w:val="single"/>
        </w:rPr>
        <w:t> </w:t>
      </w:r>
      <w:r>
        <w:rPr>
          <w:u w:val="single"/>
        </w:rPr>
        <w:t>диагностические</w:t>
      </w:r>
      <w:r>
        <w:rPr>
          <w:spacing w:val="-6"/>
          <w:u w:val="single"/>
        </w:rPr>
        <w:t> </w:t>
      </w:r>
      <w:r>
        <w:rPr>
          <w:spacing w:val="-2"/>
          <w:u w:val="single"/>
        </w:rPr>
        <w:t>исследования</w:t>
      </w:r>
    </w:p>
    <w:p>
      <w:pPr>
        <w:pStyle w:val="BodyText"/>
        <w:spacing w:line="360" w:lineRule="auto" w:before="132"/>
        <w:ind w:right="828" w:firstLine="707"/>
        <w:jc w:val="left"/>
      </w:pPr>
      <w:r>
        <w:rPr/>
        <w:t>Специфические</w:t>
      </w:r>
      <w:r>
        <w:rPr>
          <w:spacing w:val="-6"/>
        </w:rPr>
        <w:t> </w:t>
      </w:r>
      <w:r>
        <w:rPr/>
        <w:t>лабораторные</w:t>
      </w:r>
      <w:r>
        <w:rPr>
          <w:spacing w:val="-7"/>
        </w:rPr>
        <w:t> </w:t>
      </w:r>
      <w:r>
        <w:rPr/>
        <w:t>исследования</w:t>
      </w:r>
      <w:r>
        <w:rPr>
          <w:spacing w:val="-5"/>
        </w:rPr>
        <w:t> </w:t>
      </w:r>
      <w:r>
        <w:rPr/>
        <w:t>с</w:t>
      </w:r>
      <w:r>
        <w:rPr>
          <w:spacing w:val="-2"/>
        </w:rPr>
        <w:t> </w:t>
      </w:r>
      <w:r>
        <w:rPr/>
        <w:t>целью</w:t>
      </w:r>
      <w:r>
        <w:rPr>
          <w:spacing w:val="-5"/>
        </w:rPr>
        <w:t> </w:t>
      </w:r>
      <w:r>
        <w:rPr/>
        <w:t>диагностики</w:t>
      </w:r>
      <w:r>
        <w:rPr>
          <w:spacing w:val="-5"/>
        </w:rPr>
        <w:t> </w:t>
      </w:r>
      <w:r>
        <w:rPr/>
        <w:t>болезни</w:t>
      </w:r>
      <w:r>
        <w:rPr>
          <w:spacing w:val="-5"/>
        </w:rPr>
        <w:t> </w:t>
      </w:r>
      <w:r>
        <w:rPr/>
        <w:t>Пейрони не применяются</w:t>
      </w:r>
    </w:p>
    <w:p>
      <w:pPr>
        <w:pStyle w:val="Heading2"/>
        <w:numPr>
          <w:ilvl w:val="1"/>
          <w:numId w:val="2"/>
        </w:numPr>
        <w:tabs>
          <w:tab w:pos="1810" w:val="left" w:leader="none"/>
        </w:tabs>
        <w:spacing w:line="240" w:lineRule="auto" w:before="245" w:after="0"/>
        <w:ind w:left="1810" w:right="0" w:hanging="360"/>
        <w:jc w:val="both"/>
      </w:pPr>
      <w:r>
        <w:rPr>
          <w:u w:val="single"/>
        </w:rPr>
        <w:t>Инструментальные</w:t>
      </w:r>
      <w:r>
        <w:rPr>
          <w:spacing w:val="-9"/>
          <w:u w:val="single"/>
        </w:rPr>
        <w:t> </w:t>
      </w:r>
      <w:r>
        <w:rPr>
          <w:u w:val="single"/>
        </w:rPr>
        <w:t>диагностические</w:t>
      </w:r>
      <w:r>
        <w:rPr>
          <w:spacing w:val="-7"/>
          <w:u w:val="single"/>
        </w:rPr>
        <w:t> </w:t>
      </w:r>
      <w:r>
        <w:rPr>
          <w:spacing w:val="-2"/>
          <w:u w:val="single"/>
        </w:rPr>
        <w:t>исследования</w:t>
      </w:r>
    </w:p>
    <w:p>
      <w:pPr>
        <w:pStyle w:val="BodyText"/>
        <w:spacing w:line="360" w:lineRule="auto" w:before="132"/>
        <w:ind w:right="824" w:firstLine="359"/>
      </w:pPr>
      <w:bookmarkStart w:name="_bookmark14" w:id="15"/>
      <w:bookmarkEnd w:id="15"/>
      <w:r>
        <w:rPr/>
      </w:r>
      <w:r>
        <w:rPr>
          <w:b/>
        </w:rPr>
        <w:t>Рекомендуется </w:t>
      </w:r>
      <w:r>
        <w:rPr/>
        <w:t>допплерография сосудов полового члена с лекарственными препаратами (алпростадил в дозировке 10 мкг однократно в кавернозные тела) в тех случаях, когда отсутствует возможность фотографирования при полной эрекции, если пациент предъявляет жалобы на эректильную дисфункцию и если пациенту не удается достичь полной эрекции при попытке фотографирования с целью объективной оценки длины и конфигурации полового члена у пациентов при планировании оперативного вмешательства [29,31]</w:t>
      </w:r>
    </w:p>
    <w:p>
      <w:pPr>
        <w:pStyle w:val="Heading2"/>
        <w:spacing w:before="7"/>
      </w:pPr>
      <w:r>
        <w:rPr/>
        <w:t>Уровень</w:t>
      </w:r>
      <w:r>
        <w:rPr>
          <w:spacing w:val="-6"/>
        </w:rPr>
        <w:t> </w:t>
      </w:r>
      <w:r>
        <w:rPr/>
        <w:t>убедительности</w:t>
      </w:r>
      <w:r>
        <w:rPr>
          <w:spacing w:val="-6"/>
        </w:rPr>
        <w:t> </w:t>
      </w:r>
      <w:r>
        <w:rPr/>
        <w:t>рекомендаций В</w:t>
      </w:r>
      <w:r>
        <w:rPr>
          <w:spacing w:val="-4"/>
        </w:rPr>
        <w:t> </w:t>
      </w:r>
      <w:r>
        <w:rPr/>
        <w:t>(уровень</w:t>
      </w:r>
      <w:r>
        <w:rPr>
          <w:spacing w:val="-4"/>
        </w:rPr>
        <w:t> </w:t>
      </w:r>
      <w:r>
        <w:rPr/>
        <w:t>достоверности</w:t>
      </w:r>
      <w:r>
        <w:rPr>
          <w:spacing w:val="-5"/>
        </w:rPr>
        <w:t> </w:t>
      </w:r>
      <w:r>
        <w:rPr/>
        <w:t>доказательств</w:t>
      </w:r>
      <w:r>
        <w:rPr>
          <w:spacing w:val="-1"/>
        </w:rPr>
        <w:t> </w:t>
      </w:r>
      <w:r>
        <w:rPr/>
        <w:t>–</w:t>
      </w:r>
      <w:r>
        <w:rPr>
          <w:spacing w:val="-3"/>
        </w:rPr>
        <w:t> </w:t>
      </w:r>
      <w:r>
        <w:rPr>
          <w:spacing w:val="-5"/>
        </w:rPr>
        <w:t>3)</w:t>
      </w:r>
    </w:p>
    <w:p>
      <w:pPr>
        <w:pStyle w:val="BodyText"/>
        <w:spacing w:line="360" w:lineRule="auto" w:before="132"/>
        <w:ind w:left="1101" w:right="822" w:firstLine="708"/>
      </w:pPr>
      <w:r>
        <w:rPr>
          <w:b/>
        </w:rPr>
        <w:t>Комментарий: </w:t>
      </w:r>
      <w:r>
        <w:rPr/>
        <w:t>допплерография сосудов полового члена с лекарственными препаратами (алпростадил) (C01EA простагландины) в дозировке 10 мкг однократно в кавернозные тела для достижения эрекции за счет расширения кавернозных артерий и увеличения притока крови к кавернозным телам. При применении алпростадила пациентов следует предупреждать о возможности развития приапизма и</w:t>
      </w:r>
      <w:r>
        <w:rPr>
          <w:spacing w:val="40"/>
        </w:rPr>
        <w:t> </w:t>
      </w:r>
      <w:r>
        <w:rPr/>
        <w:t>рекомендовать обращение к врачу-урологу в случае, если эрекция сохраняется через 3 часа после инъекции препарата.</w:t>
      </w:r>
    </w:p>
    <w:p>
      <w:pPr>
        <w:pStyle w:val="BodyText"/>
        <w:spacing w:line="360" w:lineRule="auto" w:before="2"/>
        <w:ind w:right="832" w:firstLine="359"/>
      </w:pPr>
      <w:r>
        <w:rPr>
          <w:b/>
        </w:rPr>
        <w:t>Рекомендуется совмещать </w:t>
      </w:r>
      <w:r>
        <w:rPr/>
        <w:t>интракавернозный тест с допплерографией сосудов полового члена для выявления признаков васкулогенной эректильной дисфункции [32].</w:t>
      </w:r>
    </w:p>
    <w:p>
      <w:pPr>
        <w:pStyle w:val="Heading2"/>
        <w:spacing w:before="5"/>
      </w:pPr>
      <w:r>
        <w:rPr/>
        <w:t>Уровень</w:t>
      </w:r>
      <w:r>
        <w:rPr>
          <w:spacing w:val="-5"/>
        </w:rPr>
        <w:t> </w:t>
      </w:r>
      <w:r>
        <w:rPr/>
        <w:t>убедительности</w:t>
      </w:r>
      <w:r>
        <w:rPr>
          <w:spacing w:val="-5"/>
        </w:rPr>
        <w:t> </w:t>
      </w:r>
      <w:r>
        <w:rPr/>
        <w:t>рекомендаций</w:t>
      </w:r>
      <w:r>
        <w:rPr>
          <w:spacing w:val="1"/>
        </w:rPr>
        <w:t> </w:t>
      </w:r>
      <w:r>
        <w:rPr/>
        <w:t>C</w:t>
      </w:r>
      <w:r>
        <w:rPr>
          <w:spacing w:val="-4"/>
        </w:rPr>
        <w:t> </w:t>
      </w:r>
      <w:r>
        <w:rPr/>
        <w:t>(уровень</w:t>
      </w:r>
      <w:r>
        <w:rPr>
          <w:spacing w:val="-3"/>
        </w:rPr>
        <w:t> </w:t>
      </w:r>
      <w:r>
        <w:rPr/>
        <w:t>достоверности</w:t>
      </w:r>
      <w:r>
        <w:rPr>
          <w:spacing w:val="-5"/>
        </w:rPr>
        <w:t> </w:t>
      </w:r>
      <w:r>
        <w:rPr/>
        <w:t>доказательств</w:t>
      </w:r>
      <w:r>
        <w:rPr>
          <w:spacing w:val="-3"/>
        </w:rPr>
        <w:t> </w:t>
      </w:r>
      <w:r>
        <w:rPr/>
        <w:t>–</w:t>
      </w:r>
      <w:r>
        <w:rPr>
          <w:spacing w:val="-2"/>
        </w:rPr>
        <w:t> </w:t>
      </w:r>
      <w:r>
        <w:rPr>
          <w:spacing w:val="-5"/>
        </w:rPr>
        <w:t>3)</w:t>
      </w:r>
    </w:p>
    <w:p>
      <w:pPr>
        <w:pStyle w:val="BodyText"/>
        <w:spacing w:line="360" w:lineRule="auto" w:before="132"/>
        <w:ind w:left="1101" w:right="827" w:firstLine="708"/>
      </w:pPr>
      <w:r>
        <w:rPr>
          <w:b/>
        </w:rPr>
        <w:t>Комментарий: </w:t>
      </w:r>
      <w:r>
        <w:rPr/>
        <w:t>До введения вазоактивного препарата алпростадила (C01EA простагландины) следует оценивать признаки кавернозного фиброза в серошкальном режиме УЗИ. Исследование должно проводиться не менее 20-25 минут или до достижения максимальной эрекции, поскольку у некоторых пациентов отмечается отсроченный ответ на препарат.</w:t>
      </w:r>
    </w:p>
    <w:p>
      <w:pPr>
        <w:pStyle w:val="BodyText"/>
        <w:spacing w:line="360" w:lineRule="auto" w:before="2"/>
        <w:ind w:right="824" w:firstLine="707"/>
      </w:pPr>
      <w:r>
        <w:rPr>
          <w:b/>
        </w:rPr>
        <w:t>Не рекомендуется </w:t>
      </w:r>
      <w:r>
        <w:rPr/>
        <w:t>рутинное выполнение ультразвукового исследования, компьютерной</w:t>
      </w:r>
      <w:r>
        <w:rPr>
          <w:spacing w:val="-2"/>
        </w:rPr>
        <w:t> </w:t>
      </w:r>
      <w:r>
        <w:rPr/>
        <w:t>томографии</w:t>
      </w:r>
      <w:r>
        <w:rPr>
          <w:spacing w:val="-2"/>
        </w:rPr>
        <w:t> </w:t>
      </w:r>
      <w:r>
        <w:rPr/>
        <w:t>и магнитно-резонансной</w:t>
      </w:r>
      <w:r>
        <w:rPr>
          <w:spacing w:val="-2"/>
        </w:rPr>
        <w:t> </w:t>
      </w:r>
      <w:r>
        <w:rPr/>
        <w:t>томографии для</w:t>
      </w:r>
      <w:r>
        <w:rPr>
          <w:spacing w:val="-3"/>
        </w:rPr>
        <w:t> </w:t>
      </w:r>
      <w:r>
        <w:rPr/>
        <w:t>диагностики болезни Пейрони. [29, 30, 32]</w:t>
      </w:r>
    </w:p>
    <w:p>
      <w:pPr>
        <w:spacing w:line="357" w:lineRule="auto" w:before="3"/>
        <w:ind w:left="742" w:right="825" w:firstLine="0"/>
        <w:jc w:val="both"/>
        <w:rPr>
          <w:sz w:val="24"/>
        </w:rPr>
      </w:pPr>
      <w:r>
        <w:rPr>
          <w:b/>
          <w:sz w:val="24"/>
        </w:rPr>
        <w:t>Уровень убедительности рекомендаций B (уровень достоверности доказательств – 3. Комментарий: </w:t>
      </w:r>
      <w:r>
        <w:rPr>
          <w:sz w:val="24"/>
        </w:rPr>
        <w:t>выполнение УЗИ полового члена может рекомендоваться при подозрении</w:t>
      </w:r>
    </w:p>
    <w:p>
      <w:pPr>
        <w:spacing w:after="0" w:line="357" w:lineRule="auto"/>
        <w:jc w:val="both"/>
        <w:rPr>
          <w:sz w:val="24"/>
        </w:rPr>
        <w:sectPr>
          <w:pgSz w:w="11910" w:h="16840"/>
          <w:pgMar w:header="0" w:footer="867" w:top="1660" w:bottom="1060" w:left="960" w:right="20"/>
        </w:sectPr>
      </w:pPr>
    </w:p>
    <w:p>
      <w:pPr>
        <w:pStyle w:val="BodyText"/>
        <w:spacing w:line="360" w:lineRule="auto" w:before="70"/>
        <w:jc w:val="left"/>
      </w:pPr>
      <w:r>
        <w:rPr/>
        <w:t>на</w:t>
      </w:r>
      <w:r>
        <w:rPr>
          <w:spacing w:val="40"/>
        </w:rPr>
        <w:t> </w:t>
      </w:r>
      <w:r>
        <w:rPr/>
        <w:t>наличие</w:t>
      </w:r>
      <w:r>
        <w:rPr>
          <w:spacing w:val="40"/>
        </w:rPr>
        <w:t> </w:t>
      </w:r>
      <w:r>
        <w:rPr/>
        <w:t>кавернозного</w:t>
      </w:r>
      <w:r>
        <w:rPr>
          <w:spacing w:val="40"/>
        </w:rPr>
        <w:t> </w:t>
      </w:r>
      <w:r>
        <w:rPr/>
        <w:t>фиброза</w:t>
      </w:r>
      <w:r>
        <w:rPr>
          <w:spacing w:val="40"/>
        </w:rPr>
        <w:t> </w:t>
      </w:r>
      <w:r>
        <w:rPr/>
        <w:t>или</w:t>
      </w:r>
      <w:r>
        <w:rPr>
          <w:spacing w:val="40"/>
        </w:rPr>
        <w:t> </w:t>
      </w:r>
      <w:r>
        <w:rPr/>
        <w:t>данных</w:t>
      </w:r>
      <w:r>
        <w:rPr>
          <w:spacing w:val="40"/>
        </w:rPr>
        <w:t> </w:t>
      </w:r>
      <w:r>
        <w:rPr/>
        <w:t>пальпации,</w:t>
      </w:r>
      <w:r>
        <w:rPr>
          <w:spacing w:val="40"/>
        </w:rPr>
        <w:t> </w:t>
      </w:r>
      <w:r>
        <w:rPr/>
        <w:t>не</w:t>
      </w:r>
      <w:r>
        <w:rPr>
          <w:spacing w:val="40"/>
        </w:rPr>
        <w:t> </w:t>
      </w:r>
      <w:r>
        <w:rPr/>
        <w:t>позволяющих</w:t>
      </w:r>
      <w:r>
        <w:rPr>
          <w:spacing w:val="40"/>
        </w:rPr>
        <w:t> </w:t>
      </w:r>
      <w:r>
        <w:rPr/>
        <w:t>с</w:t>
      </w:r>
      <w:r>
        <w:rPr>
          <w:spacing w:val="40"/>
        </w:rPr>
        <w:t> </w:t>
      </w:r>
      <w:r>
        <w:rPr/>
        <w:t>большой уверенностью предположить диагноз «болезнь Пейрони».</w:t>
      </w:r>
    </w:p>
    <w:p>
      <w:pPr>
        <w:pStyle w:val="Heading2"/>
        <w:numPr>
          <w:ilvl w:val="1"/>
          <w:numId w:val="2"/>
        </w:numPr>
        <w:tabs>
          <w:tab w:pos="1750" w:val="left" w:leader="none"/>
        </w:tabs>
        <w:spacing w:line="240" w:lineRule="auto" w:before="245" w:after="0"/>
        <w:ind w:left="1750" w:right="0" w:hanging="300"/>
        <w:jc w:val="left"/>
        <w:rPr>
          <w:u w:val="single"/>
        </w:rPr>
      </w:pPr>
      <w:r>
        <w:rPr>
          <w:spacing w:val="-3"/>
          <w:u w:val="single"/>
        </w:rPr>
        <w:t> </w:t>
      </w:r>
      <w:r>
        <w:rPr>
          <w:u w:val="single"/>
        </w:rPr>
        <w:t>​Иные</w:t>
      </w:r>
      <w:r>
        <w:rPr>
          <w:spacing w:val="-4"/>
          <w:u w:val="single"/>
        </w:rPr>
        <w:t> </w:t>
      </w:r>
      <w:r>
        <w:rPr>
          <w:u w:val="single"/>
        </w:rPr>
        <w:t>диагностические</w:t>
      </w:r>
      <w:r>
        <w:rPr>
          <w:spacing w:val="-3"/>
          <w:u w:val="single"/>
        </w:rPr>
        <w:t> </w:t>
      </w:r>
      <w:r>
        <w:rPr>
          <w:spacing w:val="-2"/>
          <w:u w:val="single"/>
        </w:rPr>
        <w:t>исследования</w:t>
      </w:r>
    </w:p>
    <w:p>
      <w:pPr>
        <w:pStyle w:val="BodyText"/>
        <w:spacing w:line="360" w:lineRule="auto" w:before="132"/>
        <w:ind w:firstLine="707"/>
        <w:jc w:val="left"/>
      </w:pPr>
      <w:r>
        <w:rPr>
          <w:color w:val="1F2023"/>
        </w:rPr>
        <w:t>Необходимость</w:t>
      </w:r>
      <w:r>
        <w:rPr>
          <w:color w:val="1F2023"/>
          <w:spacing w:val="37"/>
        </w:rPr>
        <w:t> </w:t>
      </w:r>
      <w:r>
        <w:rPr>
          <w:color w:val="1F2023"/>
        </w:rPr>
        <w:t>выполнения</w:t>
      </w:r>
      <w:r>
        <w:rPr>
          <w:color w:val="1F2023"/>
          <w:spacing w:val="36"/>
        </w:rPr>
        <w:t> </w:t>
      </w:r>
      <w:r>
        <w:rPr>
          <w:color w:val="1F2023"/>
        </w:rPr>
        <w:t>иных</w:t>
      </w:r>
      <w:r>
        <w:rPr>
          <w:color w:val="1F2023"/>
          <w:spacing w:val="38"/>
        </w:rPr>
        <w:t> </w:t>
      </w:r>
      <w:r>
        <w:rPr>
          <w:color w:val="1F2023"/>
        </w:rPr>
        <w:t>диагностических</w:t>
      </w:r>
      <w:r>
        <w:rPr>
          <w:color w:val="1F2023"/>
          <w:spacing w:val="39"/>
        </w:rPr>
        <w:t> </w:t>
      </w:r>
      <w:r>
        <w:rPr>
          <w:color w:val="1F2023"/>
        </w:rPr>
        <w:t>исследований</w:t>
      </w:r>
      <w:r>
        <w:rPr>
          <w:color w:val="1F2023"/>
          <w:spacing w:val="37"/>
        </w:rPr>
        <w:t> </w:t>
      </w:r>
      <w:r>
        <w:rPr>
          <w:color w:val="1F2023"/>
        </w:rPr>
        <w:t>определяется</w:t>
      </w:r>
      <w:r>
        <w:rPr>
          <w:color w:val="1F2023"/>
          <w:spacing w:val="36"/>
        </w:rPr>
        <w:t> </w:t>
      </w:r>
      <w:r>
        <w:rPr>
          <w:color w:val="1F2023"/>
        </w:rPr>
        <w:t>в конкретной клинической ситуации в соответствии с состоянием пациента</w:t>
      </w:r>
    </w:p>
    <w:p>
      <w:pPr>
        <w:pStyle w:val="Heading1"/>
        <w:numPr>
          <w:ilvl w:val="0"/>
          <w:numId w:val="2"/>
        </w:numPr>
        <w:tabs>
          <w:tab w:pos="2113" w:val="left" w:leader="none"/>
        </w:tabs>
        <w:spacing w:line="360" w:lineRule="auto" w:before="4" w:after="0"/>
        <w:ind w:left="1210" w:right="1213" w:firstLine="624"/>
        <w:jc w:val="left"/>
      </w:pPr>
      <w:bookmarkStart w:name="_bookmark15" w:id="16"/>
      <w:bookmarkEnd w:id="16"/>
      <w:r>
        <w:rPr>
          <w:b w:val="0"/>
        </w:rPr>
      </w:r>
      <w:r>
        <w:rPr/>
        <w:t>Лечение,</w:t>
      </w:r>
      <w:r>
        <w:rPr>
          <w:spacing w:val="-8"/>
        </w:rPr>
        <w:t> </w:t>
      </w:r>
      <w:r>
        <w:rPr/>
        <w:t>включая</w:t>
      </w:r>
      <w:r>
        <w:rPr>
          <w:spacing w:val="-9"/>
        </w:rPr>
        <w:t> </w:t>
      </w:r>
      <w:r>
        <w:rPr/>
        <w:t>медикаментозную</w:t>
      </w:r>
      <w:r>
        <w:rPr>
          <w:spacing w:val="-6"/>
        </w:rPr>
        <w:t> </w:t>
      </w:r>
      <w:r>
        <w:rPr/>
        <w:t>и</w:t>
      </w:r>
      <w:r>
        <w:rPr>
          <w:spacing w:val="-8"/>
        </w:rPr>
        <w:t> </w:t>
      </w:r>
      <w:r>
        <w:rPr/>
        <w:t>немедикаментозную терапии, диетотерапию, обезболивание, медицинские показания и</w:t>
      </w:r>
    </w:p>
    <w:p>
      <w:pPr>
        <w:spacing w:line="321" w:lineRule="exact" w:before="0"/>
        <w:ind w:left="2172" w:right="0" w:firstLine="0"/>
        <w:jc w:val="left"/>
        <w:rPr>
          <w:b/>
          <w:sz w:val="28"/>
        </w:rPr>
      </w:pPr>
      <w:r>
        <w:rPr>
          <w:b/>
          <w:sz w:val="28"/>
        </w:rPr>
        <w:t>противопоказания</w:t>
      </w:r>
      <w:r>
        <w:rPr>
          <w:b/>
          <w:spacing w:val="-12"/>
          <w:sz w:val="28"/>
        </w:rPr>
        <w:t> </w:t>
      </w:r>
      <w:r>
        <w:rPr>
          <w:b/>
          <w:sz w:val="28"/>
        </w:rPr>
        <w:t>к</w:t>
      </w:r>
      <w:r>
        <w:rPr>
          <w:b/>
          <w:spacing w:val="-6"/>
          <w:sz w:val="28"/>
        </w:rPr>
        <w:t> </w:t>
      </w:r>
      <w:r>
        <w:rPr>
          <w:b/>
          <w:sz w:val="28"/>
        </w:rPr>
        <w:t>применению</w:t>
      </w:r>
      <w:r>
        <w:rPr>
          <w:b/>
          <w:spacing w:val="-6"/>
          <w:sz w:val="28"/>
        </w:rPr>
        <w:t> </w:t>
      </w:r>
      <w:r>
        <w:rPr>
          <w:b/>
          <w:sz w:val="28"/>
        </w:rPr>
        <w:t>методов</w:t>
      </w:r>
      <w:r>
        <w:rPr>
          <w:b/>
          <w:spacing w:val="-9"/>
          <w:sz w:val="28"/>
        </w:rPr>
        <w:t> </w:t>
      </w:r>
      <w:r>
        <w:rPr>
          <w:b/>
          <w:spacing w:val="-2"/>
          <w:sz w:val="28"/>
        </w:rPr>
        <w:t>лечения</w:t>
      </w:r>
    </w:p>
    <w:p>
      <w:pPr>
        <w:pStyle w:val="Heading2"/>
        <w:numPr>
          <w:ilvl w:val="1"/>
          <w:numId w:val="2"/>
        </w:numPr>
        <w:tabs>
          <w:tab w:pos="1750" w:val="left" w:leader="none"/>
        </w:tabs>
        <w:spacing w:line="240" w:lineRule="auto" w:before="164" w:after="0"/>
        <w:ind w:left="1750" w:right="0" w:hanging="300"/>
        <w:jc w:val="left"/>
        <w:rPr>
          <w:u w:val="single"/>
        </w:rPr>
      </w:pPr>
      <w:bookmarkStart w:name="_bookmark16" w:id="17"/>
      <w:bookmarkEnd w:id="17"/>
      <w:r>
        <w:rPr>
          <w:b w:val="0"/>
        </w:rPr>
      </w:r>
      <w:r>
        <w:rPr>
          <w:spacing w:val="-4"/>
          <w:u w:val="single"/>
        </w:rPr>
        <w:t> </w:t>
      </w:r>
      <w:r>
        <w:rPr>
          <w:u w:val="single"/>
        </w:rPr>
        <w:t>​Консервативное</w:t>
      </w:r>
      <w:r>
        <w:rPr>
          <w:spacing w:val="-4"/>
          <w:u w:val="single"/>
        </w:rPr>
        <w:t> </w:t>
      </w:r>
      <w:r>
        <w:rPr>
          <w:spacing w:val="-2"/>
          <w:u w:val="single"/>
        </w:rPr>
        <w:t>лечение</w:t>
      </w:r>
    </w:p>
    <w:p>
      <w:pPr>
        <w:pStyle w:val="BodyText"/>
        <w:spacing w:before="96"/>
        <w:ind w:left="0"/>
        <w:jc w:val="left"/>
        <w:rPr>
          <w:b/>
        </w:rPr>
      </w:pPr>
    </w:p>
    <w:p>
      <w:pPr>
        <w:pStyle w:val="BodyText"/>
        <w:spacing w:line="360" w:lineRule="auto"/>
        <w:ind w:left="1462" w:right="824" w:hanging="360"/>
      </w:pPr>
      <w:r>
        <w:rPr>
          <w:rFonts w:ascii="Arial" w:hAnsi="Arial"/>
          <w:sz w:val="20"/>
        </w:rPr>
        <w:t>·</w:t>
      </w:r>
      <w:r>
        <w:rPr>
          <w:rFonts w:ascii="Arial" w:hAnsi="Arial"/>
          <w:spacing w:val="80"/>
          <w:sz w:val="20"/>
        </w:rPr>
        <w:t> </w:t>
      </w:r>
      <w:r>
        <w:rPr>
          <w:b/>
        </w:rPr>
        <w:t>Рекомендуется </w:t>
      </w:r>
      <w:r>
        <w:rPr/>
        <w:t>назначение пациентам в острой фазе заболевания нестероидных противовоспалительных и противоревматических препаратов для уменьшения болевого синдрома при его наличии [48].</w:t>
      </w:r>
    </w:p>
    <w:p>
      <w:pPr>
        <w:pStyle w:val="Heading2"/>
        <w:spacing w:before="6"/>
      </w:pPr>
      <w:r>
        <w:rPr/>
        <w:t>Уровень</w:t>
      </w:r>
      <w:r>
        <w:rPr>
          <w:spacing w:val="-6"/>
        </w:rPr>
        <w:t> </w:t>
      </w:r>
      <w:r>
        <w:rPr/>
        <w:t>убедительности</w:t>
      </w:r>
      <w:r>
        <w:rPr>
          <w:spacing w:val="-6"/>
        </w:rPr>
        <w:t> </w:t>
      </w:r>
      <w:r>
        <w:rPr/>
        <w:t>рекомендаций B</w:t>
      </w:r>
      <w:r>
        <w:rPr>
          <w:spacing w:val="-4"/>
        </w:rPr>
        <w:t> </w:t>
      </w:r>
      <w:r>
        <w:rPr/>
        <w:t>(уровень</w:t>
      </w:r>
      <w:r>
        <w:rPr>
          <w:spacing w:val="-3"/>
        </w:rPr>
        <w:t> </w:t>
      </w:r>
      <w:r>
        <w:rPr/>
        <w:t>достоверности</w:t>
      </w:r>
      <w:r>
        <w:rPr>
          <w:spacing w:val="-6"/>
        </w:rPr>
        <w:t> </w:t>
      </w:r>
      <w:r>
        <w:rPr/>
        <w:t>доказательств</w:t>
      </w:r>
      <w:r>
        <w:rPr>
          <w:spacing w:val="-1"/>
        </w:rPr>
        <w:t> </w:t>
      </w:r>
      <w:r>
        <w:rPr/>
        <w:t>–</w:t>
      </w:r>
      <w:r>
        <w:rPr>
          <w:spacing w:val="-3"/>
        </w:rPr>
        <w:t> </w:t>
      </w:r>
      <w:r>
        <w:rPr>
          <w:spacing w:val="-5"/>
        </w:rPr>
        <w:t>5.</w:t>
      </w:r>
    </w:p>
    <w:p>
      <w:pPr>
        <w:pStyle w:val="BodyText"/>
        <w:spacing w:line="360" w:lineRule="auto" w:before="132"/>
        <w:ind w:left="1099" w:right="828" w:firstLine="708"/>
      </w:pPr>
      <w:r>
        <w:rPr>
          <w:b/>
        </w:rPr>
        <w:t>Рекомендуется </w:t>
      </w:r>
      <w:r>
        <w:rPr/>
        <w:t>назначение</w:t>
      </w:r>
      <w:r>
        <w:rPr>
          <w:spacing w:val="-3"/>
        </w:rPr>
        <w:t> </w:t>
      </w:r>
      <w:r>
        <w:rPr/>
        <w:t>пациентам</w:t>
      </w:r>
      <w:r>
        <w:rPr>
          <w:spacing w:val="-3"/>
        </w:rPr>
        <w:t> </w:t>
      </w:r>
      <w:r>
        <w:rPr/>
        <w:t>в</w:t>
      </w:r>
      <w:r>
        <w:rPr>
          <w:spacing w:val="-3"/>
        </w:rPr>
        <w:t> </w:t>
      </w:r>
      <w:r>
        <w:rPr/>
        <w:t>острой</w:t>
      </w:r>
      <w:r>
        <w:rPr>
          <w:spacing w:val="-1"/>
        </w:rPr>
        <w:t> </w:t>
      </w:r>
      <w:r>
        <w:rPr/>
        <w:t>фазе</w:t>
      </w:r>
      <w:r>
        <w:rPr>
          <w:spacing w:val="-3"/>
        </w:rPr>
        <w:t> </w:t>
      </w:r>
      <w:r>
        <w:rPr/>
        <w:t>заболевания</w:t>
      </w:r>
      <w:r>
        <w:rPr>
          <w:spacing w:val="-2"/>
        </w:rPr>
        <w:t> </w:t>
      </w:r>
      <w:r>
        <w:rPr/>
        <w:t>препаратов</w:t>
      </w:r>
      <w:r>
        <w:rPr>
          <w:spacing w:val="-3"/>
        </w:rPr>
        <w:t> </w:t>
      </w:r>
      <w:r>
        <w:rPr/>
        <w:t>из группы ингибиторов фосфодиэстеразы 5-го типа (иФДЭ-5, G04BE препараты для лечения эректильной дисфункции) для лечения сопутствующей эректильной дисфункции [34,35].</w:t>
      </w:r>
    </w:p>
    <w:p>
      <w:pPr>
        <w:pStyle w:val="Heading2"/>
        <w:spacing w:before="6"/>
      </w:pPr>
      <w:r>
        <w:rPr/>
        <w:t>Уровень</w:t>
      </w:r>
      <w:r>
        <w:rPr>
          <w:spacing w:val="-6"/>
        </w:rPr>
        <w:t> </w:t>
      </w:r>
      <w:r>
        <w:rPr/>
        <w:t>убедительности</w:t>
      </w:r>
      <w:r>
        <w:rPr>
          <w:spacing w:val="-6"/>
        </w:rPr>
        <w:t> </w:t>
      </w:r>
      <w:r>
        <w:rPr/>
        <w:t>рекомендаций B</w:t>
      </w:r>
      <w:r>
        <w:rPr>
          <w:spacing w:val="-4"/>
        </w:rPr>
        <w:t> </w:t>
      </w:r>
      <w:r>
        <w:rPr/>
        <w:t>(уровень</w:t>
      </w:r>
      <w:r>
        <w:rPr>
          <w:spacing w:val="-3"/>
        </w:rPr>
        <w:t> </w:t>
      </w:r>
      <w:r>
        <w:rPr/>
        <w:t>достоверности</w:t>
      </w:r>
      <w:r>
        <w:rPr>
          <w:spacing w:val="-6"/>
        </w:rPr>
        <w:t> </w:t>
      </w:r>
      <w:r>
        <w:rPr/>
        <w:t>доказательств</w:t>
      </w:r>
      <w:r>
        <w:rPr>
          <w:spacing w:val="-1"/>
        </w:rPr>
        <w:t> </w:t>
      </w:r>
      <w:r>
        <w:rPr/>
        <w:t>–</w:t>
      </w:r>
      <w:r>
        <w:rPr>
          <w:spacing w:val="-3"/>
        </w:rPr>
        <w:t> </w:t>
      </w:r>
      <w:r>
        <w:rPr>
          <w:spacing w:val="-5"/>
        </w:rPr>
        <w:t>2.</w:t>
      </w:r>
    </w:p>
    <w:p>
      <w:pPr>
        <w:pStyle w:val="BodyText"/>
        <w:spacing w:line="360" w:lineRule="auto" w:before="134"/>
        <w:ind w:left="1099" w:right="827" w:firstLine="708"/>
      </w:pPr>
      <w:r>
        <w:rPr>
          <w:b/>
        </w:rPr>
        <w:t>Комментарий: </w:t>
      </w:r>
      <w:r>
        <w:rPr/>
        <w:t>назначение иФДЭ-5 (G04BE препараты для лечения эректильной дисфункции) может облегчать проведение полового акта за счет повышения ригидности полового члена и функциональном уменьшении градуса искривления. Также на фоне приема иФДЭ-5 (G04BE препараты для лечения эректильной дисфункции) в острой фазе отмечается меньшая прогрессия искривления при сравнении с пациентами, не получавшими такой терапии [33–36].</w:t>
      </w:r>
    </w:p>
    <w:p>
      <w:pPr>
        <w:pStyle w:val="BodyText"/>
        <w:tabs>
          <w:tab w:pos="1461" w:val="left" w:leader="none"/>
        </w:tabs>
        <w:spacing w:line="360" w:lineRule="auto"/>
        <w:ind w:left="1099" w:right="830" w:hanging="358"/>
      </w:pPr>
      <w:r>
        <w:rPr>
          <w:rFonts w:ascii="Arial" w:hAnsi="Arial"/>
          <w:spacing w:val="-10"/>
          <w:sz w:val="20"/>
        </w:rPr>
        <w:t>·</w:t>
      </w:r>
      <w:r>
        <w:rPr>
          <w:rFonts w:ascii="Arial" w:hAnsi="Arial"/>
          <w:sz w:val="20"/>
        </w:rPr>
        <w:tab/>
        <w:tab/>
      </w:r>
      <w:r>
        <w:rPr>
          <w:b/>
        </w:rPr>
        <w:t>Рекомендуется </w:t>
      </w:r>
      <w:r>
        <w:rPr/>
        <w:t>применение ударно-волновой терапии (УВТ) с целью уменьшения симптоматики заболевания в острой фазе заболевания [33, 37–41].</w:t>
      </w:r>
    </w:p>
    <w:p>
      <w:pPr>
        <w:pStyle w:val="Heading2"/>
        <w:spacing w:before="3"/>
      </w:pPr>
      <w:r>
        <w:rPr/>
        <w:t>Уровень</w:t>
      </w:r>
      <w:r>
        <w:rPr>
          <w:spacing w:val="-6"/>
        </w:rPr>
        <w:t> </w:t>
      </w:r>
      <w:r>
        <w:rPr/>
        <w:t>убедительности</w:t>
      </w:r>
      <w:r>
        <w:rPr>
          <w:spacing w:val="-5"/>
        </w:rPr>
        <w:t> </w:t>
      </w:r>
      <w:r>
        <w:rPr/>
        <w:t>рекомендаций</w:t>
      </w:r>
      <w:r>
        <w:rPr>
          <w:spacing w:val="1"/>
        </w:rPr>
        <w:t> </w:t>
      </w:r>
      <w:r>
        <w:rPr/>
        <w:t>А</w:t>
      </w:r>
      <w:r>
        <w:rPr>
          <w:spacing w:val="-4"/>
        </w:rPr>
        <w:t> </w:t>
      </w:r>
      <w:r>
        <w:rPr/>
        <w:t>(уровень</w:t>
      </w:r>
      <w:r>
        <w:rPr>
          <w:spacing w:val="-3"/>
        </w:rPr>
        <w:t> </w:t>
      </w:r>
      <w:r>
        <w:rPr/>
        <w:t>достоверности</w:t>
      </w:r>
      <w:r>
        <w:rPr>
          <w:spacing w:val="-5"/>
        </w:rPr>
        <w:t> </w:t>
      </w:r>
      <w:r>
        <w:rPr/>
        <w:t>доказательств</w:t>
      </w:r>
      <w:r>
        <w:rPr>
          <w:spacing w:val="-1"/>
        </w:rPr>
        <w:t> </w:t>
      </w:r>
      <w:r>
        <w:rPr/>
        <w:t>–</w:t>
      </w:r>
      <w:r>
        <w:rPr>
          <w:spacing w:val="-3"/>
        </w:rPr>
        <w:t> </w:t>
      </w:r>
      <w:r>
        <w:rPr>
          <w:spacing w:val="-5"/>
        </w:rPr>
        <w:t>1.</w:t>
      </w:r>
    </w:p>
    <w:p>
      <w:pPr>
        <w:pStyle w:val="BodyText"/>
        <w:spacing w:line="360" w:lineRule="auto" w:before="135"/>
        <w:ind w:left="1025" w:right="832" w:firstLine="710"/>
      </w:pPr>
      <w:r>
        <w:rPr>
          <w:b/>
        </w:rPr>
        <w:t>Комментарий</w:t>
      </w:r>
      <w:r>
        <w:rPr/>
        <w:t>: следует отметить, что применение УВТ имеет ограниченную эффективность в острую фазу заболевания. Не следует ожидать уменьшения искривления на фоне применения УВТ в острую или стабильную фазу.</w:t>
      </w:r>
    </w:p>
    <w:p>
      <w:pPr>
        <w:pStyle w:val="BodyText"/>
        <w:spacing w:line="360" w:lineRule="auto"/>
        <w:ind w:right="832" w:firstLine="707"/>
      </w:pPr>
      <w:r>
        <w:rPr>
          <w:b/>
        </w:rPr>
        <w:t>Рекомендуется </w:t>
      </w:r>
      <w:r>
        <w:rPr/>
        <w:t>выполнение тракционной терапии пациентам с болезнью Пейрони</w:t>
      </w:r>
      <w:r>
        <w:rPr>
          <w:spacing w:val="40"/>
        </w:rPr>
        <w:t> </w:t>
      </w:r>
      <w:r>
        <w:rPr/>
        <w:t>с целью улучшения эректильной функции и сохранения длины полового члена [42–48].</w:t>
      </w:r>
    </w:p>
    <w:p>
      <w:pPr>
        <w:spacing w:after="0" w:line="360" w:lineRule="auto"/>
        <w:sectPr>
          <w:pgSz w:w="11910" w:h="16840"/>
          <w:pgMar w:header="0" w:footer="867" w:top="1660" w:bottom="1060" w:left="960" w:right="20"/>
        </w:sectPr>
      </w:pPr>
    </w:p>
    <w:p>
      <w:pPr>
        <w:pStyle w:val="Heading2"/>
        <w:spacing w:before="75"/>
      </w:pPr>
      <w:r>
        <w:rPr/>
        <w:t>Уровень</w:t>
      </w:r>
      <w:r>
        <w:rPr>
          <w:spacing w:val="-6"/>
        </w:rPr>
        <w:t> </w:t>
      </w:r>
      <w:r>
        <w:rPr/>
        <w:t>убедительности</w:t>
      </w:r>
      <w:r>
        <w:rPr>
          <w:spacing w:val="-6"/>
        </w:rPr>
        <w:t> </w:t>
      </w:r>
      <w:r>
        <w:rPr/>
        <w:t>рекомендаций</w:t>
      </w:r>
      <w:r>
        <w:rPr>
          <w:spacing w:val="1"/>
        </w:rPr>
        <w:t> </w:t>
      </w:r>
      <w:r>
        <w:rPr/>
        <w:t>В</w:t>
      </w:r>
      <w:r>
        <w:rPr>
          <w:spacing w:val="-4"/>
        </w:rPr>
        <w:t> </w:t>
      </w:r>
      <w:r>
        <w:rPr/>
        <w:t>(уровень</w:t>
      </w:r>
      <w:r>
        <w:rPr>
          <w:spacing w:val="-4"/>
        </w:rPr>
        <w:t> </w:t>
      </w:r>
      <w:r>
        <w:rPr/>
        <w:t>достоверности</w:t>
      </w:r>
      <w:r>
        <w:rPr>
          <w:spacing w:val="-5"/>
        </w:rPr>
        <w:t> </w:t>
      </w:r>
      <w:r>
        <w:rPr/>
        <w:t>доказательств</w:t>
      </w:r>
      <w:r>
        <w:rPr>
          <w:spacing w:val="-2"/>
        </w:rPr>
        <w:t> </w:t>
      </w:r>
      <w:r>
        <w:rPr/>
        <w:t>–</w:t>
      </w:r>
      <w:r>
        <w:rPr>
          <w:spacing w:val="-3"/>
        </w:rPr>
        <w:t> </w:t>
      </w:r>
      <w:r>
        <w:rPr>
          <w:spacing w:val="-5"/>
        </w:rPr>
        <w:t>2.</w:t>
      </w:r>
    </w:p>
    <w:p>
      <w:pPr>
        <w:pStyle w:val="BodyText"/>
        <w:spacing w:line="360" w:lineRule="auto" w:before="132"/>
        <w:ind w:left="1025" w:right="828" w:firstLine="710"/>
      </w:pPr>
      <w:r>
        <w:rPr>
          <w:b/>
        </w:rPr>
        <w:t>Комментарий</w:t>
      </w:r>
      <w:r>
        <w:rPr/>
        <w:t>: несмотря на ограниченную доказательную базу, отсутствие стандартизированного режима, тракционная терапия может модифицировать течение болезни, оказывая умеренный положительный эффект. Также данная терапия несет малый риск возникновения побочных эффектов. Тракционная терапия изучалась при терапии простых искривлений, неизвестна ее эффективность при сложных искривлениях полового члена по типу «песочных часов», «шарнирном» искривлении и кальцифицированных бляшках.</w:t>
      </w:r>
    </w:p>
    <w:p>
      <w:pPr>
        <w:pStyle w:val="ListParagraph"/>
        <w:numPr>
          <w:ilvl w:val="0"/>
          <w:numId w:val="3"/>
        </w:numPr>
        <w:tabs>
          <w:tab w:pos="1461" w:val="left" w:leader="none"/>
        </w:tabs>
        <w:spacing w:line="360" w:lineRule="auto" w:before="0" w:after="0"/>
        <w:ind w:left="742" w:right="824" w:firstLine="0"/>
        <w:jc w:val="both"/>
        <w:rPr>
          <w:sz w:val="24"/>
        </w:rPr>
      </w:pPr>
      <w:r>
        <w:rPr>
          <w:b/>
          <w:sz w:val="24"/>
        </w:rPr>
        <w:t>Не рекомендуется </w:t>
      </w:r>
      <w:r>
        <w:rPr>
          <w:sz w:val="24"/>
        </w:rPr>
        <w:t>применение у пациентов с болезнью Пейрони тамоксифена** с целью модификации течения заболевания [33].</w:t>
      </w:r>
    </w:p>
    <w:p>
      <w:pPr>
        <w:spacing w:line="360" w:lineRule="auto" w:before="5"/>
        <w:ind w:left="1462" w:right="542" w:hanging="720"/>
        <w:jc w:val="left"/>
        <w:rPr>
          <w:sz w:val="24"/>
        </w:rPr>
      </w:pPr>
      <w:r>
        <w:rPr>
          <w:b/>
          <w:sz w:val="24"/>
        </w:rPr>
        <w:t>Уровень убедительности рекомендаций A (уровень достоверности доказательств – 1. Комментарий: </w:t>
      </w:r>
      <w:r>
        <w:rPr>
          <w:sz w:val="24"/>
        </w:rPr>
        <w:t>назначение препаратов витамина Е не рекомендуется, поскольку не показало значимой клинической эффективности при лечении болезни Пейрони. [22, 33, 47, 48].</w:t>
      </w:r>
    </w:p>
    <w:p>
      <w:pPr>
        <w:pStyle w:val="ListParagraph"/>
        <w:numPr>
          <w:ilvl w:val="0"/>
          <w:numId w:val="3"/>
        </w:numPr>
        <w:tabs>
          <w:tab w:pos="1461" w:val="left" w:leader="none"/>
          <w:tab w:pos="1999" w:val="left" w:leader="none"/>
          <w:tab w:pos="3845" w:val="left" w:leader="none"/>
          <w:tab w:pos="5317" w:val="left" w:leader="none"/>
          <w:tab w:pos="7898" w:val="left" w:leader="none"/>
          <w:tab w:pos="9157" w:val="left" w:leader="none"/>
          <w:tab w:pos="9507" w:val="left" w:leader="none"/>
          <w:tab w:pos="9916" w:val="left" w:leader="none"/>
        </w:tabs>
        <w:spacing w:line="362" w:lineRule="auto" w:before="0" w:after="0"/>
        <w:ind w:left="742" w:right="828" w:firstLine="0"/>
        <w:jc w:val="left"/>
        <w:rPr>
          <w:sz w:val="24"/>
        </w:rPr>
      </w:pPr>
      <w:r>
        <w:rPr>
          <w:b/>
          <w:spacing w:val="-6"/>
          <w:sz w:val="24"/>
        </w:rPr>
        <w:t>Не</w:t>
      </w:r>
      <w:r>
        <w:rPr>
          <w:b/>
          <w:sz w:val="24"/>
        </w:rPr>
        <w:tab/>
      </w:r>
      <w:r>
        <w:rPr>
          <w:b/>
          <w:spacing w:val="-2"/>
          <w:sz w:val="24"/>
        </w:rPr>
        <w:t>рекомендуется</w:t>
      </w:r>
      <w:r>
        <w:rPr>
          <w:b/>
          <w:sz w:val="24"/>
        </w:rPr>
        <w:tab/>
      </w:r>
      <w:r>
        <w:rPr>
          <w:spacing w:val="-2"/>
          <w:sz w:val="24"/>
        </w:rPr>
        <w:t>применение</w:t>
      </w:r>
      <w:r>
        <w:rPr>
          <w:sz w:val="24"/>
        </w:rPr>
        <w:tab/>
      </w:r>
      <w:r>
        <w:rPr>
          <w:spacing w:val="-2"/>
          <w:sz w:val="24"/>
        </w:rPr>
        <w:t>физиотерапевтических</w:t>
      </w:r>
      <w:r>
        <w:rPr>
          <w:sz w:val="24"/>
        </w:rPr>
        <w:tab/>
      </w:r>
      <w:r>
        <w:rPr>
          <w:spacing w:val="-2"/>
          <w:sz w:val="24"/>
        </w:rPr>
        <w:t>процедур,</w:t>
      </w:r>
      <w:r>
        <w:rPr>
          <w:sz w:val="24"/>
        </w:rPr>
        <w:tab/>
      </w:r>
      <w:r>
        <w:rPr>
          <w:spacing w:val="-10"/>
          <w:sz w:val="24"/>
        </w:rPr>
        <w:t>в</w:t>
      </w:r>
      <w:r>
        <w:rPr>
          <w:sz w:val="24"/>
        </w:rPr>
        <w:tab/>
      </w:r>
      <w:r>
        <w:rPr>
          <w:spacing w:val="-6"/>
          <w:sz w:val="24"/>
        </w:rPr>
        <w:t>т.</w:t>
      </w:r>
      <w:r>
        <w:rPr>
          <w:sz w:val="24"/>
        </w:rPr>
        <w:tab/>
      </w:r>
      <w:r>
        <w:rPr>
          <w:spacing w:val="-6"/>
          <w:sz w:val="24"/>
        </w:rPr>
        <w:t>ч. </w:t>
      </w:r>
      <w:r>
        <w:rPr>
          <w:sz w:val="24"/>
        </w:rPr>
        <w:t>электрофореза, с целью лечения болезни Пейрони [22, 48]</w:t>
      </w:r>
    </w:p>
    <w:p>
      <w:pPr>
        <w:pStyle w:val="Heading2"/>
        <w:spacing w:line="276" w:lineRule="exact"/>
        <w:jc w:val="left"/>
      </w:pPr>
      <w:r>
        <w:rPr/>
        <w:t>Уровень</w:t>
      </w:r>
      <w:r>
        <w:rPr>
          <w:spacing w:val="-6"/>
        </w:rPr>
        <w:t> </w:t>
      </w:r>
      <w:r>
        <w:rPr/>
        <w:t>убедительности</w:t>
      </w:r>
      <w:r>
        <w:rPr>
          <w:spacing w:val="-4"/>
        </w:rPr>
        <w:t> </w:t>
      </w:r>
      <w:r>
        <w:rPr/>
        <w:t>рекомендаций</w:t>
      </w:r>
      <w:r>
        <w:rPr>
          <w:spacing w:val="-2"/>
        </w:rPr>
        <w:t> </w:t>
      </w:r>
      <w:r>
        <w:rPr/>
        <w:t>В</w:t>
      </w:r>
      <w:r>
        <w:rPr>
          <w:spacing w:val="-4"/>
        </w:rPr>
        <w:t> </w:t>
      </w:r>
      <w:r>
        <w:rPr/>
        <w:t>(уровень</w:t>
      </w:r>
      <w:r>
        <w:rPr>
          <w:spacing w:val="-3"/>
        </w:rPr>
        <w:t> </w:t>
      </w:r>
      <w:r>
        <w:rPr/>
        <w:t>достоверности</w:t>
      </w:r>
      <w:r>
        <w:rPr>
          <w:spacing w:val="-6"/>
        </w:rPr>
        <w:t> </w:t>
      </w:r>
      <w:r>
        <w:rPr/>
        <w:t>доказательств</w:t>
      </w:r>
      <w:r>
        <w:rPr>
          <w:spacing w:val="-1"/>
        </w:rPr>
        <w:t> </w:t>
      </w:r>
      <w:r>
        <w:rPr/>
        <w:t>–</w:t>
      </w:r>
      <w:r>
        <w:rPr>
          <w:spacing w:val="-3"/>
        </w:rPr>
        <w:t> </w:t>
      </w:r>
      <w:r>
        <w:rPr>
          <w:spacing w:val="-5"/>
        </w:rPr>
        <w:t>2.</w:t>
      </w:r>
    </w:p>
    <w:p>
      <w:pPr>
        <w:pStyle w:val="ListParagraph"/>
        <w:numPr>
          <w:ilvl w:val="0"/>
          <w:numId w:val="3"/>
        </w:numPr>
        <w:tabs>
          <w:tab w:pos="1099" w:val="left" w:leader="none"/>
          <w:tab w:pos="1461" w:val="left" w:leader="none"/>
        </w:tabs>
        <w:spacing w:line="360" w:lineRule="auto" w:before="130" w:after="0"/>
        <w:ind w:left="1099" w:right="832" w:hanging="358"/>
        <w:jc w:val="left"/>
        <w:rPr>
          <w:sz w:val="24"/>
        </w:rPr>
      </w:pPr>
      <w:r>
        <w:rPr>
          <w:rFonts w:ascii="Arial" w:hAnsi="Arial"/>
          <w:sz w:val="20"/>
        </w:rPr>
        <w:tab/>
      </w:r>
      <w:r>
        <w:rPr>
          <w:b/>
          <w:sz w:val="24"/>
        </w:rPr>
        <w:t>Не</w:t>
      </w:r>
      <w:r>
        <w:rPr>
          <w:b/>
          <w:spacing w:val="40"/>
          <w:sz w:val="24"/>
        </w:rPr>
        <w:t> </w:t>
      </w:r>
      <w:r>
        <w:rPr>
          <w:b/>
          <w:sz w:val="24"/>
        </w:rPr>
        <w:t>рекомендуется</w:t>
      </w:r>
      <w:r>
        <w:rPr>
          <w:b/>
          <w:spacing w:val="40"/>
          <w:sz w:val="24"/>
        </w:rPr>
        <w:t> </w:t>
      </w:r>
      <w:r>
        <w:rPr>
          <w:sz w:val="24"/>
        </w:rPr>
        <w:t>инъекционная</w:t>
      </w:r>
      <w:r>
        <w:rPr>
          <w:spacing w:val="40"/>
          <w:sz w:val="24"/>
        </w:rPr>
        <w:t> </w:t>
      </w:r>
      <w:r>
        <w:rPr>
          <w:sz w:val="24"/>
        </w:rPr>
        <w:t>терапия</w:t>
      </w:r>
      <w:r>
        <w:rPr>
          <w:spacing w:val="40"/>
          <w:sz w:val="24"/>
        </w:rPr>
        <w:t> </w:t>
      </w:r>
      <w:r>
        <w:rPr>
          <w:sz w:val="24"/>
        </w:rPr>
        <w:t>непосредственно</w:t>
      </w:r>
      <w:r>
        <w:rPr>
          <w:spacing w:val="40"/>
          <w:sz w:val="24"/>
        </w:rPr>
        <w:t> </w:t>
      </w:r>
      <w:r>
        <w:rPr>
          <w:sz w:val="24"/>
        </w:rPr>
        <w:t>в</w:t>
      </w:r>
      <w:r>
        <w:rPr>
          <w:spacing w:val="40"/>
          <w:sz w:val="24"/>
        </w:rPr>
        <w:t> </w:t>
      </w:r>
      <w:r>
        <w:rPr>
          <w:sz w:val="24"/>
        </w:rPr>
        <w:t>бляшку</w:t>
      </w:r>
      <w:r>
        <w:rPr>
          <w:spacing w:val="40"/>
          <w:sz w:val="24"/>
        </w:rPr>
        <w:t> </w:t>
      </w:r>
      <w:r>
        <w:rPr>
          <w:sz w:val="24"/>
        </w:rPr>
        <w:t>с</w:t>
      </w:r>
      <w:r>
        <w:rPr>
          <w:spacing w:val="40"/>
          <w:sz w:val="24"/>
        </w:rPr>
        <w:t> </w:t>
      </w:r>
      <w:r>
        <w:rPr>
          <w:sz w:val="24"/>
        </w:rPr>
        <w:t>целью</w:t>
      </w:r>
      <w:r>
        <w:rPr>
          <w:spacing w:val="40"/>
          <w:sz w:val="24"/>
        </w:rPr>
        <w:t> </w:t>
      </w:r>
      <w:r>
        <w:rPr>
          <w:sz w:val="24"/>
        </w:rPr>
        <w:t>лечения болезни Пейрони [47, 48].</w:t>
      </w:r>
    </w:p>
    <w:p>
      <w:pPr>
        <w:pStyle w:val="Heading2"/>
        <w:spacing w:before="4"/>
        <w:jc w:val="left"/>
      </w:pPr>
      <w:r>
        <w:rPr/>
        <w:t>Уровень</w:t>
      </w:r>
      <w:r>
        <w:rPr>
          <w:spacing w:val="-6"/>
        </w:rPr>
        <w:t> </w:t>
      </w:r>
      <w:r>
        <w:rPr/>
        <w:t>убедительности</w:t>
      </w:r>
      <w:r>
        <w:rPr>
          <w:spacing w:val="-6"/>
        </w:rPr>
        <w:t> </w:t>
      </w:r>
      <w:r>
        <w:rPr/>
        <w:t>рекомендаций В</w:t>
      </w:r>
      <w:r>
        <w:rPr>
          <w:spacing w:val="-4"/>
        </w:rPr>
        <w:t> </w:t>
      </w:r>
      <w:r>
        <w:rPr/>
        <w:t>(уровень</w:t>
      </w:r>
      <w:r>
        <w:rPr>
          <w:spacing w:val="-3"/>
        </w:rPr>
        <w:t> </w:t>
      </w:r>
      <w:r>
        <w:rPr/>
        <w:t>достоверности</w:t>
      </w:r>
      <w:r>
        <w:rPr>
          <w:spacing w:val="-6"/>
        </w:rPr>
        <w:t> </w:t>
      </w:r>
      <w:r>
        <w:rPr/>
        <w:t>доказательств</w:t>
      </w:r>
      <w:r>
        <w:rPr>
          <w:spacing w:val="-1"/>
        </w:rPr>
        <w:t> </w:t>
      </w:r>
      <w:r>
        <w:rPr/>
        <w:t>–</w:t>
      </w:r>
      <w:r>
        <w:rPr>
          <w:spacing w:val="-3"/>
        </w:rPr>
        <w:t> </w:t>
      </w:r>
      <w:r>
        <w:rPr>
          <w:spacing w:val="-5"/>
        </w:rPr>
        <w:t>2.</w:t>
      </w:r>
    </w:p>
    <w:p>
      <w:pPr>
        <w:pStyle w:val="BodyText"/>
        <w:spacing w:before="101"/>
        <w:ind w:left="0"/>
        <w:jc w:val="left"/>
        <w:rPr>
          <w:b/>
        </w:rPr>
      </w:pPr>
    </w:p>
    <w:p>
      <w:pPr>
        <w:pStyle w:val="ListParagraph"/>
        <w:numPr>
          <w:ilvl w:val="1"/>
          <w:numId w:val="2"/>
        </w:numPr>
        <w:tabs>
          <w:tab w:pos="1750" w:val="left" w:leader="none"/>
        </w:tabs>
        <w:spacing w:line="240" w:lineRule="auto" w:before="0" w:after="0"/>
        <w:ind w:left="1750" w:right="0" w:hanging="300"/>
        <w:jc w:val="left"/>
        <w:rPr>
          <w:b/>
          <w:sz w:val="24"/>
          <w:u w:val="single"/>
        </w:rPr>
      </w:pPr>
      <w:bookmarkStart w:name="_bookmark17" w:id="18"/>
      <w:bookmarkEnd w:id="18"/>
      <w:r>
        <w:rPr/>
      </w:r>
      <w:r>
        <w:rPr>
          <w:b/>
          <w:spacing w:val="-3"/>
          <w:sz w:val="24"/>
          <w:u w:val="single"/>
        </w:rPr>
        <w:t> </w:t>
      </w:r>
      <w:r>
        <w:rPr>
          <w:b/>
          <w:sz w:val="24"/>
          <w:u w:val="single"/>
        </w:rPr>
        <w:t>​Хирургическое</w:t>
      </w:r>
      <w:r>
        <w:rPr>
          <w:b/>
          <w:spacing w:val="-3"/>
          <w:sz w:val="24"/>
          <w:u w:val="single"/>
        </w:rPr>
        <w:t> </w:t>
      </w:r>
      <w:r>
        <w:rPr>
          <w:b/>
          <w:spacing w:val="-2"/>
          <w:sz w:val="24"/>
          <w:u w:val="single"/>
        </w:rPr>
        <w:t>лечение</w:t>
      </w:r>
    </w:p>
    <w:p>
      <w:pPr>
        <w:spacing w:line="360" w:lineRule="auto" w:before="135"/>
        <w:ind w:left="742" w:right="827" w:firstLine="707"/>
        <w:jc w:val="both"/>
        <w:rPr>
          <w:i/>
          <w:sz w:val="24"/>
        </w:rPr>
      </w:pPr>
      <w:r>
        <w:rPr>
          <w:i/>
          <w:sz w:val="24"/>
        </w:rPr>
        <w:t>Учитывая ограниченную эффективность консервативной терапии, хирургическое</w:t>
      </w:r>
      <w:r>
        <w:rPr>
          <w:i/>
          <w:sz w:val="24"/>
        </w:rPr>
        <w:t> лечение является предпочтительным методом лечения. При планировании оперативного вмешательства следует учитывать соматический статус пациента, информировать пациента о возможных методах оперативного лечения и осложнениях. Выполнение фотографирования полового члена перед оперативным вмешательством помогает оценить размер полового члена и выраженность искривления до и после операции. При планировании</w:t>
      </w:r>
      <w:r>
        <w:rPr>
          <w:i/>
          <w:spacing w:val="-4"/>
          <w:sz w:val="24"/>
        </w:rPr>
        <w:t> </w:t>
      </w:r>
      <w:r>
        <w:rPr>
          <w:i/>
          <w:sz w:val="24"/>
        </w:rPr>
        <w:t>пликационных</w:t>
      </w:r>
      <w:r>
        <w:rPr>
          <w:i/>
          <w:spacing w:val="-5"/>
          <w:sz w:val="24"/>
        </w:rPr>
        <w:t> </w:t>
      </w:r>
      <w:r>
        <w:rPr>
          <w:i/>
          <w:sz w:val="24"/>
        </w:rPr>
        <w:t>методик</w:t>
      </w:r>
      <w:r>
        <w:rPr>
          <w:i/>
          <w:spacing w:val="-4"/>
          <w:sz w:val="24"/>
        </w:rPr>
        <w:t> </w:t>
      </w:r>
      <w:r>
        <w:rPr>
          <w:i/>
          <w:sz w:val="24"/>
        </w:rPr>
        <w:t>для</w:t>
      </w:r>
      <w:r>
        <w:rPr>
          <w:i/>
          <w:spacing w:val="-6"/>
          <w:sz w:val="24"/>
        </w:rPr>
        <w:t> </w:t>
      </w:r>
      <w:r>
        <w:rPr>
          <w:i/>
          <w:sz w:val="24"/>
        </w:rPr>
        <w:t>упрощения</w:t>
      </w:r>
      <w:r>
        <w:rPr>
          <w:i/>
          <w:spacing w:val="-4"/>
          <w:sz w:val="24"/>
        </w:rPr>
        <w:t> </w:t>
      </w:r>
      <w:r>
        <w:rPr>
          <w:i/>
          <w:sz w:val="24"/>
        </w:rPr>
        <w:t>восприятия</w:t>
      </w:r>
      <w:r>
        <w:rPr>
          <w:i/>
          <w:spacing w:val="-6"/>
          <w:sz w:val="24"/>
        </w:rPr>
        <w:t> </w:t>
      </w:r>
      <w:r>
        <w:rPr>
          <w:i/>
          <w:sz w:val="24"/>
        </w:rPr>
        <w:t>ожидаемого</w:t>
      </w:r>
      <w:r>
        <w:rPr>
          <w:i/>
          <w:spacing w:val="-4"/>
          <w:sz w:val="24"/>
        </w:rPr>
        <w:t> </w:t>
      </w:r>
      <w:r>
        <w:rPr>
          <w:i/>
          <w:sz w:val="24"/>
        </w:rPr>
        <w:t>результата пациента следует предупреждать о том, что половой член будет такой же длины, как его короткая сторона (сторона искривления).</w:t>
      </w:r>
    </w:p>
    <w:p>
      <w:pPr>
        <w:pStyle w:val="BodyText"/>
        <w:spacing w:line="360" w:lineRule="auto"/>
        <w:ind w:left="1454" w:right="829" w:hanging="356"/>
      </w:pPr>
      <w:r>
        <w:rPr>
          <w:rFonts w:ascii="Arial" w:hAnsi="Arial"/>
          <w:sz w:val="20"/>
        </w:rPr>
        <w:t>·</w:t>
      </w:r>
      <w:r>
        <w:rPr>
          <w:rFonts w:ascii="Arial" w:hAnsi="Arial"/>
          <w:spacing w:val="40"/>
          <w:sz w:val="20"/>
        </w:rPr>
        <w:t> </w:t>
      </w:r>
      <w:r>
        <w:rPr>
          <w:b/>
        </w:rPr>
        <w:t>Рекомендуется </w:t>
      </w:r>
      <w:r>
        <w:rPr/>
        <w:t>предлагать пациентам со стабильной стадией заболевания оперативное лечение по поводу значимого искривления с целью восстановления возможности полноценной половой жизни [22, 51, 52].</w:t>
      </w:r>
    </w:p>
    <w:p>
      <w:pPr>
        <w:spacing w:after="0" w:line="360" w:lineRule="auto"/>
        <w:sectPr>
          <w:pgSz w:w="11910" w:h="16840"/>
          <w:pgMar w:header="0" w:footer="867" w:top="1660" w:bottom="1060" w:left="960" w:right="20"/>
        </w:sectPr>
      </w:pPr>
    </w:p>
    <w:p>
      <w:pPr>
        <w:spacing w:line="355" w:lineRule="auto" w:before="75"/>
        <w:ind w:left="1450" w:right="766" w:hanging="708"/>
        <w:jc w:val="both"/>
        <w:rPr>
          <w:i/>
          <w:sz w:val="24"/>
        </w:rPr>
      </w:pPr>
      <w:r>
        <w:rPr>
          <w:b/>
          <w:sz w:val="24"/>
        </w:rPr>
        <w:t>Уровень убедительности рекомендаций С (уровень достоверности доказательств – 5) Комментарии:</w:t>
      </w:r>
      <w:r>
        <w:rPr>
          <w:b/>
          <w:spacing w:val="8"/>
          <w:sz w:val="24"/>
        </w:rPr>
        <w:t> </w:t>
      </w:r>
      <w:r>
        <w:rPr>
          <w:i/>
          <w:sz w:val="24"/>
        </w:rPr>
        <w:t>значимое</w:t>
      </w:r>
      <w:r>
        <w:rPr>
          <w:i/>
          <w:spacing w:val="-1"/>
          <w:sz w:val="24"/>
        </w:rPr>
        <w:t> </w:t>
      </w:r>
      <w:r>
        <w:rPr>
          <w:i/>
          <w:sz w:val="24"/>
        </w:rPr>
        <w:t>искривление</w:t>
      </w:r>
      <w:r>
        <w:rPr>
          <w:i/>
          <w:spacing w:val="4"/>
          <w:sz w:val="24"/>
        </w:rPr>
        <w:t> </w:t>
      </w:r>
      <w:r>
        <w:rPr>
          <w:i/>
          <w:sz w:val="24"/>
        </w:rPr>
        <w:t>–</w:t>
      </w:r>
      <w:r>
        <w:rPr>
          <w:i/>
          <w:spacing w:val="2"/>
          <w:sz w:val="24"/>
        </w:rPr>
        <w:t> </w:t>
      </w:r>
      <w:r>
        <w:rPr>
          <w:i/>
          <w:sz w:val="24"/>
        </w:rPr>
        <w:t>то, которое</w:t>
      </w:r>
      <w:r>
        <w:rPr>
          <w:i/>
          <w:spacing w:val="-2"/>
          <w:sz w:val="24"/>
        </w:rPr>
        <w:t> </w:t>
      </w:r>
      <w:r>
        <w:rPr>
          <w:i/>
          <w:sz w:val="24"/>
        </w:rPr>
        <w:t>препятствует</w:t>
      </w:r>
      <w:r>
        <w:rPr>
          <w:i/>
          <w:spacing w:val="2"/>
          <w:sz w:val="24"/>
        </w:rPr>
        <w:t> </w:t>
      </w:r>
      <w:r>
        <w:rPr>
          <w:i/>
          <w:sz w:val="24"/>
        </w:rPr>
        <w:t>половой</w:t>
      </w:r>
      <w:r>
        <w:rPr>
          <w:i/>
          <w:spacing w:val="1"/>
          <w:sz w:val="24"/>
        </w:rPr>
        <w:t> </w:t>
      </w:r>
      <w:r>
        <w:rPr>
          <w:i/>
          <w:spacing w:val="-2"/>
          <w:sz w:val="24"/>
        </w:rPr>
        <w:t>жизни.</w:t>
      </w:r>
    </w:p>
    <w:p>
      <w:pPr>
        <w:spacing w:line="360" w:lineRule="auto" w:before="7"/>
        <w:ind w:left="742" w:right="830" w:firstLine="0"/>
        <w:jc w:val="both"/>
        <w:rPr>
          <w:i/>
          <w:sz w:val="24"/>
        </w:rPr>
      </w:pPr>
      <w:r>
        <w:rPr>
          <w:i/>
          <w:sz w:val="24"/>
        </w:rPr>
        <w:t>Как правило, это более 30 градусов, однако также важным является направление</w:t>
      </w:r>
      <w:r>
        <w:rPr>
          <w:i/>
          <w:sz w:val="24"/>
        </w:rPr>
        <w:t> искривления. Вентральное искривление сильнее нарушает половую жизнь, чем дорсальное искривление полового члена.</w:t>
      </w:r>
    </w:p>
    <w:p>
      <w:pPr>
        <w:spacing w:line="362" w:lineRule="auto" w:before="0"/>
        <w:ind w:left="742" w:right="825" w:firstLine="0"/>
        <w:jc w:val="both"/>
        <w:rPr>
          <w:b/>
          <w:sz w:val="24"/>
        </w:rPr>
      </w:pPr>
      <w:r>
        <w:rPr>
          <w:b/>
          <w:sz w:val="24"/>
        </w:rPr>
        <w:t>Рекомендуется </w:t>
      </w:r>
      <w:r>
        <w:rPr>
          <w:sz w:val="24"/>
        </w:rPr>
        <w:t>выполнять пликационную корпоропластику пациентам, имеющим достаточную для полового акта длину полового члена с целью сохранения эректильной функции</w:t>
      </w:r>
      <w:r>
        <w:rPr>
          <w:spacing w:val="40"/>
          <w:sz w:val="24"/>
        </w:rPr>
        <w:t> </w:t>
      </w:r>
      <w:r>
        <w:rPr>
          <w:sz w:val="24"/>
        </w:rPr>
        <w:t>и</w:t>
      </w:r>
      <w:r>
        <w:rPr>
          <w:spacing w:val="40"/>
          <w:sz w:val="24"/>
        </w:rPr>
        <w:t> </w:t>
      </w:r>
      <w:r>
        <w:rPr>
          <w:sz w:val="24"/>
        </w:rPr>
        <w:t>формирования</w:t>
      </w:r>
      <w:r>
        <w:rPr>
          <w:spacing w:val="40"/>
          <w:sz w:val="24"/>
        </w:rPr>
        <w:t> </w:t>
      </w:r>
      <w:r>
        <w:rPr>
          <w:sz w:val="24"/>
        </w:rPr>
        <w:t>функционально</w:t>
      </w:r>
      <w:r>
        <w:rPr>
          <w:spacing w:val="40"/>
          <w:sz w:val="24"/>
        </w:rPr>
        <w:t> </w:t>
      </w:r>
      <w:r>
        <w:rPr>
          <w:sz w:val="24"/>
        </w:rPr>
        <w:t>прямого</w:t>
      </w:r>
      <w:r>
        <w:rPr>
          <w:spacing w:val="40"/>
          <w:sz w:val="24"/>
        </w:rPr>
        <w:t> </w:t>
      </w:r>
      <w:r>
        <w:rPr>
          <w:sz w:val="24"/>
        </w:rPr>
        <w:t>полового</w:t>
      </w:r>
      <w:r>
        <w:rPr>
          <w:spacing w:val="40"/>
          <w:sz w:val="24"/>
        </w:rPr>
        <w:t> </w:t>
      </w:r>
      <w:r>
        <w:rPr>
          <w:sz w:val="24"/>
        </w:rPr>
        <w:t>члена.</w:t>
      </w:r>
      <w:r>
        <w:rPr>
          <w:spacing w:val="40"/>
          <w:sz w:val="24"/>
        </w:rPr>
        <w:t> </w:t>
      </w:r>
      <w:r>
        <w:rPr>
          <w:sz w:val="24"/>
        </w:rPr>
        <w:t>[22,</w:t>
      </w:r>
      <w:r>
        <w:rPr>
          <w:spacing w:val="40"/>
          <w:sz w:val="24"/>
        </w:rPr>
        <w:t> </w:t>
      </w:r>
      <w:r>
        <w:rPr>
          <w:sz w:val="24"/>
        </w:rPr>
        <w:t>53–55]. </w:t>
      </w:r>
      <w:r>
        <w:rPr>
          <w:b/>
          <w:sz w:val="24"/>
        </w:rPr>
        <w:t>Уровень убедительности рекомендаций С (уровень достоверности доказательств – 4)</w:t>
      </w:r>
    </w:p>
    <w:p>
      <w:pPr>
        <w:spacing w:line="360" w:lineRule="auto" w:before="0"/>
        <w:ind w:left="742" w:right="823" w:firstLine="707"/>
        <w:jc w:val="both"/>
        <w:rPr>
          <w:i/>
          <w:sz w:val="24"/>
        </w:rPr>
      </w:pPr>
      <w:r>
        <w:rPr>
          <w:b/>
          <w:sz w:val="24"/>
        </w:rPr>
        <w:t>Комментарий: </w:t>
      </w:r>
      <w:r>
        <w:rPr>
          <w:i/>
          <w:sz w:val="24"/>
        </w:rPr>
        <w:t>пликационная корпоропластика нарушает эректильную функцию</w:t>
      </w:r>
      <w:r>
        <w:rPr>
          <w:i/>
          <w:sz w:val="24"/>
        </w:rPr>
        <w:t> меньше, чем заместительная пластика белочной оболочки, в связи с чем возможна к применению у пациентов с легкой и средней степенью эректильной дисфункции [56]. Результаты различных модификаций пликационной корпоропластики (по методу Nesbit, Yachia, 16-dot) сравнимы и выбор оперативного вмешательства зависит от опыта и предпочтений врача- хирурга [57–61].</w:t>
      </w:r>
    </w:p>
    <w:p>
      <w:pPr>
        <w:pStyle w:val="BodyText"/>
        <w:spacing w:line="360" w:lineRule="auto"/>
        <w:ind w:right="829" w:firstLine="707"/>
      </w:pPr>
      <w:r>
        <w:rPr>
          <w:b/>
        </w:rPr>
        <w:t>Рекомендуется </w:t>
      </w:r>
      <w:r>
        <w:rPr/>
        <w:t>выполнять аугментационную корпоропластику пациентам с сохранной</w:t>
      </w:r>
      <w:r>
        <w:rPr>
          <w:spacing w:val="-3"/>
        </w:rPr>
        <w:t> </w:t>
      </w:r>
      <w:r>
        <w:rPr/>
        <w:t>эректильной</w:t>
      </w:r>
      <w:r>
        <w:rPr>
          <w:spacing w:val="-5"/>
        </w:rPr>
        <w:t> </w:t>
      </w:r>
      <w:r>
        <w:rPr/>
        <w:t>функцией</w:t>
      </w:r>
      <w:r>
        <w:rPr>
          <w:spacing w:val="-1"/>
        </w:rPr>
        <w:t> </w:t>
      </w:r>
      <w:r>
        <w:rPr/>
        <w:t>с</w:t>
      </w:r>
      <w:r>
        <w:rPr>
          <w:spacing w:val="-4"/>
        </w:rPr>
        <w:t> </w:t>
      </w:r>
      <w:r>
        <w:rPr/>
        <w:t>целью</w:t>
      </w:r>
      <w:r>
        <w:rPr>
          <w:spacing w:val="-3"/>
        </w:rPr>
        <w:t> </w:t>
      </w:r>
      <w:r>
        <w:rPr/>
        <w:t>сохранения</w:t>
      </w:r>
      <w:r>
        <w:rPr>
          <w:spacing w:val="-3"/>
        </w:rPr>
        <w:t> </w:t>
      </w:r>
      <w:r>
        <w:rPr/>
        <w:t>длины</w:t>
      </w:r>
      <w:r>
        <w:rPr>
          <w:spacing w:val="-3"/>
        </w:rPr>
        <w:t> </w:t>
      </w:r>
      <w:r>
        <w:rPr/>
        <w:t>полового</w:t>
      </w:r>
      <w:r>
        <w:rPr>
          <w:spacing w:val="-3"/>
        </w:rPr>
        <w:t> </w:t>
      </w:r>
      <w:r>
        <w:rPr/>
        <w:t>члена</w:t>
      </w:r>
      <w:r>
        <w:rPr>
          <w:spacing w:val="-4"/>
        </w:rPr>
        <w:t> </w:t>
      </w:r>
      <w:r>
        <w:rPr/>
        <w:t>при</w:t>
      </w:r>
      <w:r>
        <w:rPr>
          <w:spacing w:val="-3"/>
        </w:rPr>
        <w:t> </w:t>
      </w:r>
      <w:r>
        <w:rPr/>
        <w:t>желании пациента [63–64].</w:t>
      </w:r>
    </w:p>
    <w:p>
      <w:pPr>
        <w:pStyle w:val="Heading2"/>
      </w:pPr>
      <w:r>
        <w:rPr/>
        <w:t>Уровень</w:t>
      </w:r>
      <w:r>
        <w:rPr>
          <w:spacing w:val="-6"/>
        </w:rPr>
        <w:t> </w:t>
      </w:r>
      <w:r>
        <w:rPr/>
        <w:t>убедительности</w:t>
      </w:r>
      <w:r>
        <w:rPr>
          <w:spacing w:val="-5"/>
        </w:rPr>
        <w:t> </w:t>
      </w:r>
      <w:r>
        <w:rPr/>
        <w:t>рекомендаций</w:t>
      </w:r>
      <w:r>
        <w:rPr>
          <w:spacing w:val="1"/>
        </w:rPr>
        <w:t> </w:t>
      </w:r>
      <w:r>
        <w:rPr/>
        <w:t>С</w:t>
      </w:r>
      <w:r>
        <w:rPr>
          <w:spacing w:val="-4"/>
        </w:rPr>
        <w:t> </w:t>
      </w:r>
      <w:r>
        <w:rPr/>
        <w:t>(уровень</w:t>
      </w:r>
      <w:r>
        <w:rPr>
          <w:spacing w:val="-3"/>
        </w:rPr>
        <w:t> </w:t>
      </w:r>
      <w:r>
        <w:rPr/>
        <w:t>достоверности</w:t>
      </w:r>
      <w:r>
        <w:rPr>
          <w:spacing w:val="-5"/>
        </w:rPr>
        <w:t> </w:t>
      </w:r>
      <w:r>
        <w:rPr/>
        <w:t>доказательств</w:t>
      </w:r>
      <w:r>
        <w:rPr>
          <w:spacing w:val="-1"/>
        </w:rPr>
        <w:t> </w:t>
      </w:r>
      <w:r>
        <w:rPr/>
        <w:t>–</w:t>
      </w:r>
      <w:r>
        <w:rPr>
          <w:spacing w:val="-3"/>
        </w:rPr>
        <w:t> </w:t>
      </w:r>
      <w:r>
        <w:rPr>
          <w:spacing w:val="-5"/>
        </w:rPr>
        <w:t>4)</w:t>
      </w:r>
    </w:p>
    <w:p>
      <w:pPr>
        <w:spacing w:line="360" w:lineRule="auto" w:before="127"/>
        <w:ind w:left="742" w:right="765" w:firstLine="707"/>
        <w:jc w:val="both"/>
        <w:rPr>
          <w:i/>
          <w:sz w:val="24"/>
        </w:rPr>
      </w:pPr>
      <w:r>
        <w:rPr>
          <w:b/>
          <w:sz w:val="24"/>
        </w:rPr>
        <w:t>Комментарий</w:t>
      </w:r>
      <w:r>
        <w:rPr>
          <w:sz w:val="24"/>
        </w:rPr>
        <w:t>: </w:t>
      </w:r>
      <w:r>
        <w:rPr>
          <w:i/>
          <w:sz w:val="24"/>
        </w:rPr>
        <w:t>следует учитывать высокий риск снижения эректильной функции</w:t>
      </w:r>
      <w:r>
        <w:rPr>
          <w:i/>
          <w:sz w:val="24"/>
        </w:rPr>
        <w:t> после</w:t>
      </w:r>
      <w:r>
        <w:rPr>
          <w:i/>
          <w:spacing w:val="-4"/>
          <w:sz w:val="24"/>
        </w:rPr>
        <w:t> </w:t>
      </w:r>
      <w:r>
        <w:rPr>
          <w:i/>
          <w:sz w:val="24"/>
        </w:rPr>
        <w:t>операции</w:t>
      </w:r>
      <w:r>
        <w:rPr>
          <w:i/>
          <w:spacing w:val="-1"/>
          <w:sz w:val="24"/>
        </w:rPr>
        <w:t> </w:t>
      </w:r>
      <w:r>
        <w:rPr>
          <w:i/>
          <w:sz w:val="24"/>
        </w:rPr>
        <w:t>в</w:t>
      </w:r>
      <w:r>
        <w:rPr>
          <w:i/>
          <w:spacing w:val="-2"/>
          <w:sz w:val="24"/>
        </w:rPr>
        <w:t> </w:t>
      </w:r>
      <w:r>
        <w:rPr>
          <w:i/>
          <w:sz w:val="24"/>
        </w:rPr>
        <w:t>связи</w:t>
      </w:r>
      <w:r>
        <w:rPr>
          <w:i/>
          <w:spacing w:val="-1"/>
          <w:sz w:val="24"/>
        </w:rPr>
        <w:t> </w:t>
      </w:r>
      <w:r>
        <w:rPr>
          <w:i/>
          <w:sz w:val="24"/>
        </w:rPr>
        <w:t>с</w:t>
      </w:r>
      <w:r>
        <w:rPr>
          <w:i/>
          <w:spacing w:val="-4"/>
          <w:sz w:val="24"/>
        </w:rPr>
        <w:t> </w:t>
      </w:r>
      <w:r>
        <w:rPr>
          <w:i/>
          <w:sz w:val="24"/>
        </w:rPr>
        <w:t>нарушением</w:t>
      </w:r>
      <w:r>
        <w:rPr>
          <w:i/>
          <w:spacing w:val="-4"/>
          <w:sz w:val="24"/>
        </w:rPr>
        <w:t> </w:t>
      </w:r>
      <w:r>
        <w:rPr>
          <w:i/>
          <w:sz w:val="24"/>
        </w:rPr>
        <w:t>анатомической</w:t>
      </w:r>
      <w:r>
        <w:rPr>
          <w:i/>
          <w:spacing w:val="-3"/>
          <w:sz w:val="24"/>
        </w:rPr>
        <w:t> </w:t>
      </w:r>
      <w:r>
        <w:rPr>
          <w:i/>
          <w:sz w:val="24"/>
        </w:rPr>
        <w:t>структуры</w:t>
      </w:r>
      <w:r>
        <w:rPr>
          <w:i/>
          <w:spacing w:val="-4"/>
          <w:sz w:val="24"/>
        </w:rPr>
        <w:t> </w:t>
      </w:r>
      <w:r>
        <w:rPr>
          <w:i/>
          <w:sz w:val="24"/>
        </w:rPr>
        <w:t>кавернозных</w:t>
      </w:r>
      <w:r>
        <w:rPr>
          <w:i/>
          <w:spacing w:val="-4"/>
          <w:sz w:val="24"/>
        </w:rPr>
        <w:t> </w:t>
      </w:r>
      <w:r>
        <w:rPr>
          <w:i/>
          <w:sz w:val="24"/>
        </w:rPr>
        <w:t>тел [65–67]. Для аугментации возможно использование аутологичных графтов или официнальных биологических материалов (напр., трупный перикард). При выборе материала для аугментации следует ориентироваться на прочность материала и способность выдерживать высокое внутрикавернозное давление. Использование синтетических графтов не рекомендуется [63,64,68–75].</w:t>
      </w:r>
    </w:p>
    <w:p>
      <w:pPr>
        <w:pStyle w:val="BodyText"/>
        <w:spacing w:line="360" w:lineRule="auto"/>
        <w:ind w:right="823" w:firstLine="707"/>
      </w:pPr>
      <w:r>
        <w:rPr>
          <w:b/>
        </w:rPr>
        <w:t>Рекомендуется </w:t>
      </w:r>
      <w:r>
        <w:rPr/>
        <w:t>установка пенильного импланта (полужесткий протез полового члена, трехкомпонентный протез полового члена) пациентам с эректильной дисфункцией, резистентной к консервативному лечению и наличием болезни Пейрони для восстановления достаточной для ведения половой жизни ригидности полового члена [76– </w:t>
      </w:r>
      <w:r>
        <w:rPr>
          <w:spacing w:val="-4"/>
        </w:rPr>
        <w:t>79].</w:t>
      </w:r>
    </w:p>
    <w:p>
      <w:pPr>
        <w:pStyle w:val="Heading2"/>
        <w:spacing w:before="6"/>
      </w:pPr>
      <w:r>
        <w:rPr/>
        <w:t>Уровень</w:t>
      </w:r>
      <w:r>
        <w:rPr>
          <w:spacing w:val="-6"/>
        </w:rPr>
        <w:t> </w:t>
      </w:r>
      <w:r>
        <w:rPr/>
        <w:t>убедительности</w:t>
      </w:r>
      <w:r>
        <w:rPr>
          <w:spacing w:val="-5"/>
        </w:rPr>
        <w:t> </w:t>
      </w:r>
      <w:r>
        <w:rPr/>
        <w:t>рекомендаций</w:t>
      </w:r>
      <w:r>
        <w:rPr>
          <w:spacing w:val="1"/>
        </w:rPr>
        <w:t> </w:t>
      </w:r>
      <w:r>
        <w:rPr/>
        <w:t>С</w:t>
      </w:r>
      <w:r>
        <w:rPr>
          <w:spacing w:val="-5"/>
        </w:rPr>
        <w:t> </w:t>
      </w:r>
      <w:r>
        <w:rPr/>
        <w:t>(уровень</w:t>
      </w:r>
      <w:r>
        <w:rPr>
          <w:spacing w:val="-3"/>
        </w:rPr>
        <w:t> </w:t>
      </w:r>
      <w:r>
        <w:rPr/>
        <w:t>достоверности</w:t>
      </w:r>
      <w:r>
        <w:rPr>
          <w:spacing w:val="-5"/>
        </w:rPr>
        <w:t> </w:t>
      </w:r>
      <w:r>
        <w:rPr/>
        <w:t>доказательств</w:t>
      </w:r>
      <w:r>
        <w:rPr>
          <w:spacing w:val="-1"/>
        </w:rPr>
        <w:t> </w:t>
      </w:r>
      <w:r>
        <w:rPr/>
        <w:t>–</w:t>
      </w:r>
      <w:r>
        <w:rPr>
          <w:spacing w:val="-3"/>
        </w:rPr>
        <w:t> </w:t>
      </w:r>
      <w:r>
        <w:rPr>
          <w:spacing w:val="-5"/>
        </w:rPr>
        <w:t>3)</w:t>
      </w:r>
    </w:p>
    <w:p>
      <w:pPr>
        <w:spacing w:line="360" w:lineRule="auto" w:before="92"/>
        <w:ind w:left="742" w:right="827" w:firstLine="707"/>
        <w:jc w:val="both"/>
        <w:rPr>
          <w:i/>
          <w:sz w:val="24"/>
        </w:rPr>
      </w:pPr>
      <w:r>
        <w:rPr>
          <w:b/>
          <w:sz w:val="24"/>
        </w:rPr>
        <w:t>Комментарий: </w:t>
      </w:r>
      <w:r>
        <w:rPr>
          <w:i/>
          <w:sz w:val="24"/>
        </w:rPr>
        <w:t>выбор пенильного импланта (полужесткий протез полового члена</w:t>
      </w:r>
      <w:r>
        <w:rPr>
          <w:i/>
          <w:sz w:val="24"/>
        </w:rPr>
        <w:t> или</w:t>
      </w:r>
      <w:r>
        <w:rPr>
          <w:i/>
          <w:spacing w:val="57"/>
          <w:w w:val="150"/>
          <w:sz w:val="24"/>
        </w:rPr>
        <w:t> </w:t>
      </w:r>
      <w:r>
        <w:rPr>
          <w:i/>
          <w:sz w:val="24"/>
        </w:rPr>
        <w:t>трехкомпонентный</w:t>
      </w:r>
      <w:r>
        <w:rPr>
          <w:i/>
          <w:spacing w:val="58"/>
          <w:w w:val="150"/>
          <w:sz w:val="24"/>
        </w:rPr>
        <w:t> </w:t>
      </w:r>
      <w:r>
        <w:rPr>
          <w:i/>
          <w:sz w:val="24"/>
        </w:rPr>
        <w:t>протез</w:t>
      </w:r>
      <w:r>
        <w:rPr>
          <w:i/>
          <w:spacing w:val="57"/>
          <w:w w:val="150"/>
          <w:sz w:val="24"/>
        </w:rPr>
        <w:t> </w:t>
      </w:r>
      <w:r>
        <w:rPr>
          <w:i/>
          <w:sz w:val="24"/>
        </w:rPr>
        <w:t>полового</w:t>
      </w:r>
      <w:r>
        <w:rPr>
          <w:i/>
          <w:spacing w:val="61"/>
          <w:w w:val="150"/>
          <w:sz w:val="24"/>
        </w:rPr>
        <w:t> </w:t>
      </w:r>
      <w:r>
        <w:rPr>
          <w:i/>
          <w:sz w:val="24"/>
        </w:rPr>
        <w:t>члена)</w:t>
      </w:r>
      <w:r>
        <w:rPr>
          <w:i/>
          <w:spacing w:val="61"/>
          <w:w w:val="150"/>
          <w:sz w:val="24"/>
        </w:rPr>
        <w:t> </w:t>
      </w:r>
      <w:r>
        <w:rPr>
          <w:i/>
          <w:sz w:val="24"/>
        </w:rPr>
        <w:t>зависит</w:t>
      </w:r>
      <w:r>
        <w:rPr>
          <w:i/>
          <w:spacing w:val="58"/>
          <w:w w:val="150"/>
          <w:sz w:val="24"/>
        </w:rPr>
        <w:t> </w:t>
      </w:r>
      <w:r>
        <w:rPr>
          <w:i/>
          <w:sz w:val="24"/>
        </w:rPr>
        <w:t>от</w:t>
      </w:r>
      <w:r>
        <w:rPr>
          <w:i/>
          <w:spacing w:val="59"/>
          <w:w w:val="150"/>
          <w:sz w:val="24"/>
        </w:rPr>
        <w:t> </w:t>
      </w:r>
      <w:r>
        <w:rPr>
          <w:i/>
          <w:sz w:val="24"/>
        </w:rPr>
        <w:t>способности</w:t>
      </w:r>
      <w:r>
        <w:rPr>
          <w:i/>
          <w:spacing w:val="58"/>
          <w:w w:val="150"/>
          <w:sz w:val="24"/>
        </w:rPr>
        <w:t> </w:t>
      </w:r>
      <w:r>
        <w:rPr>
          <w:i/>
          <w:spacing w:val="-2"/>
          <w:sz w:val="24"/>
        </w:rPr>
        <w:t>пациента</w:t>
      </w:r>
    </w:p>
    <w:p>
      <w:pPr>
        <w:spacing w:after="0" w:line="360" w:lineRule="auto"/>
        <w:jc w:val="both"/>
        <w:rPr>
          <w:sz w:val="24"/>
        </w:rPr>
        <w:sectPr>
          <w:pgSz w:w="11910" w:h="16840"/>
          <w:pgMar w:header="0" w:footer="867" w:top="1660" w:bottom="1060" w:left="960" w:right="20"/>
        </w:sectPr>
      </w:pPr>
    </w:p>
    <w:p>
      <w:pPr>
        <w:spacing w:line="360" w:lineRule="auto" w:before="70"/>
        <w:ind w:left="742" w:right="825" w:firstLine="0"/>
        <w:jc w:val="both"/>
        <w:rPr>
          <w:i/>
          <w:sz w:val="24"/>
        </w:rPr>
      </w:pPr>
      <w:r>
        <w:rPr>
          <w:i/>
          <w:sz w:val="24"/>
        </w:rPr>
        <w:t>самостоятельно</w:t>
      </w:r>
      <w:r>
        <w:rPr>
          <w:i/>
          <w:spacing w:val="-3"/>
          <w:sz w:val="24"/>
        </w:rPr>
        <w:t> </w:t>
      </w:r>
      <w:r>
        <w:rPr>
          <w:i/>
          <w:sz w:val="24"/>
        </w:rPr>
        <w:t>пользоваться</w:t>
      </w:r>
      <w:r>
        <w:rPr>
          <w:i/>
          <w:spacing w:val="-4"/>
          <w:sz w:val="24"/>
        </w:rPr>
        <w:t> </w:t>
      </w:r>
      <w:r>
        <w:rPr>
          <w:i/>
          <w:sz w:val="24"/>
        </w:rPr>
        <w:t>протезом [80].</w:t>
      </w:r>
      <w:r>
        <w:rPr>
          <w:i/>
          <w:spacing w:val="-3"/>
          <w:sz w:val="24"/>
        </w:rPr>
        <w:t> </w:t>
      </w:r>
      <w:r>
        <w:rPr>
          <w:i/>
          <w:sz w:val="24"/>
        </w:rPr>
        <w:t>Пациенты</w:t>
      </w:r>
      <w:r>
        <w:rPr>
          <w:i/>
          <w:spacing w:val="-3"/>
          <w:sz w:val="24"/>
        </w:rPr>
        <w:t> </w:t>
      </w:r>
      <w:r>
        <w:rPr>
          <w:i/>
          <w:sz w:val="24"/>
        </w:rPr>
        <w:t>могут</w:t>
      </w:r>
      <w:r>
        <w:rPr>
          <w:i/>
          <w:spacing w:val="-4"/>
          <w:sz w:val="24"/>
        </w:rPr>
        <w:t> </w:t>
      </w:r>
      <w:r>
        <w:rPr>
          <w:i/>
          <w:sz w:val="24"/>
        </w:rPr>
        <w:t>испытывать</w:t>
      </w:r>
      <w:r>
        <w:rPr>
          <w:i/>
          <w:spacing w:val="-3"/>
          <w:sz w:val="24"/>
        </w:rPr>
        <w:t> </w:t>
      </w:r>
      <w:r>
        <w:rPr>
          <w:i/>
          <w:sz w:val="24"/>
        </w:rPr>
        <w:t>сложности</w:t>
      </w:r>
      <w:r>
        <w:rPr>
          <w:i/>
          <w:sz w:val="24"/>
        </w:rPr>
        <w:t> с обнаружением и использованием помпы при установке трехкомпонентного протеза полового члена. Кроме того, трехкомпонентный протез полового члена несет больший риск инфекционных осложнений и поломки устройства. При остаточном искривлении после установки полужесткого протеза полового члена или трехкомпонентного протеза полового члена менее 30 градусов можно ожидать спонтанное уменьшение искривления через 6-12 месяцев при использовании медицинского изделия [78].</w:t>
      </w:r>
    </w:p>
    <w:p>
      <w:pPr>
        <w:pStyle w:val="BodyText"/>
        <w:spacing w:line="360" w:lineRule="auto"/>
        <w:ind w:right="824" w:firstLine="707"/>
      </w:pPr>
      <w:r>
        <w:rPr>
          <w:b/>
        </w:rPr>
        <w:t>Рекомендуется </w:t>
      </w:r>
      <w:r>
        <w:rPr/>
        <w:t>оценивать у пациентов перед оперативным вмешательством длину полового члена, ригидность, градус отклонения, наличие сложной деформации с целью планирования объема вмешательства [76].</w:t>
      </w:r>
    </w:p>
    <w:p>
      <w:pPr>
        <w:pStyle w:val="Heading2"/>
        <w:spacing w:before="4"/>
      </w:pPr>
      <w:r>
        <w:rPr/>
        <w:t>Уровень</w:t>
      </w:r>
      <w:r>
        <w:rPr>
          <w:spacing w:val="-6"/>
        </w:rPr>
        <w:t> </w:t>
      </w:r>
      <w:r>
        <w:rPr/>
        <w:t>убедительности</w:t>
      </w:r>
      <w:r>
        <w:rPr>
          <w:spacing w:val="-5"/>
        </w:rPr>
        <w:t> </w:t>
      </w:r>
      <w:r>
        <w:rPr/>
        <w:t>рекомендаций</w:t>
      </w:r>
      <w:r>
        <w:rPr>
          <w:spacing w:val="1"/>
        </w:rPr>
        <w:t> </w:t>
      </w:r>
      <w:r>
        <w:rPr/>
        <w:t>С</w:t>
      </w:r>
      <w:r>
        <w:rPr>
          <w:spacing w:val="-4"/>
        </w:rPr>
        <w:t> </w:t>
      </w:r>
      <w:r>
        <w:rPr/>
        <w:t>(уровень</w:t>
      </w:r>
      <w:r>
        <w:rPr>
          <w:spacing w:val="-3"/>
        </w:rPr>
        <w:t> </w:t>
      </w:r>
      <w:r>
        <w:rPr/>
        <w:t>достоверности</w:t>
      </w:r>
      <w:r>
        <w:rPr>
          <w:spacing w:val="-5"/>
        </w:rPr>
        <w:t> </w:t>
      </w:r>
      <w:r>
        <w:rPr/>
        <w:t>доказательств</w:t>
      </w:r>
      <w:r>
        <w:rPr>
          <w:spacing w:val="-1"/>
        </w:rPr>
        <w:t> </w:t>
      </w:r>
      <w:r>
        <w:rPr/>
        <w:t>–</w:t>
      </w:r>
      <w:r>
        <w:rPr>
          <w:spacing w:val="-3"/>
        </w:rPr>
        <w:t> </w:t>
      </w:r>
      <w:r>
        <w:rPr>
          <w:spacing w:val="-5"/>
        </w:rPr>
        <w:t>4)</w:t>
      </w:r>
    </w:p>
    <w:p>
      <w:pPr>
        <w:pStyle w:val="BodyText"/>
        <w:spacing w:line="360" w:lineRule="auto" w:before="134"/>
        <w:ind w:right="830" w:firstLine="707"/>
      </w:pPr>
      <w:r>
        <w:rPr>
          <w:b/>
        </w:rPr>
        <w:t>Рекомендуется </w:t>
      </w:r>
      <w:r>
        <w:rPr/>
        <w:t>установка </w:t>
      </w:r>
      <w:bookmarkStart w:name="_bookmark18" w:id="19"/>
      <w:bookmarkEnd w:id="19"/>
      <w:r>
        <w:rPr/>
        <w:t>п</w:t>
      </w:r>
      <w:r>
        <w:rPr/>
        <w:t>олужесткого протеза полового члена или трехкомпонентного протеза полового члена у пациентов со сложной деформацией полового члена с целью сохранения возможности половой жизни и достижения эрекции. </w:t>
      </w:r>
      <w:r>
        <w:rPr>
          <w:spacing w:val="-2"/>
        </w:rPr>
        <w:t>[22,78–81].</w:t>
      </w:r>
    </w:p>
    <w:p>
      <w:pPr>
        <w:pStyle w:val="Heading2"/>
        <w:spacing w:before="6"/>
      </w:pPr>
      <w:r>
        <w:rPr/>
        <w:t>Уровень</w:t>
      </w:r>
      <w:r>
        <w:rPr>
          <w:spacing w:val="-6"/>
        </w:rPr>
        <w:t> </w:t>
      </w:r>
      <w:r>
        <w:rPr/>
        <w:t>убедительности</w:t>
      </w:r>
      <w:r>
        <w:rPr>
          <w:spacing w:val="-5"/>
        </w:rPr>
        <w:t> </w:t>
      </w:r>
      <w:r>
        <w:rPr/>
        <w:t>рекомендаций</w:t>
      </w:r>
      <w:r>
        <w:rPr>
          <w:spacing w:val="1"/>
        </w:rPr>
        <w:t> </w:t>
      </w:r>
      <w:r>
        <w:rPr/>
        <w:t>С</w:t>
      </w:r>
      <w:r>
        <w:rPr>
          <w:spacing w:val="-5"/>
        </w:rPr>
        <w:t> </w:t>
      </w:r>
      <w:r>
        <w:rPr/>
        <w:t>(уровень</w:t>
      </w:r>
      <w:r>
        <w:rPr>
          <w:spacing w:val="-3"/>
        </w:rPr>
        <w:t> </w:t>
      </w:r>
      <w:r>
        <w:rPr/>
        <w:t>достоверности</w:t>
      </w:r>
      <w:r>
        <w:rPr>
          <w:spacing w:val="-5"/>
        </w:rPr>
        <w:t> </w:t>
      </w:r>
      <w:r>
        <w:rPr/>
        <w:t>доказательств</w:t>
      </w:r>
      <w:r>
        <w:rPr>
          <w:spacing w:val="-1"/>
        </w:rPr>
        <w:t> </w:t>
      </w:r>
      <w:r>
        <w:rPr/>
        <w:t>–</w:t>
      </w:r>
      <w:r>
        <w:rPr>
          <w:spacing w:val="-3"/>
        </w:rPr>
        <w:t> </w:t>
      </w:r>
      <w:r>
        <w:rPr>
          <w:spacing w:val="-5"/>
        </w:rPr>
        <w:t>3)</w:t>
      </w:r>
    </w:p>
    <w:p>
      <w:pPr>
        <w:pStyle w:val="BodyText"/>
        <w:spacing w:line="360" w:lineRule="auto" w:before="132"/>
        <w:ind w:right="823" w:firstLine="707"/>
      </w:pPr>
      <w:r>
        <w:rPr>
          <w:b/>
        </w:rPr>
        <w:t>Рекомендуется </w:t>
      </w:r>
      <w:r>
        <w:rPr/>
        <w:t>при сохранении остаточного искривления после установки полужесткого протеза полового члена или трехкомпонентного протеза полового члена выполнять моделирование полового члена, пликацию или графтинг белочной оболочки с целью достижения функционального прямого полового члена. [78–81].</w:t>
      </w:r>
    </w:p>
    <w:p>
      <w:pPr>
        <w:pStyle w:val="Heading2"/>
        <w:spacing w:before="5"/>
      </w:pPr>
      <w:r>
        <w:rPr/>
        <w:t>Уровень</w:t>
      </w:r>
      <w:r>
        <w:rPr>
          <w:spacing w:val="-6"/>
        </w:rPr>
        <w:t> </w:t>
      </w:r>
      <w:r>
        <w:rPr/>
        <w:t>убедительности</w:t>
      </w:r>
      <w:r>
        <w:rPr>
          <w:spacing w:val="-5"/>
        </w:rPr>
        <w:t> </w:t>
      </w:r>
      <w:r>
        <w:rPr/>
        <w:t>рекомендаций</w:t>
      </w:r>
      <w:r>
        <w:rPr>
          <w:spacing w:val="1"/>
        </w:rPr>
        <w:t> </w:t>
      </w:r>
      <w:r>
        <w:rPr/>
        <w:t>С</w:t>
      </w:r>
      <w:r>
        <w:rPr>
          <w:spacing w:val="-4"/>
        </w:rPr>
        <w:t> </w:t>
      </w:r>
      <w:r>
        <w:rPr/>
        <w:t>(уровень</w:t>
      </w:r>
      <w:r>
        <w:rPr>
          <w:spacing w:val="-3"/>
        </w:rPr>
        <w:t> </w:t>
      </w:r>
      <w:r>
        <w:rPr/>
        <w:t>достоверности</w:t>
      </w:r>
      <w:r>
        <w:rPr>
          <w:spacing w:val="-5"/>
        </w:rPr>
        <w:t> </w:t>
      </w:r>
      <w:r>
        <w:rPr/>
        <w:t>доказательств</w:t>
      </w:r>
      <w:r>
        <w:rPr>
          <w:spacing w:val="-1"/>
        </w:rPr>
        <w:t> </w:t>
      </w:r>
      <w:r>
        <w:rPr/>
        <w:t>–</w:t>
      </w:r>
      <w:r>
        <w:rPr>
          <w:spacing w:val="-3"/>
        </w:rPr>
        <w:t> </w:t>
      </w:r>
      <w:r>
        <w:rPr>
          <w:spacing w:val="-5"/>
        </w:rPr>
        <w:t>4)</w:t>
      </w:r>
    </w:p>
    <w:p>
      <w:pPr>
        <w:spacing w:line="360" w:lineRule="auto" w:before="134"/>
        <w:ind w:left="742" w:right="822" w:firstLine="707"/>
        <w:jc w:val="both"/>
        <w:rPr>
          <w:i/>
          <w:sz w:val="24"/>
        </w:rPr>
      </w:pPr>
      <w:r>
        <w:rPr>
          <w:b/>
          <w:sz w:val="24"/>
        </w:rPr>
        <w:t>Комментарий: </w:t>
      </w:r>
      <w:r>
        <w:rPr>
          <w:i/>
          <w:sz w:val="24"/>
        </w:rPr>
        <w:t>функционально прямым считается половой член, искривление</w:t>
      </w:r>
      <w:r>
        <w:rPr>
          <w:i/>
          <w:sz w:val="24"/>
        </w:rPr>
        <w:t> которого позволят без затруднений проводить половой акт [76]. В связи с большим количеством осложнений, связанных с использованием «слайдинг»-методики, ее выполнение не рекомендуется</w:t>
      </w:r>
    </w:p>
    <w:p>
      <w:pPr>
        <w:pStyle w:val="BodyText"/>
        <w:spacing w:line="360" w:lineRule="auto" w:before="1"/>
        <w:ind w:right="827" w:firstLine="707"/>
      </w:pPr>
      <w:r>
        <w:rPr>
          <w:b/>
        </w:rPr>
        <w:t>Не рекомендуется </w:t>
      </w:r>
      <w:r>
        <w:rPr/>
        <w:t>выполнять пликационную корпоропластику пациентам со сложным искривлением полового члена (по типу песочные часы или при «шарнирном» искривлении), поскольку это приводит к недостаточному клиническому эффекту и не устраняет деформацию [67].</w:t>
      </w:r>
    </w:p>
    <w:p>
      <w:pPr>
        <w:pStyle w:val="Heading2"/>
        <w:spacing w:before="5"/>
      </w:pPr>
      <w:r>
        <w:rPr/>
        <w:t>Уровень</w:t>
      </w:r>
      <w:r>
        <w:rPr>
          <w:spacing w:val="-6"/>
        </w:rPr>
        <w:t> </w:t>
      </w:r>
      <w:r>
        <w:rPr/>
        <w:t>убедительности</w:t>
      </w:r>
      <w:r>
        <w:rPr>
          <w:spacing w:val="-5"/>
        </w:rPr>
        <w:t> </w:t>
      </w:r>
      <w:r>
        <w:rPr/>
        <w:t>рекомендаций</w:t>
      </w:r>
      <w:r>
        <w:rPr>
          <w:spacing w:val="1"/>
        </w:rPr>
        <w:t> </w:t>
      </w:r>
      <w:r>
        <w:rPr/>
        <w:t>С</w:t>
      </w:r>
      <w:r>
        <w:rPr>
          <w:spacing w:val="-4"/>
        </w:rPr>
        <w:t> </w:t>
      </w:r>
      <w:r>
        <w:rPr/>
        <w:t>(уровень</w:t>
      </w:r>
      <w:r>
        <w:rPr>
          <w:spacing w:val="-3"/>
        </w:rPr>
        <w:t> </w:t>
      </w:r>
      <w:r>
        <w:rPr/>
        <w:t>достоверности</w:t>
      </w:r>
      <w:r>
        <w:rPr>
          <w:spacing w:val="-5"/>
        </w:rPr>
        <w:t> </w:t>
      </w:r>
      <w:r>
        <w:rPr/>
        <w:t>доказательств</w:t>
      </w:r>
      <w:r>
        <w:rPr>
          <w:spacing w:val="-1"/>
        </w:rPr>
        <w:t> </w:t>
      </w:r>
      <w:r>
        <w:rPr/>
        <w:t>–</w:t>
      </w:r>
      <w:r>
        <w:rPr>
          <w:spacing w:val="-3"/>
        </w:rPr>
        <w:t> </w:t>
      </w:r>
      <w:r>
        <w:rPr>
          <w:spacing w:val="-5"/>
        </w:rPr>
        <w:t>5)</w:t>
      </w:r>
    </w:p>
    <w:p>
      <w:pPr>
        <w:pStyle w:val="ListParagraph"/>
        <w:numPr>
          <w:ilvl w:val="1"/>
          <w:numId w:val="2"/>
        </w:numPr>
        <w:tabs>
          <w:tab w:pos="2520" w:val="left" w:leader="none"/>
        </w:tabs>
        <w:spacing w:line="240" w:lineRule="auto" w:before="136" w:after="0"/>
        <w:ind w:left="2520" w:right="0" w:hanging="360"/>
        <w:jc w:val="both"/>
        <w:rPr>
          <w:b/>
          <w:sz w:val="24"/>
        </w:rPr>
      </w:pPr>
      <w:r>
        <w:rPr>
          <w:b/>
          <w:sz w:val="24"/>
        </w:rPr>
        <w:t>Иное</w:t>
      </w:r>
      <w:r>
        <w:rPr>
          <w:b/>
          <w:spacing w:val="-1"/>
          <w:sz w:val="24"/>
        </w:rPr>
        <w:t> </w:t>
      </w:r>
      <w:r>
        <w:rPr>
          <w:b/>
          <w:spacing w:val="-2"/>
          <w:sz w:val="24"/>
        </w:rPr>
        <w:t>лечение</w:t>
      </w:r>
    </w:p>
    <w:p>
      <w:pPr>
        <w:pStyle w:val="BodyText"/>
        <w:spacing w:before="135"/>
        <w:ind w:left="1450"/>
      </w:pPr>
      <w:r>
        <w:rPr/>
        <w:t>Иное</w:t>
      </w:r>
      <w:r>
        <w:rPr>
          <w:spacing w:val="-6"/>
        </w:rPr>
        <w:t> </w:t>
      </w:r>
      <w:r>
        <w:rPr/>
        <w:t>лечение</w:t>
      </w:r>
      <w:r>
        <w:rPr>
          <w:spacing w:val="-3"/>
        </w:rPr>
        <w:t> </w:t>
      </w:r>
      <w:r>
        <w:rPr/>
        <w:t>при</w:t>
      </w:r>
      <w:r>
        <w:rPr>
          <w:spacing w:val="-2"/>
        </w:rPr>
        <w:t> </w:t>
      </w:r>
      <w:r>
        <w:rPr/>
        <w:t>болезни</w:t>
      </w:r>
      <w:r>
        <w:rPr>
          <w:spacing w:val="-2"/>
        </w:rPr>
        <w:t> </w:t>
      </w:r>
      <w:r>
        <w:rPr/>
        <w:t>Пейрони,</w:t>
      </w:r>
      <w:r>
        <w:rPr>
          <w:spacing w:val="-2"/>
        </w:rPr>
        <w:t> </w:t>
      </w:r>
      <w:r>
        <w:rPr/>
        <w:t>включая</w:t>
      </w:r>
      <w:r>
        <w:rPr>
          <w:spacing w:val="-2"/>
        </w:rPr>
        <w:t> </w:t>
      </w:r>
      <w:r>
        <w:rPr/>
        <w:t>диетотерапию,</w:t>
      </w:r>
      <w:r>
        <w:rPr>
          <w:spacing w:val="-5"/>
        </w:rPr>
        <w:t> </w:t>
      </w:r>
      <w:r>
        <w:rPr/>
        <w:t>не</w:t>
      </w:r>
      <w:r>
        <w:rPr>
          <w:spacing w:val="-3"/>
        </w:rPr>
        <w:t> </w:t>
      </w:r>
      <w:r>
        <w:rPr>
          <w:spacing w:val="-2"/>
        </w:rPr>
        <w:t>применяется.</w:t>
      </w:r>
    </w:p>
    <w:p>
      <w:pPr>
        <w:spacing w:after="0"/>
        <w:sectPr>
          <w:pgSz w:w="11910" w:h="16840"/>
          <w:pgMar w:header="0" w:footer="867" w:top="1660" w:bottom="1060" w:left="960" w:right="20"/>
        </w:sectPr>
      </w:pPr>
    </w:p>
    <w:p>
      <w:pPr>
        <w:pStyle w:val="Heading1"/>
        <w:numPr>
          <w:ilvl w:val="0"/>
          <w:numId w:val="2"/>
        </w:numPr>
        <w:tabs>
          <w:tab w:pos="2023" w:val="left" w:leader="none"/>
        </w:tabs>
        <w:spacing w:line="360" w:lineRule="auto" w:before="74" w:after="0"/>
        <w:ind w:left="1034" w:right="1121" w:firstLine="710"/>
        <w:jc w:val="both"/>
      </w:pPr>
      <w:bookmarkStart w:name="_bookmark19" w:id="20"/>
      <w:bookmarkEnd w:id="20"/>
      <w:r>
        <w:rPr>
          <w:b w:val="0"/>
        </w:rPr>
      </w:r>
      <w:r>
        <w:rPr/>
        <w:t>Медицинская</w:t>
      </w:r>
      <w:r>
        <w:rPr>
          <w:spacing w:val="-8"/>
        </w:rPr>
        <w:t> </w:t>
      </w:r>
      <w:r>
        <w:rPr/>
        <w:t>реабилитация</w:t>
      </w:r>
      <w:r>
        <w:rPr>
          <w:spacing w:val="-9"/>
        </w:rPr>
        <w:t> </w:t>
      </w:r>
      <w:r>
        <w:rPr/>
        <w:t>и</w:t>
      </w:r>
      <w:r>
        <w:rPr>
          <w:spacing w:val="-8"/>
        </w:rPr>
        <w:t> </w:t>
      </w:r>
      <w:r>
        <w:rPr/>
        <w:t>санаторно-курортное</w:t>
      </w:r>
      <w:r>
        <w:rPr>
          <w:spacing w:val="-7"/>
        </w:rPr>
        <w:t> </w:t>
      </w:r>
      <w:r>
        <w:rPr/>
        <w:t>лечение, медицинские</w:t>
      </w:r>
      <w:r>
        <w:rPr>
          <w:spacing w:val="-4"/>
        </w:rPr>
        <w:t> </w:t>
      </w:r>
      <w:r>
        <w:rPr/>
        <w:t>показания</w:t>
      </w:r>
      <w:r>
        <w:rPr>
          <w:spacing w:val="-6"/>
        </w:rPr>
        <w:t> </w:t>
      </w:r>
      <w:r>
        <w:rPr/>
        <w:t>и</w:t>
      </w:r>
      <w:r>
        <w:rPr>
          <w:spacing w:val="-5"/>
        </w:rPr>
        <w:t> </w:t>
      </w:r>
      <w:r>
        <w:rPr/>
        <w:t>противопоказания</w:t>
      </w:r>
      <w:r>
        <w:rPr>
          <w:spacing w:val="-6"/>
        </w:rPr>
        <w:t> </w:t>
      </w:r>
      <w:r>
        <w:rPr/>
        <w:t>к</w:t>
      </w:r>
      <w:r>
        <w:rPr>
          <w:spacing w:val="-5"/>
        </w:rPr>
        <w:t> </w:t>
      </w:r>
      <w:r>
        <w:rPr/>
        <w:t>применению</w:t>
      </w:r>
      <w:r>
        <w:rPr>
          <w:spacing w:val="-5"/>
        </w:rPr>
        <w:t> </w:t>
      </w:r>
      <w:r>
        <w:rPr/>
        <w:t>методов</w:t>
      </w:r>
    </w:p>
    <w:p>
      <w:pPr>
        <w:spacing w:line="360" w:lineRule="auto" w:before="0"/>
        <w:ind w:left="3409" w:right="925" w:hanging="2569"/>
        <w:jc w:val="both"/>
        <w:rPr>
          <w:b/>
          <w:sz w:val="28"/>
        </w:rPr>
      </w:pPr>
      <w:r>
        <w:rPr>
          <w:b/>
          <w:sz w:val="28"/>
        </w:rPr>
        <w:t>медицинской</w:t>
      </w:r>
      <w:r>
        <w:rPr>
          <w:b/>
          <w:spacing w:val="-5"/>
          <w:sz w:val="28"/>
        </w:rPr>
        <w:t> </w:t>
      </w:r>
      <w:r>
        <w:rPr>
          <w:b/>
          <w:sz w:val="28"/>
        </w:rPr>
        <w:t>реабилитации,</w:t>
      </w:r>
      <w:r>
        <w:rPr>
          <w:b/>
          <w:spacing w:val="-5"/>
          <w:sz w:val="28"/>
        </w:rPr>
        <w:t> </w:t>
      </w:r>
      <w:r>
        <w:rPr>
          <w:b/>
          <w:sz w:val="28"/>
        </w:rPr>
        <w:t>в</w:t>
      </w:r>
      <w:r>
        <w:rPr>
          <w:b/>
          <w:spacing w:val="-5"/>
          <w:sz w:val="28"/>
        </w:rPr>
        <w:t> </w:t>
      </w:r>
      <w:r>
        <w:rPr>
          <w:b/>
          <w:sz w:val="28"/>
        </w:rPr>
        <w:t>том</w:t>
      </w:r>
      <w:r>
        <w:rPr>
          <w:b/>
          <w:spacing w:val="-4"/>
          <w:sz w:val="28"/>
        </w:rPr>
        <w:t> </w:t>
      </w:r>
      <w:r>
        <w:rPr>
          <w:b/>
          <w:sz w:val="28"/>
        </w:rPr>
        <w:t>числе</w:t>
      </w:r>
      <w:r>
        <w:rPr>
          <w:b/>
          <w:spacing w:val="-4"/>
          <w:sz w:val="28"/>
        </w:rPr>
        <w:t> </w:t>
      </w:r>
      <w:r>
        <w:rPr>
          <w:b/>
          <w:sz w:val="28"/>
        </w:rPr>
        <w:t>основанных</w:t>
      </w:r>
      <w:r>
        <w:rPr>
          <w:b/>
          <w:spacing w:val="-4"/>
          <w:sz w:val="28"/>
        </w:rPr>
        <w:t> </w:t>
      </w:r>
      <w:r>
        <w:rPr>
          <w:b/>
          <w:sz w:val="28"/>
        </w:rPr>
        <w:t>на</w:t>
      </w:r>
      <w:r>
        <w:rPr>
          <w:b/>
          <w:spacing w:val="-4"/>
          <w:sz w:val="28"/>
        </w:rPr>
        <w:t> </w:t>
      </w:r>
      <w:r>
        <w:rPr>
          <w:b/>
          <w:sz w:val="28"/>
        </w:rPr>
        <w:t>использовании природных лечебных факторов</w:t>
      </w:r>
    </w:p>
    <w:p>
      <w:pPr>
        <w:pStyle w:val="ListParagraph"/>
        <w:numPr>
          <w:ilvl w:val="0"/>
          <w:numId w:val="3"/>
        </w:numPr>
        <w:tabs>
          <w:tab w:pos="1099" w:val="left" w:leader="none"/>
          <w:tab w:pos="1461" w:val="left" w:leader="none"/>
        </w:tabs>
        <w:spacing w:line="360" w:lineRule="auto" w:before="234" w:after="0"/>
        <w:ind w:left="1099" w:right="823" w:hanging="358"/>
        <w:jc w:val="both"/>
        <w:rPr>
          <w:sz w:val="24"/>
        </w:rPr>
      </w:pPr>
      <w:r>
        <w:rPr>
          <w:rFonts w:ascii="Arial" w:hAnsi="Arial"/>
          <w:sz w:val="20"/>
        </w:rPr>
        <w:tab/>
      </w:r>
      <w:r>
        <w:rPr>
          <w:b/>
          <w:sz w:val="24"/>
        </w:rPr>
        <w:t>Рекомендуется </w:t>
      </w:r>
      <w:r>
        <w:rPr>
          <w:sz w:val="24"/>
        </w:rPr>
        <w:t>использование устройства для увеличения размеров и коррекции изгибов</w:t>
      </w:r>
      <w:r>
        <w:rPr>
          <w:spacing w:val="-3"/>
          <w:sz w:val="24"/>
        </w:rPr>
        <w:t> </w:t>
      </w:r>
      <w:r>
        <w:rPr>
          <w:sz w:val="24"/>
        </w:rPr>
        <w:t>мужского</w:t>
      </w:r>
      <w:r>
        <w:rPr>
          <w:spacing w:val="-2"/>
          <w:sz w:val="24"/>
        </w:rPr>
        <w:t> </w:t>
      </w:r>
      <w:r>
        <w:rPr>
          <w:sz w:val="24"/>
        </w:rPr>
        <w:t>полового</w:t>
      </w:r>
      <w:r>
        <w:rPr>
          <w:spacing w:val="-3"/>
          <w:sz w:val="24"/>
        </w:rPr>
        <w:t> </w:t>
      </w:r>
      <w:r>
        <w:rPr>
          <w:sz w:val="24"/>
        </w:rPr>
        <w:t>члена или устройства</w:t>
      </w:r>
      <w:r>
        <w:rPr>
          <w:spacing w:val="-4"/>
          <w:sz w:val="24"/>
        </w:rPr>
        <w:t> </w:t>
      </w:r>
      <w:r>
        <w:rPr>
          <w:sz w:val="24"/>
        </w:rPr>
        <w:t>для</w:t>
      </w:r>
      <w:r>
        <w:rPr>
          <w:spacing w:val="-2"/>
          <w:sz w:val="24"/>
        </w:rPr>
        <w:t> </w:t>
      </w:r>
      <w:r>
        <w:rPr>
          <w:sz w:val="24"/>
        </w:rPr>
        <w:t>стимуляции</w:t>
      </w:r>
      <w:r>
        <w:rPr>
          <w:spacing w:val="-1"/>
          <w:sz w:val="24"/>
        </w:rPr>
        <w:t> </w:t>
      </w:r>
      <w:r>
        <w:rPr>
          <w:sz w:val="24"/>
        </w:rPr>
        <w:t>эрекции</w:t>
      </w:r>
      <w:r>
        <w:rPr>
          <w:spacing w:val="-1"/>
          <w:sz w:val="24"/>
        </w:rPr>
        <w:t> </w:t>
      </w:r>
      <w:r>
        <w:rPr>
          <w:sz w:val="24"/>
        </w:rPr>
        <w:t>вакуумного после оперативного вмешательства с целью уменьшения резидуального искривления </w:t>
      </w:r>
      <w:r>
        <w:rPr>
          <w:spacing w:val="-2"/>
          <w:sz w:val="24"/>
        </w:rPr>
        <w:t>[42,79,82].</w:t>
      </w:r>
    </w:p>
    <w:p>
      <w:pPr>
        <w:pStyle w:val="Heading2"/>
        <w:spacing w:before="6"/>
      </w:pPr>
      <w:r>
        <w:rPr/>
        <w:t>Уровень</w:t>
      </w:r>
      <w:r>
        <w:rPr>
          <w:spacing w:val="-6"/>
        </w:rPr>
        <w:t> </w:t>
      </w:r>
      <w:r>
        <w:rPr/>
        <w:t>убедительности</w:t>
      </w:r>
      <w:r>
        <w:rPr>
          <w:spacing w:val="-5"/>
        </w:rPr>
        <w:t> </w:t>
      </w:r>
      <w:r>
        <w:rPr/>
        <w:t>рекомендаций</w:t>
      </w:r>
      <w:r>
        <w:rPr>
          <w:spacing w:val="1"/>
        </w:rPr>
        <w:t> </w:t>
      </w:r>
      <w:r>
        <w:rPr/>
        <w:t>С</w:t>
      </w:r>
      <w:r>
        <w:rPr>
          <w:spacing w:val="-4"/>
        </w:rPr>
        <w:t> </w:t>
      </w:r>
      <w:r>
        <w:rPr/>
        <w:t>(уровень</w:t>
      </w:r>
      <w:r>
        <w:rPr>
          <w:spacing w:val="-3"/>
        </w:rPr>
        <w:t> </w:t>
      </w:r>
      <w:r>
        <w:rPr/>
        <w:t>достоверности</w:t>
      </w:r>
      <w:r>
        <w:rPr>
          <w:spacing w:val="-5"/>
        </w:rPr>
        <w:t> </w:t>
      </w:r>
      <w:r>
        <w:rPr/>
        <w:t>доказательств</w:t>
      </w:r>
      <w:r>
        <w:rPr>
          <w:spacing w:val="-1"/>
        </w:rPr>
        <w:t> </w:t>
      </w:r>
      <w:r>
        <w:rPr/>
        <w:t>–</w:t>
      </w:r>
      <w:r>
        <w:rPr>
          <w:spacing w:val="-3"/>
        </w:rPr>
        <w:t> </w:t>
      </w:r>
      <w:r>
        <w:rPr>
          <w:spacing w:val="-5"/>
        </w:rPr>
        <w:t>3)</w:t>
      </w:r>
    </w:p>
    <w:p>
      <w:pPr>
        <w:pStyle w:val="ListParagraph"/>
        <w:numPr>
          <w:ilvl w:val="0"/>
          <w:numId w:val="3"/>
        </w:numPr>
        <w:tabs>
          <w:tab w:pos="1099" w:val="left" w:leader="none"/>
          <w:tab w:pos="1461" w:val="left" w:leader="none"/>
        </w:tabs>
        <w:spacing w:line="360" w:lineRule="auto" w:before="134" w:after="0"/>
        <w:ind w:left="1099" w:right="824" w:hanging="358"/>
        <w:jc w:val="both"/>
        <w:rPr>
          <w:sz w:val="24"/>
        </w:rPr>
      </w:pPr>
      <w:r>
        <w:rPr>
          <w:rFonts w:ascii="Arial" w:hAnsi="Arial"/>
          <w:sz w:val="20"/>
        </w:rPr>
        <w:tab/>
      </w:r>
      <w:r>
        <w:rPr>
          <w:b/>
          <w:sz w:val="24"/>
        </w:rPr>
        <w:t>Рекомендуется </w:t>
      </w:r>
      <w:r>
        <w:rPr>
          <w:sz w:val="24"/>
        </w:rPr>
        <w:t>использование ингибиторов фосфодиэстеразы 5-го типа (G04BE препараты для лечения эректильной дисфункции) при сопутствующей эректильной дисфункции у пациентов после оперативного вмешательства для улучшения результатов оперативного лечения и профилактики рецидива искривления [22].</w:t>
      </w:r>
    </w:p>
    <w:p>
      <w:pPr>
        <w:spacing w:before="5"/>
        <w:ind w:left="742" w:right="0" w:firstLine="0"/>
        <w:jc w:val="both"/>
        <w:rPr>
          <w:b/>
          <w:sz w:val="24"/>
        </w:rPr>
      </w:pPr>
      <w:r>
        <w:rPr>
          <w:b/>
          <w:sz w:val="24"/>
        </w:rPr>
        <w:t>Уровень</w:t>
      </w:r>
      <w:r>
        <w:rPr>
          <w:b/>
          <w:spacing w:val="-6"/>
          <w:sz w:val="24"/>
        </w:rPr>
        <w:t> </w:t>
      </w:r>
      <w:r>
        <w:rPr>
          <w:b/>
          <w:sz w:val="24"/>
        </w:rPr>
        <w:t>убедительности</w:t>
      </w:r>
      <w:r>
        <w:rPr>
          <w:b/>
          <w:spacing w:val="-5"/>
          <w:sz w:val="24"/>
        </w:rPr>
        <w:t> </w:t>
      </w:r>
      <w:r>
        <w:rPr>
          <w:b/>
          <w:sz w:val="24"/>
        </w:rPr>
        <w:t>рекомендаций</w:t>
      </w:r>
      <w:r>
        <w:rPr>
          <w:b/>
          <w:spacing w:val="1"/>
          <w:sz w:val="24"/>
        </w:rPr>
        <w:t> </w:t>
      </w:r>
      <w:r>
        <w:rPr>
          <w:b/>
          <w:sz w:val="24"/>
        </w:rPr>
        <w:t>С</w:t>
      </w:r>
      <w:r>
        <w:rPr>
          <w:b/>
          <w:spacing w:val="-4"/>
          <w:sz w:val="24"/>
        </w:rPr>
        <w:t> </w:t>
      </w:r>
      <w:r>
        <w:rPr>
          <w:b/>
          <w:sz w:val="24"/>
        </w:rPr>
        <w:t>(уровень</w:t>
      </w:r>
      <w:r>
        <w:rPr>
          <w:b/>
          <w:spacing w:val="-3"/>
          <w:sz w:val="24"/>
        </w:rPr>
        <w:t> </w:t>
      </w:r>
      <w:r>
        <w:rPr>
          <w:b/>
          <w:sz w:val="24"/>
        </w:rPr>
        <w:t>достоверности</w:t>
      </w:r>
      <w:r>
        <w:rPr>
          <w:b/>
          <w:spacing w:val="-5"/>
          <w:sz w:val="24"/>
        </w:rPr>
        <w:t> </w:t>
      </w:r>
      <w:r>
        <w:rPr>
          <w:b/>
          <w:sz w:val="24"/>
        </w:rPr>
        <w:t>доказательств</w:t>
      </w:r>
      <w:r>
        <w:rPr>
          <w:b/>
          <w:spacing w:val="-1"/>
          <w:sz w:val="24"/>
        </w:rPr>
        <w:t> </w:t>
      </w:r>
      <w:r>
        <w:rPr>
          <w:b/>
          <w:sz w:val="24"/>
        </w:rPr>
        <w:t>–</w:t>
      </w:r>
      <w:r>
        <w:rPr>
          <w:b/>
          <w:spacing w:val="-3"/>
          <w:sz w:val="24"/>
        </w:rPr>
        <w:t> </w:t>
      </w:r>
      <w:r>
        <w:rPr>
          <w:b/>
          <w:spacing w:val="-5"/>
          <w:sz w:val="24"/>
        </w:rPr>
        <w:t>5)</w:t>
      </w:r>
    </w:p>
    <w:p>
      <w:pPr>
        <w:pStyle w:val="Heading1"/>
        <w:numPr>
          <w:ilvl w:val="0"/>
          <w:numId w:val="2"/>
        </w:numPr>
        <w:tabs>
          <w:tab w:pos="2232" w:val="left" w:leader="none"/>
        </w:tabs>
        <w:spacing w:line="362" w:lineRule="auto" w:before="136" w:after="0"/>
        <w:ind w:left="929" w:right="1015" w:firstLine="1024"/>
        <w:jc w:val="both"/>
      </w:pPr>
      <w:bookmarkStart w:name="_bookmark20" w:id="21"/>
      <w:bookmarkEnd w:id="21"/>
      <w:r>
        <w:rPr>
          <w:b w:val="0"/>
        </w:rPr>
      </w:r>
      <w:r>
        <w:rPr/>
        <w:t>Профилактика и диспансерное наблюдение, медицинские показания</w:t>
      </w:r>
      <w:r>
        <w:rPr>
          <w:spacing w:val="-7"/>
        </w:rPr>
        <w:t> </w:t>
      </w:r>
      <w:r>
        <w:rPr/>
        <w:t>и</w:t>
      </w:r>
      <w:r>
        <w:rPr>
          <w:spacing w:val="-6"/>
        </w:rPr>
        <w:t> </w:t>
      </w:r>
      <w:r>
        <w:rPr/>
        <w:t>противопоказания</w:t>
      </w:r>
      <w:r>
        <w:rPr>
          <w:spacing w:val="-7"/>
        </w:rPr>
        <w:t> </w:t>
      </w:r>
      <w:r>
        <w:rPr/>
        <w:t>к</w:t>
      </w:r>
      <w:r>
        <w:rPr>
          <w:spacing w:val="-6"/>
        </w:rPr>
        <w:t> </w:t>
      </w:r>
      <w:r>
        <w:rPr/>
        <w:t>применению</w:t>
      </w:r>
      <w:r>
        <w:rPr>
          <w:spacing w:val="-6"/>
        </w:rPr>
        <w:t> </w:t>
      </w:r>
      <w:r>
        <w:rPr/>
        <w:t>методов</w:t>
      </w:r>
      <w:r>
        <w:rPr>
          <w:spacing w:val="-8"/>
        </w:rPr>
        <w:t> </w:t>
      </w:r>
      <w:r>
        <w:rPr/>
        <w:t>профилактики</w:t>
      </w:r>
    </w:p>
    <w:p>
      <w:pPr>
        <w:spacing w:line="360" w:lineRule="auto" w:before="0"/>
        <w:ind w:left="742" w:right="828" w:firstLine="707"/>
        <w:jc w:val="both"/>
        <w:rPr>
          <w:i/>
          <w:sz w:val="24"/>
        </w:rPr>
      </w:pPr>
      <w:r>
        <w:rPr>
          <w:i/>
          <w:sz w:val="24"/>
        </w:rPr>
        <w:t>Профилактика болезни Пейрони не разработана, диспансерное наблюдение не</w:t>
      </w:r>
      <w:r>
        <w:rPr>
          <w:i/>
          <w:sz w:val="24"/>
        </w:rPr>
        <w:t> </w:t>
      </w:r>
      <w:r>
        <w:rPr>
          <w:i/>
          <w:spacing w:val="-2"/>
          <w:sz w:val="24"/>
        </w:rPr>
        <w:t>требуется.</w:t>
      </w:r>
    </w:p>
    <w:p>
      <w:pPr>
        <w:pStyle w:val="Heading1"/>
        <w:numPr>
          <w:ilvl w:val="0"/>
          <w:numId w:val="2"/>
        </w:numPr>
        <w:tabs>
          <w:tab w:pos="3017" w:val="left" w:leader="none"/>
        </w:tabs>
        <w:spacing w:line="317" w:lineRule="exact" w:before="0" w:after="0"/>
        <w:ind w:left="3017" w:right="0" w:hanging="279"/>
        <w:jc w:val="left"/>
      </w:pPr>
      <w:bookmarkStart w:name="_bookmark21" w:id="22"/>
      <w:bookmarkEnd w:id="22"/>
      <w:r>
        <w:rPr>
          <w:b w:val="0"/>
        </w:rPr>
      </w:r>
      <w:r>
        <w:rPr/>
        <w:t>Организация</w:t>
      </w:r>
      <w:r>
        <w:rPr>
          <w:spacing w:val="-12"/>
        </w:rPr>
        <w:t> </w:t>
      </w:r>
      <w:r>
        <w:rPr/>
        <w:t>оказания</w:t>
      </w:r>
      <w:r>
        <w:rPr>
          <w:spacing w:val="-10"/>
        </w:rPr>
        <w:t> </w:t>
      </w:r>
      <w:r>
        <w:rPr/>
        <w:t>медицинской</w:t>
      </w:r>
      <w:r>
        <w:rPr>
          <w:spacing w:val="-9"/>
        </w:rPr>
        <w:t> </w:t>
      </w:r>
      <w:r>
        <w:rPr>
          <w:spacing w:val="-2"/>
        </w:rPr>
        <w:t>помощи</w:t>
      </w:r>
    </w:p>
    <w:p>
      <w:pPr>
        <w:pStyle w:val="BodyText"/>
        <w:spacing w:before="157"/>
        <w:ind w:left="1450"/>
        <w:jc w:val="left"/>
      </w:pPr>
      <w:r>
        <w:rPr/>
        <w:t>Показания</w:t>
      </w:r>
      <w:r>
        <w:rPr>
          <w:spacing w:val="-7"/>
        </w:rPr>
        <w:t> </w:t>
      </w:r>
      <w:r>
        <w:rPr/>
        <w:t>для</w:t>
      </w:r>
      <w:r>
        <w:rPr>
          <w:spacing w:val="-4"/>
        </w:rPr>
        <w:t> </w:t>
      </w:r>
      <w:r>
        <w:rPr/>
        <w:t>госпитализации</w:t>
      </w:r>
      <w:r>
        <w:rPr>
          <w:spacing w:val="-4"/>
        </w:rPr>
        <w:t> </w:t>
      </w:r>
      <w:r>
        <w:rPr/>
        <w:t>в</w:t>
      </w:r>
      <w:r>
        <w:rPr>
          <w:spacing w:val="-5"/>
        </w:rPr>
        <w:t> </w:t>
      </w:r>
      <w:r>
        <w:rPr/>
        <w:t>медицинскую</w:t>
      </w:r>
      <w:r>
        <w:rPr>
          <w:spacing w:val="-4"/>
        </w:rPr>
        <w:t> </w:t>
      </w:r>
      <w:r>
        <w:rPr>
          <w:spacing w:val="-2"/>
        </w:rPr>
        <w:t>организацию:</w:t>
      </w:r>
    </w:p>
    <w:p>
      <w:pPr>
        <w:pStyle w:val="BodyText"/>
        <w:spacing w:line="360" w:lineRule="auto" w:before="136"/>
        <w:ind w:left="1450" w:right="3074" w:hanging="281"/>
        <w:jc w:val="left"/>
      </w:pPr>
      <w:r>
        <w:rPr/>
        <w:t>1) Планирование выполнения оперативного вмешательства; Показания</w:t>
      </w:r>
      <w:r>
        <w:rPr>
          <w:spacing w:val="-6"/>
        </w:rPr>
        <w:t> </w:t>
      </w:r>
      <w:r>
        <w:rPr/>
        <w:t>к</w:t>
      </w:r>
      <w:r>
        <w:rPr>
          <w:spacing w:val="-6"/>
        </w:rPr>
        <w:t> </w:t>
      </w:r>
      <w:r>
        <w:rPr/>
        <w:t>выписке</w:t>
      </w:r>
      <w:r>
        <w:rPr>
          <w:spacing w:val="-7"/>
        </w:rPr>
        <w:t> </w:t>
      </w:r>
      <w:r>
        <w:rPr/>
        <w:t>пациента</w:t>
      </w:r>
      <w:r>
        <w:rPr>
          <w:spacing w:val="-7"/>
        </w:rPr>
        <w:t> </w:t>
      </w:r>
      <w:r>
        <w:rPr/>
        <w:t>из</w:t>
      </w:r>
      <w:r>
        <w:rPr>
          <w:spacing w:val="-2"/>
        </w:rPr>
        <w:t> </w:t>
      </w:r>
      <w:r>
        <w:rPr/>
        <w:t>медицинской</w:t>
      </w:r>
      <w:r>
        <w:rPr>
          <w:spacing w:val="-5"/>
        </w:rPr>
        <w:t> </w:t>
      </w:r>
      <w:r>
        <w:rPr/>
        <w:t>организации:</w:t>
      </w:r>
    </w:p>
    <w:p>
      <w:pPr>
        <w:pStyle w:val="BodyText"/>
        <w:spacing w:line="360" w:lineRule="auto" w:before="1"/>
        <w:ind w:left="1450" w:hanging="281"/>
        <w:jc w:val="left"/>
      </w:pPr>
      <w:r>
        <w:rPr/>
        <w:t>1)</w:t>
      </w:r>
      <w:r>
        <w:rPr>
          <w:spacing w:val="-1"/>
        </w:rPr>
        <w:t> </w:t>
      </w:r>
      <w:r>
        <w:rPr/>
        <w:t>Отсутствие</w:t>
      </w:r>
      <w:r>
        <w:rPr>
          <w:spacing w:val="-1"/>
        </w:rPr>
        <w:t> </w:t>
      </w:r>
      <w:r>
        <w:rPr/>
        <w:t>осложнений (гематома, несостоятельность раны, гнойно-инфекционные осложнения) после оперативного вмешательства</w:t>
      </w:r>
    </w:p>
    <w:p>
      <w:pPr>
        <w:pStyle w:val="Heading1"/>
        <w:numPr>
          <w:ilvl w:val="0"/>
          <w:numId w:val="2"/>
        </w:numPr>
        <w:tabs>
          <w:tab w:pos="1819" w:val="left" w:leader="none"/>
          <w:tab w:pos="3053" w:val="left" w:leader="none"/>
        </w:tabs>
        <w:spacing w:line="362" w:lineRule="auto" w:before="4" w:after="0"/>
        <w:ind w:left="3053" w:right="920" w:hanging="1513"/>
        <w:jc w:val="left"/>
      </w:pPr>
      <w:bookmarkStart w:name="_bookmark22" w:id="23"/>
      <w:bookmarkEnd w:id="23"/>
      <w:r>
        <w:rPr>
          <w:b w:val="0"/>
        </w:rPr>
      </w:r>
      <w:r>
        <w:rPr/>
        <w:t>Дополнительная</w:t>
      </w:r>
      <w:r>
        <w:rPr>
          <w:spacing w:val="-7"/>
        </w:rPr>
        <w:t> </w:t>
      </w:r>
      <w:r>
        <w:rPr/>
        <w:t>информация</w:t>
      </w:r>
      <w:r>
        <w:rPr>
          <w:spacing w:val="-6"/>
        </w:rPr>
        <w:t> </w:t>
      </w:r>
      <w:r>
        <w:rPr/>
        <w:t>(в</w:t>
      </w:r>
      <w:r>
        <w:rPr>
          <w:spacing w:val="-5"/>
        </w:rPr>
        <w:t> </w:t>
      </w:r>
      <w:r>
        <w:rPr/>
        <w:t>том</w:t>
      </w:r>
      <w:r>
        <w:rPr>
          <w:spacing w:val="-4"/>
        </w:rPr>
        <w:t> </w:t>
      </w:r>
      <w:r>
        <w:rPr/>
        <w:t>числе</w:t>
      </w:r>
      <w:r>
        <w:rPr>
          <w:spacing w:val="-4"/>
        </w:rPr>
        <w:t> </w:t>
      </w:r>
      <w:r>
        <w:rPr/>
        <w:t>факторы,</w:t>
      </w:r>
      <w:r>
        <w:rPr>
          <w:spacing w:val="-8"/>
        </w:rPr>
        <w:t> </w:t>
      </w:r>
      <w:r>
        <w:rPr/>
        <w:t>влияющие на исход заболевания или состояния)</w:t>
      </w:r>
    </w:p>
    <w:p>
      <w:pPr>
        <w:pStyle w:val="BodyText"/>
        <w:spacing w:line="267" w:lineRule="exact"/>
        <w:ind w:left="1450"/>
        <w:jc w:val="left"/>
      </w:pPr>
      <w:r>
        <w:rPr/>
        <w:t>Дополнительная</w:t>
      </w:r>
      <w:r>
        <w:rPr>
          <w:spacing w:val="-7"/>
        </w:rPr>
        <w:t> </w:t>
      </w:r>
      <w:r>
        <w:rPr/>
        <w:t>информация</w:t>
      </w:r>
      <w:r>
        <w:rPr>
          <w:spacing w:val="-7"/>
        </w:rPr>
        <w:t> </w:t>
      </w:r>
      <w:r>
        <w:rPr>
          <w:spacing w:val="-2"/>
        </w:rPr>
        <w:t>отсутствует.</w:t>
      </w:r>
    </w:p>
    <w:p>
      <w:pPr>
        <w:pStyle w:val="Heading1"/>
        <w:spacing w:before="140"/>
        <w:ind w:left="2618"/>
      </w:pPr>
      <w:bookmarkStart w:name="_bookmark23" w:id="24"/>
      <w:bookmarkEnd w:id="24"/>
      <w:r>
        <w:rPr>
          <w:b w:val="0"/>
        </w:rPr>
      </w:r>
      <w:r>
        <w:rPr/>
        <w:t>Критерии</w:t>
      </w:r>
      <w:r>
        <w:rPr>
          <w:spacing w:val="-10"/>
        </w:rPr>
        <w:t> </w:t>
      </w:r>
      <w:r>
        <w:rPr/>
        <w:t>оценки</w:t>
      </w:r>
      <w:r>
        <w:rPr>
          <w:spacing w:val="-8"/>
        </w:rPr>
        <w:t> </w:t>
      </w:r>
      <w:r>
        <w:rPr/>
        <w:t>качества</w:t>
      </w:r>
      <w:r>
        <w:rPr>
          <w:spacing w:val="-9"/>
        </w:rPr>
        <w:t> </w:t>
      </w:r>
      <w:r>
        <w:rPr/>
        <w:t>медицинской</w:t>
      </w:r>
      <w:r>
        <w:rPr>
          <w:spacing w:val="-7"/>
        </w:rPr>
        <w:t> </w:t>
      </w:r>
      <w:r>
        <w:rPr>
          <w:spacing w:val="-2"/>
        </w:rPr>
        <w:t>помощи</w:t>
      </w:r>
    </w:p>
    <w:p>
      <w:pPr>
        <w:pStyle w:val="BodyText"/>
        <w:spacing w:before="4"/>
        <w:ind w:left="0"/>
        <w:jc w:val="left"/>
        <w:rPr>
          <w:b/>
          <w:sz w:val="14"/>
        </w:rPr>
      </w:pPr>
    </w:p>
    <w:tbl>
      <w:tblPr>
        <w:tblW w:w="0" w:type="auto"/>
        <w:jc w:val="left"/>
        <w:tblInd w:w="7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74"/>
        <w:gridCol w:w="7290"/>
        <w:gridCol w:w="1706"/>
      </w:tblGrid>
      <w:tr>
        <w:trPr>
          <w:trHeight w:val="1391" w:hRule="atLeast"/>
        </w:trPr>
        <w:tc>
          <w:tcPr>
            <w:tcW w:w="374" w:type="dxa"/>
          </w:tcPr>
          <w:p>
            <w:pPr>
              <w:pStyle w:val="TableParagraph"/>
              <w:rPr>
                <w:sz w:val="24"/>
              </w:rPr>
            </w:pPr>
          </w:p>
        </w:tc>
        <w:tc>
          <w:tcPr>
            <w:tcW w:w="7290" w:type="dxa"/>
          </w:tcPr>
          <w:p>
            <w:pPr>
              <w:pStyle w:val="TableParagraph"/>
              <w:rPr>
                <w:b/>
                <w:sz w:val="24"/>
              </w:rPr>
            </w:pPr>
          </w:p>
          <w:p>
            <w:pPr>
              <w:pStyle w:val="TableParagraph"/>
              <w:spacing w:before="1"/>
              <w:rPr>
                <w:b/>
                <w:sz w:val="24"/>
              </w:rPr>
            </w:pPr>
          </w:p>
          <w:p>
            <w:pPr>
              <w:pStyle w:val="TableParagraph"/>
              <w:ind w:left="2938"/>
              <w:rPr>
                <w:b/>
                <w:sz w:val="24"/>
              </w:rPr>
            </w:pPr>
            <w:r>
              <w:rPr>
                <w:b/>
                <w:sz w:val="24"/>
              </w:rPr>
              <w:t>Критерии</w:t>
            </w:r>
            <w:r>
              <w:rPr>
                <w:b/>
                <w:spacing w:val="-4"/>
                <w:sz w:val="24"/>
              </w:rPr>
              <w:t> </w:t>
            </w:r>
            <w:r>
              <w:rPr>
                <w:b/>
                <w:spacing w:val="-2"/>
                <w:sz w:val="24"/>
              </w:rPr>
              <w:t>качества</w:t>
            </w:r>
          </w:p>
        </w:tc>
        <w:tc>
          <w:tcPr>
            <w:tcW w:w="1706" w:type="dxa"/>
          </w:tcPr>
          <w:p>
            <w:pPr>
              <w:pStyle w:val="TableParagraph"/>
              <w:spacing w:before="1"/>
              <w:rPr>
                <w:b/>
                <w:sz w:val="24"/>
              </w:rPr>
            </w:pPr>
          </w:p>
          <w:p>
            <w:pPr>
              <w:pStyle w:val="TableParagraph"/>
              <w:ind w:left="5"/>
              <w:rPr>
                <w:b/>
                <w:sz w:val="24"/>
              </w:rPr>
            </w:pPr>
            <w:r>
              <w:rPr>
                <w:b/>
                <w:spacing w:val="-2"/>
                <w:sz w:val="24"/>
              </w:rPr>
              <w:t>Оценка выполнения (да/нет)</w:t>
            </w:r>
          </w:p>
        </w:tc>
      </w:tr>
    </w:tbl>
    <w:p>
      <w:pPr>
        <w:spacing w:after="0"/>
        <w:rPr>
          <w:sz w:val="24"/>
        </w:rPr>
        <w:sectPr>
          <w:pgSz w:w="11910" w:h="16840"/>
          <w:pgMar w:header="0" w:footer="867" w:top="1660" w:bottom="1060" w:left="960" w:right="20"/>
        </w:sectPr>
      </w:pPr>
    </w:p>
    <w:tbl>
      <w:tblPr>
        <w:tblW w:w="0" w:type="auto"/>
        <w:jc w:val="left"/>
        <w:tblInd w:w="7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74"/>
        <w:gridCol w:w="7290"/>
        <w:gridCol w:w="1706"/>
      </w:tblGrid>
      <w:tr>
        <w:trPr>
          <w:trHeight w:val="1391" w:hRule="atLeast"/>
        </w:trPr>
        <w:tc>
          <w:tcPr>
            <w:tcW w:w="374" w:type="dxa"/>
          </w:tcPr>
          <w:p>
            <w:pPr>
              <w:pStyle w:val="TableParagraph"/>
              <w:rPr>
                <w:sz w:val="24"/>
              </w:rPr>
            </w:pPr>
          </w:p>
        </w:tc>
        <w:tc>
          <w:tcPr>
            <w:tcW w:w="7290" w:type="dxa"/>
          </w:tcPr>
          <w:p>
            <w:pPr>
              <w:pStyle w:val="TableParagraph"/>
              <w:rPr>
                <w:b/>
                <w:sz w:val="24"/>
              </w:rPr>
            </w:pPr>
          </w:p>
          <w:p>
            <w:pPr>
              <w:pStyle w:val="TableParagraph"/>
              <w:spacing w:before="1"/>
              <w:rPr>
                <w:b/>
                <w:sz w:val="24"/>
              </w:rPr>
            </w:pPr>
          </w:p>
          <w:p>
            <w:pPr>
              <w:pStyle w:val="TableParagraph"/>
              <w:ind w:left="2938"/>
              <w:rPr>
                <w:b/>
                <w:sz w:val="24"/>
              </w:rPr>
            </w:pPr>
            <w:r>
              <w:rPr>
                <w:b/>
                <w:sz w:val="24"/>
              </w:rPr>
              <w:t>Критерии</w:t>
            </w:r>
            <w:r>
              <w:rPr>
                <w:b/>
                <w:spacing w:val="-4"/>
                <w:sz w:val="24"/>
              </w:rPr>
              <w:t> </w:t>
            </w:r>
            <w:r>
              <w:rPr>
                <w:b/>
                <w:spacing w:val="-2"/>
                <w:sz w:val="24"/>
              </w:rPr>
              <w:t>качества</w:t>
            </w:r>
          </w:p>
        </w:tc>
        <w:tc>
          <w:tcPr>
            <w:tcW w:w="1706" w:type="dxa"/>
          </w:tcPr>
          <w:p>
            <w:pPr>
              <w:pStyle w:val="TableParagraph"/>
              <w:spacing w:before="1"/>
              <w:rPr>
                <w:b/>
                <w:sz w:val="24"/>
              </w:rPr>
            </w:pPr>
          </w:p>
          <w:p>
            <w:pPr>
              <w:pStyle w:val="TableParagraph"/>
              <w:ind w:left="5"/>
              <w:rPr>
                <w:b/>
                <w:sz w:val="24"/>
              </w:rPr>
            </w:pPr>
            <w:r>
              <w:rPr>
                <w:b/>
                <w:spacing w:val="-2"/>
                <w:sz w:val="24"/>
              </w:rPr>
              <w:t>Оценка выполнения (да/нет)</w:t>
            </w:r>
          </w:p>
        </w:tc>
      </w:tr>
      <w:tr>
        <w:trPr>
          <w:trHeight w:val="947" w:hRule="atLeast"/>
        </w:trPr>
        <w:tc>
          <w:tcPr>
            <w:tcW w:w="374" w:type="dxa"/>
          </w:tcPr>
          <w:p>
            <w:pPr>
              <w:pStyle w:val="TableParagraph"/>
              <w:spacing w:line="268" w:lineRule="exact"/>
              <w:ind w:left="4"/>
              <w:rPr>
                <w:sz w:val="24"/>
              </w:rPr>
            </w:pPr>
            <w:r>
              <w:rPr>
                <w:spacing w:val="-5"/>
                <w:sz w:val="24"/>
              </w:rPr>
              <w:t>1.</w:t>
            </w:r>
          </w:p>
        </w:tc>
        <w:tc>
          <w:tcPr>
            <w:tcW w:w="7290" w:type="dxa"/>
          </w:tcPr>
          <w:p>
            <w:pPr>
              <w:pStyle w:val="TableParagraph"/>
              <w:ind w:left="4"/>
              <w:rPr>
                <w:sz w:val="24"/>
              </w:rPr>
            </w:pPr>
            <w:r>
              <w:rPr>
                <w:sz w:val="24"/>
              </w:rPr>
              <w:t>Установлено</w:t>
            </w:r>
            <w:r>
              <w:rPr>
                <w:spacing w:val="40"/>
                <w:sz w:val="24"/>
              </w:rPr>
              <w:t> </w:t>
            </w:r>
            <w:r>
              <w:rPr>
                <w:sz w:val="24"/>
              </w:rPr>
              <w:t>время</w:t>
            </w:r>
            <w:r>
              <w:rPr>
                <w:spacing w:val="40"/>
                <w:sz w:val="24"/>
              </w:rPr>
              <w:t> </w:t>
            </w:r>
            <w:r>
              <w:rPr>
                <w:sz w:val="24"/>
              </w:rPr>
              <w:t>начала</w:t>
            </w:r>
            <w:r>
              <w:rPr>
                <w:spacing w:val="40"/>
                <w:sz w:val="24"/>
              </w:rPr>
              <w:t> </w:t>
            </w:r>
            <w:r>
              <w:rPr>
                <w:sz w:val="24"/>
              </w:rPr>
              <w:t>заболевания,</w:t>
            </w:r>
            <w:r>
              <w:rPr>
                <w:spacing w:val="40"/>
                <w:sz w:val="24"/>
              </w:rPr>
              <w:t> </w:t>
            </w:r>
            <w:r>
              <w:rPr>
                <w:sz w:val="24"/>
              </w:rPr>
              <w:t>наличие</w:t>
            </w:r>
            <w:r>
              <w:rPr>
                <w:spacing w:val="40"/>
                <w:sz w:val="24"/>
              </w:rPr>
              <w:t> </w:t>
            </w:r>
            <w:r>
              <w:rPr>
                <w:sz w:val="24"/>
              </w:rPr>
              <w:t>провоцирующего фактора, боли и её связь с эрекцией</w:t>
            </w:r>
          </w:p>
        </w:tc>
        <w:tc>
          <w:tcPr>
            <w:tcW w:w="1706" w:type="dxa"/>
          </w:tcPr>
          <w:p>
            <w:pPr>
              <w:pStyle w:val="TableParagraph"/>
              <w:spacing w:line="270" w:lineRule="exact"/>
              <w:ind w:right="299"/>
              <w:jc w:val="right"/>
              <w:rPr>
                <w:sz w:val="24"/>
              </w:rPr>
            </w:pPr>
            <w:r>
              <w:rPr>
                <w:spacing w:val="-2"/>
                <w:sz w:val="24"/>
              </w:rPr>
              <w:t>Да/нет</w:t>
            </w:r>
          </w:p>
        </w:tc>
      </w:tr>
      <w:tr>
        <w:trPr>
          <w:trHeight w:val="553" w:hRule="atLeast"/>
        </w:trPr>
        <w:tc>
          <w:tcPr>
            <w:tcW w:w="374" w:type="dxa"/>
          </w:tcPr>
          <w:p>
            <w:pPr>
              <w:pStyle w:val="TableParagraph"/>
              <w:spacing w:line="270" w:lineRule="exact"/>
              <w:ind w:left="4"/>
              <w:rPr>
                <w:sz w:val="24"/>
              </w:rPr>
            </w:pPr>
            <w:r>
              <w:rPr>
                <w:spacing w:val="-5"/>
                <w:sz w:val="24"/>
              </w:rPr>
              <w:t>2.</w:t>
            </w:r>
          </w:p>
        </w:tc>
        <w:tc>
          <w:tcPr>
            <w:tcW w:w="7290" w:type="dxa"/>
          </w:tcPr>
          <w:p>
            <w:pPr>
              <w:pStyle w:val="TableParagraph"/>
              <w:tabs>
                <w:tab w:pos="1381" w:val="left" w:leader="none"/>
                <w:tab w:pos="3642" w:val="left" w:leader="none"/>
                <w:tab w:pos="4434" w:val="left" w:leader="none"/>
                <w:tab w:pos="5686" w:val="left" w:leader="none"/>
                <w:tab w:pos="6122" w:val="left" w:leader="none"/>
              </w:tabs>
              <w:spacing w:line="270" w:lineRule="exact"/>
              <w:ind w:left="4"/>
              <w:rPr>
                <w:sz w:val="24"/>
              </w:rPr>
            </w:pPr>
            <w:r>
              <w:rPr>
                <w:spacing w:val="-2"/>
                <w:sz w:val="24"/>
              </w:rPr>
              <w:t>Выполнен</w:t>
            </w:r>
            <w:r>
              <w:rPr>
                <w:sz w:val="24"/>
              </w:rPr>
              <w:tab/>
            </w:r>
            <w:r>
              <w:rPr>
                <w:spacing w:val="-2"/>
                <w:sz w:val="24"/>
              </w:rPr>
              <w:t>целенаправленный</w:t>
            </w:r>
            <w:r>
              <w:rPr>
                <w:sz w:val="24"/>
              </w:rPr>
              <w:tab/>
            </w:r>
            <w:r>
              <w:rPr>
                <w:spacing w:val="-4"/>
                <w:sz w:val="24"/>
              </w:rPr>
              <w:t>сбор</w:t>
            </w:r>
            <w:r>
              <w:rPr>
                <w:sz w:val="24"/>
              </w:rPr>
              <w:tab/>
            </w:r>
            <w:r>
              <w:rPr>
                <w:spacing w:val="-2"/>
                <w:sz w:val="24"/>
              </w:rPr>
              <w:t>анамнеза</w:t>
            </w:r>
            <w:r>
              <w:rPr>
                <w:sz w:val="24"/>
              </w:rPr>
              <w:tab/>
            </w:r>
            <w:r>
              <w:rPr>
                <w:spacing w:val="-10"/>
                <w:sz w:val="24"/>
              </w:rPr>
              <w:t>в</w:t>
            </w:r>
            <w:r>
              <w:rPr>
                <w:sz w:val="24"/>
              </w:rPr>
              <w:tab/>
            </w:r>
            <w:r>
              <w:rPr>
                <w:spacing w:val="-2"/>
                <w:sz w:val="24"/>
              </w:rPr>
              <w:t>отношении</w:t>
            </w:r>
          </w:p>
          <w:p>
            <w:pPr>
              <w:pStyle w:val="TableParagraph"/>
              <w:spacing w:line="264" w:lineRule="exact"/>
              <w:ind w:left="4"/>
              <w:rPr>
                <w:sz w:val="24"/>
              </w:rPr>
            </w:pPr>
            <w:r>
              <w:rPr>
                <w:sz w:val="24"/>
              </w:rPr>
              <w:t>эректильной</w:t>
            </w:r>
            <w:r>
              <w:rPr>
                <w:spacing w:val="-7"/>
                <w:sz w:val="24"/>
              </w:rPr>
              <w:t> </w:t>
            </w:r>
            <w:r>
              <w:rPr>
                <w:spacing w:val="-2"/>
                <w:sz w:val="24"/>
              </w:rPr>
              <w:t>функции</w:t>
            </w:r>
          </w:p>
        </w:tc>
        <w:tc>
          <w:tcPr>
            <w:tcW w:w="1706" w:type="dxa"/>
          </w:tcPr>
          <w:p>
            <w:pPr>
              <w:pStyle w:val="TableParagraph"/>
              <w:spacing w:line="272" w:lineRule="exact"/>
              <w:ind w:right="299"/>
              <w:jc w:val="right"/>
              <w:rPr>
                <w:sz w:val="24"/>
              </w:rPr>
            </w:pPr>
            <w:r>
              <w:rPr>
                <w:spacing w:val="-2"/>
                <w:sz w:val="24"/>
              </w:rPr>
              <w:t>Да/нет</w:t>
            </w:r>
          </w:p>
        </w:tc>
      </w:tr>
      <w:tr>
        <w:trPr>
          <w:trHeight w:val="832" w:hRule="atLeast"/>
        </w:trPr>
        <w:tc>
          <w:tcPr>
            <w:tcW w:w="374" w:type="dxa"/>
          </w:tcPr>
          <w:p>
            <w:pPr>
              <w:pStyle w:val="TableParagraph"/>
              <w:spacing w:before="268"/>
              <w:ind w:left="4"/>
              <w:rPr>
                <w:sz w:val="24"/>
              </w:rPr>
            </w:pPr>
            <w:r>
              <w:rPr>
                <w:spacing w:val="-5"/>
                <w:sz w:val="24"/>
              </w:rPr>
              <w:t>3.</w:t>
            </w:r>
          </w:p>
        </w:tc>
        <w:tc>
          <w:tcPr>
            <w:tcW w:w="7290" w:type="dxa"/>
          </w:tcPr>
          <w:p>
            <w:pPr>
              <w:pStyle w:val="TableParagraph"/>
              <w:spacing w:line="271" w:lineRule="exact"/>
              <w:ind w:left="4" w:right="-15"/>
              <w:rPr>
                <w:sz w:val="24"/>
              </w:rPr>
            </w:pPr>
            <w:r>
              <w:rPr>
                <w:sz w:val="24"/>
              </w:rPr>
              <w:t>Проведено</w:t>
            </w:r>
            <w:r>
              <w:rPr>
                <w:spacing w:val="73"/>
                <w:sz w:val="24"/>
              </w:rPr>
              <w:t> </w:t>
            </w:r>
            <w:r>
              <w:rPr>
                <w:sz w:val="24"/>
              </w:rPr>
              <w:t>фотографирование</w:t>
            </w:r>
            <w:r>
              <w:rPr>
                <w:spacing w:val="75"/>
                <w:sz w:val="24"/>
              </w:rPr>
              <w:t> </w:t>
            </w:r>
            <w:r>
              <w:rPr>
                <w:sz w:val="24"/>
              </w:rPr>
              <w:t>полового</w:t>
            </w:r>
            <w:r>
              <w:rPr>
                <w:spacing w:val="75"/>
                <w:sz w:val="24"/>
              </w:rPr>
              <w:t> </w:t>
            </w:r>
            <w:r>
              <w:rPr>
                <w:sz w:val="24"/>
              </w:rPr>
              <w:t>члена</w:t>
            </w:r>
            <w:r>
              <w:rPr>
                <w:spacing w:val="73"/>
                <w:sz w:val="24"/>
              </w:rPr>
              <w:t> </w:t>
            </w:r>
            <w:r>
              <w:rPr>
                <w:sz w:val="24"/>
              </w:rPr>
              <w:t>в</w:t>
            </w:r>
            <w:r>
              <w:rPr>
                <w:spacing w:val="74"/>
                <w:sz w:val="24"/>
              </w:rPr>
              <w:t> </w:t>
            </w:r>
            <w:r>
              <w:rPr>
                <w:sz w:val="24"/>
              </w:rPr>
              <w:t>трех</w:t>
            </w:r>
            <w:r>
              <w:rPr>
                <w:spacing w:val="76"/>
                <w:sz w:val="24"/>
              </w:rPr>
              <w:t> </w:t>
            </w:r>
            <w:r>
              <w:rPr>
                <w:sz w:val="24"/>
              </w:rPr>
              <w:t>проекциях</w:t>
            </w:r>
            <w:r>
              <w:rPr>
                <w:spacing w:val="74"/>
                <w:sz w:val="24"/>
              </w:rPr>
              <w:t> </w:t>
            </w:r>
            <w:r>
              <w:rPr>
                <w:spacing w:val="-10"/>
                <w:sz w:val="24"/>
              </w:rPr>
              <w:t>с</w:t>
            </w:r>
          </w:p>
          <w:p>
            <w:pPr>
              <w:pStyle w:val="TableParagraph"/>
              <w:spacing w:before="137"/>
              <w:ind w:left="4"/>
              <w:rPr>
                <w:sz w:val="24"/>
              </w:rPr>
            </w:pPr>
            <w:r>
              <w:rPr>
                <w:sz w:val="24"/>
              </w:rPr>
              <w:t>целью</w:t>
            </w:r>
            <w:r>
              <w:rPr>
                <w:spacing w:val="-5"/>
                <w:sz w:val="24"/>
              </w:rPr>
              <w:t> </w:t>
            </w:r>
            <w:r>
              <w:rPr>
                <w:sz w:val="24"/>
              </w:rPr>
              <w:t>определения</w:t>
            </w:r>
            <w:r>
              <w:rPr>
                <w:spacing w:val="-6"/>
                <w:sz w:val="24"/>
              </w:rPr>
              <w:t> </w:t>
            </w:r>
            <w:r>
              <w:rPr>
                <w:sz w:val="24"/>
              </w:rPr>
              <w:t>направления</w:t>
            </w:r>
            <w:r>
              <w:rPr>
                <w:spacing w:val="-2"/>
                <w:sz w:val="24"/>
              </w:rPr>
              <w:t> </w:t>
            </w:r>
            <w:r>
              <w:rPr>
                <w:sz w:val="24"/>
              </w:rPr>
              <w:t>и</w:t>
            </w:r>
            <w:r>
              <w:rPr>
                <w:spacing w:val="-3"/>
                <w:sz w:val="24"/>
              </w:rPr>
              <w:t> </w:t>
            </w:r>
            <w:r>
              <w:rPr>
                <w:sz w:val="24"/>
              </w:rPr>
              <w:t>выраженности</w:t>
            </w:r>
            <w:r>
              <w:rPr>
                <w:spacing w:val="-2"/>
                <w:sz w:val="24"/>
              </w:rPr>
              <w:t> деформации.</w:t>
            </w:r>
          </w:p>
        </w:tc>
        <w:tc>
          <w:tcPr>
            <w:tcW w:w="1706" w:type="dxa"/>
          </w:tcPr>
          <w:p>
            <w:pPr>
              <w:pStyle w:val="TableParagraph"/>
              <w:spacing w:line="271" w:lineRule="exact"/>
              <w:ind w:right="299"/>
              <w:jc w:val="right"/>
              <w:rPr>
                <w:sz w:val="24"/>
              </w:rPr>
            </w:pPr>
            <w:r>
              <w:rPr>
                <w:spacing w:val="-2"/>
                <w:sz w:val="24"/>
              </w:rPr>
              <w:t>Да/нет</w:t>
            </w:r>
          </w:p>
        </w:tc>
      </w:tr>
      <w:tr>
        <w:trPr>
          <w:trHeight w:val="827" w:hRule="atLeast"/>
        </w:trPr>
        <w:tc>
          <w:tcPr>
            <w:tcW w:w="374" w:type="dxa"/>
          </w:tcPr>
          <w:p>
            <w:pPr>
              <w:pStyle w:val="TableParagraph"/>
              <w:spacing w:line="268" w:lineRule="exact"/>
              <w:ind w:left="4"/>
              <w:rPr>
                <w:sz w:val="24"/>
              </w:rPr>
            </w:pPr>
            <w:r>
              <w:rPr>
                <w:spacing w:val="-5"/>
                <w:sz w:val="24"/>
              </w:rPr>
              <w:t>4.</w:t>
            </w:r>
          </w:p>
        </w:tc>
        <w:tc>
          <w:tcPr>
            <w:tcW w:w="7290" w:type="dxa"/>
          </w:tcPr>
          <w:p>
            <w:pPr>
              <w:pStyle w:val="TableParagraph"/>
              <w:tabs>
                <w:tab w:pos="1175" w:val="left" w:leader="none"/>
                <w:tab w:pos="2482" w:val="left" w:leader="none"/>
                <w:tab w:pos="3430" w:val="left" w:leader="none"/>
                <w:tab w:pos="3900" w:val="left" w:leader="none"/>
                <w:tab w:pos="5967" w:val="left" w:leader="none"/>
              </w:tabs>
              <w:ind w:left="4" w:right="-15"/>
              <w:rPr>
                <w:sz w:val="24"/>
              </w:rPr>
            </w:pPr>
            <w:r>
              <w:rPr>
                <w:sz w:val="24"/>
              </w:rPr>
              <w:t>При</w:t>
            </w:r>
            <w:r>
              <w:rPr>
                <w:spacing w:val="40"/>
                <w:sz w:val="24"/>
              </w:rPr>
              <w:t> </w:t>
            </w:r>
            <w:r>
              <w:rPr>
                <w:sz w:val="24"/>
              </w:rPr>
              <w:t>наличии</w:t>
            </w:r>
            <w:r>
              <w:rPr>
                <w:spacing w:val="40"/>
                <w:sz w:val="24"/>
              </w:rPr>
              <w:t> </w:t>
            </w:r>
            <w:r>
              <w:rPr>
                <w:sz w:val="24"/>
              </w:rPr>
              <w:t>эректильной</w:t>
            </w:r>
            <w:r>
              <w:rPr>
                <w:spacing w:val="40"/>
                <w:sz w:val="24"/>
              </w:rPr>
              <w:t> </w:t>
            </w:r>
            <w:r>
              <w:rPr>
                <w:sz w:val="24"/>
              </w:rPr>
              <w:t>дисфункции</w:t>
            </w:r>
            <w:r>
              <w:rPr>
                <w:spacing w:val="40"/>
                <w:sz w:val="24"/>
              </w:rPr>
              <w:t> </w:t>
            </w:r>
            <w:r>
              <w:rPr>
                <w:sz w:val="24"/>
              </w:rPr>
              <w:t>выполнена</w:t>
            </w:r>
            <w:r>
              <w:rPr>
                <w:spacing w:val="40"/>
                <w:sz w:val="24"/>
              </w:rPr>
              <w:t> </w:t>
            </w:r>
            <w:r>
              <w:rPr>
                <w:sz w:val="24"/>
              </w:rPr>
              <w:t>допплерография </w:t>
            </w:r>
            <w:r>
              <w:rPr>
                <w:spacing w:val="-2"/>
                <w:sz w:val="24"/>
              </w:rPr>
              <w:t>сосудов</w:t>
            </w:r>
            <w:r>
              <w:rPr>
                <w:sz w:val="24"/>
              </w:rPr>
              <w:tab/>
            </w:r>
            <w:r>
              <w:rPr>
                <w:spacing w:val="-2"/>
                <w:sz w:val="24"/>
              </w:rPr>
              <w:t>полового</w:t>
            </w:r>
            <w:r>
              <w:rPr>
                <w:sz w:val="24"/>
              </w:rPr>
              <w:tab/>
            </w:r>
            <w:r>
              <w:rPr>
                <w:spacing w:val="-2"/>
                <w:sz w:val="24"/>
              </w:rPr>
              <w:t>члена</w:t>
            </w:r>
            <w:r>
              <w:rPr>
                <w:sz w:val="24"/>
              </w:rPr>
              <w:tab/>
            </w:r>
            <w:r>
              <w:rPr>
                <w:spacing w:val="-10"/>
                <w:sz w:val="24"/>
              </w:rPr>
              <w:t>с</w:t>
            </w:r>
            <w:r>
              <w:rPr>
                <w:sz w:val="24"/>
              </w:rPr>
              <w:tab/>
            </w:r>
            <w:r>
              <w:rPr>
                <w:spacing w:val="-2"/>
                <w:sz w:val="24"/>
              </w:rPr>
              <w:t>лекарственными</w:t>
            </w:r>
            <w:r>
              <w:rPr>
                <w:sz w:val="24"/>
              </w:rPr>
              <w:tab/>
            </w:r>
            <w:r>
              <w:rPr>
                <w:spacing w:val="-2"/>
                <w:sz w:val="24"/>
              </w:rPr>
              <w:t>препаратами</w:t>
            </w:r>
          </w:p>
          <w:p>
            <w:pPr>
              <w:pStyle w:val="TableParagraph"/>
              <w:spacing w:line="264" w:lineRule="exact"/>
              <w:ind w:left="4"/>
              <w:rPr>
                <w:sz w:val="24"/>
              </w:rPr>
            </w:pPr>
            <w:r>
              <w:rPr>
                <w:sz w:val="24"/>
              </w:rPr>
              <w:t>(алпростадил</w:t>
            </w:r>
            <w:r>
              <w:rPr>
                <w:spacing w:val="-2"/>
                <w:sz w:val="24"/>
              </w:rPr>
              <w:t> </w:t>
            </w:r>
            <w:r>
              <w:rPr>
                <w:sz w:val="24"/>
              </w:rPr>
              <w:t>)</w:t>
            </w:r>
            <w:r>
              <w:rPr>
                <w:spacing w:val="-2"/>
                <w:sz w:val="24"/>
              </w:rPr>
              <w:t> пробой</w:t>
            </w:r>
          </w:p>
        </w:tc>
        <w:tc>
          <w:tcPr>
            <w:tcW w:w="1706" w:type="dxa"/>
          </w:tcPr>
          <w:p>
            <w:pPr>
              <w:pStyle w:val="TableParagraph"/>
              <w:spacing w:line="270" w:lineRule="exact"/>
              <w:ind w:left="5"/>
              <w:rPr>
                <w:sz w:val="24"/>
              </w:rPr>
            </w:pPr>
            <w:r>
              <w:rPr>
                <w:spacing w:val="-2"/>
                <w:sz w:val="24"/>
              </w:rPr>
              <w:t>Да/нет</w:t>
            </w:r>
          </w:p>
        </w:tc>
      </w:tr>
      <w:tr>
        <w:trPr>
          <w:trHeight w:val="827" w:hRule="atLeast"/>
        </w:trPr>
        <w:tc>
          <w:tcPr>
            <w:tcW w:w="374" w:type="dxa"/>
          </w:tcPr>
          <w:p>
            <w:pPr>
              <w:pStyle w:val="TableParagraph"/>
              <w:spacing w:line="268" w:lineRule="exact"/>
              <w:ind w:left="4"/>
              <w:rPr>
                <w:sz w:val="24"/>
              </w:rPr>
            </w:pPr>
            <w:r>
              <w:rPr>
                <w:spacing w:val="-5"/>
                <w:sz w:val="24"/>
              </w:rPr>
              <w:t>5.</w:t>
            </w:r>
          </w:p>
        </w:tc>
        <w:tc>
          <w:tcPr>
            <w:tcW w:w="7290" w:type="dxa"/>
          </w:tcPr>
          <w:p>
            <w:pPr>
              <w:pStyle w:val="TableParagraph"/>
              <w:tabs>
                <w:tab w:pos="1462" w:val="left" w:leader="none"/>
                <w:tab w:pos="3033" w:val="left" w:leader="none"/>
                <w:tab w:pos="3650" w:val="left" w:leader="none"/>
                <w:tab w:pos="5305" w:val="left" w:leader="none"/>
                <w:tab w:pos="7162" w:val="left" w:leader="none"/>
              </w:tabs>
              <w:ind w:left="4" w:right="-15"/>
              <w:rPr>
                <w:sz w:val="24"/>
              </w:rPr>
            </w:pPr>
            <w:r>
              <w:rPr>
                <w:spacing w:val="-2"/>
                <w:sz w:val="24"/>
              </w:rPr>
              <w:t>Пациентам,</w:t>
            </w:r>
            <w:r>
              <w:rPr>
                <w:sz w:val="24"/>
              </w:rPr>
              <w:tab/>
            </w:r>
            <w:r>
              <w:rPr>
                <w:spacing w:val="-2"/>
                <w:sz w:val="24"/>
              </w:rPr>
              <w:t>подходящим</w:t>
            </w:r>
            <w:r>
              <w:rPr>
                <w:sz w:val="24"/>
              </w:rPr>
              <w:tab/>
            </w:r>
            <w:r>
              <w:rPr>
                <w:spacing w:val="-4"/>
                <w:sz w:val="24"/>
              </w:rPr>
              <w:t>для</w:t>
            </w:r>
            <w:r>
              <w:rPr>
                <w:sz w:val="24"/>
              </w:rPr>
              <w:tab/>
            </w:r>
            <w:r>
              <w:rPr>
                <w:spacing w:val="-2"/>
                <w:sz w:val="24"/>
              </w:rPr>
              <w:t>оперативного</w:t>
            </w:r>
            <w:r>
              <w:rPr>
                <w:sz w:val="24"/>
              </w:rPr>
              <w:tab/>
            </w:r>
            <w:r>
              <w:rPr>
                <w:spacing w:val="-2"/>
                <w:sz w:val="24"/>
              </w:rPr>
              <w:t>вмешательства,</w:t>
            </w:r>
            <w:r>
              <w:rPr>
                <w:sz w:val="24"/>
              </w:rPr>
              <w:tab/>
            </w:r>
            <w:r>
              <w:rPr>
                <w:spacing w:val="-10"/>
                <w:sz w:val="24"/>
              </w:rPr>
              <w:t>в </w:t>
            </w:r>
            <w:r>
              <w:rPr>
                <w:sz w:val="24"/>
              </w:rPr>
              <w:t>стабильную</w:t>
            </w:r>
            <w:r>
              <w:rPr>
                <w:spacing w:val="24"/>
                <w:sz w:val="24"/>
              </w:rPr>
              <w:t> </w:t>
            </w:r>
            <w:r>
              <w:rPr>
                <w:sz w:val="24"/>
              </w:rPr>
              <w:t>фазу</w:t>
            </w:r>
            <w:r>
              <w:rPr>
                <w:spacing w:val="22"/>
                <w:sz w:val="24"/>
              </w:rPr>
              <w:t> </w:t>
            </w:r>
            <w:r>
              <w:rPr>
                <w:sz w:val="24"/>
              </w:rPr>
              <w:t>заболевания</w:t>
            </w:r>
            <w:r>
              <w:rPr>
                <w:spacing w:val="26"/>
                <w:sz w:val="24"/>
              </w:rPr>
              <w:t> </w:t>
            </w:r>
            <w:r>
              <w:rPr>
                <w:sz w:val="24"/>
              </w:rPr>
              <w:t>предложено</w:t>
            </w:r>
            <w:r>
              <w:rPr>
                <w:spacing w:val="27"/>
                <w:sz w:val="24"/>
              </w:rPr>
              <w:t> </w:t>
            </w:r>
            <w:r>
              <w:rPr>
                <w:sz w:val="24"/>
              </w:rPr>
              <w:t>выполнение</w:t>
            </w:r>
            <w:r>
              <w:rPr>
                <w:spacing w:val="25"/>
                <w:sz w:val="24"/>
              </w:rPr>
              <w:t> </w:t>
            </w:r>
            <w:r>
              <w:rPr>
                <w:spacing w:val="-2"/>
                <w:sz w:val="24"/>
              </w:rPr>
              <w:t>оперативного</w:t>
            </w:r>
          </w:p>
          <w:p>
            <w:pPr>
              <w:pStyle w:val="TableParagraph"/>
              <w:spacing w:line="264" w:lineRule="exact"/>
              <w:ind w:left="4"/>
              <w:rPr>
                <w:sz w:val="24"/>
              </w:rPr>
            </w:pPr>
            <w:r>
              <w:rPr>
                <w:spacing w:val="-2"/>
                <w:sz w:val="24"/>
              </w:rPr>
              <w:t>вмешательства</w:t>
            </w:r>
          </w:p>
        </w:tc>
        <w:tc>
          <w:tcPr>
            <w:tcW w:w="1706" w:type="dxa"/>
          </w:tcPr>
          <w:p>
            <w:pPr>
              <w:pStyle w:val="TableParagraph"/>
              <w:spacing w:line="270" w:lineRule="exact"/>
              <w:ind w:right="299"/>
              <w:jc w:val="right"/>
              <w:rPr>
                <w:sz w:val="24"/>
              </w:rPr>
            </w:pPr>
            <w:r>
              <w:rPr>
                <w:spacing w:val="-2"/>
                <w:sz w:val="24"/>
              </w:rPr>
              <w:t>Да/нет</w:t>
            </w:r>
          </w:p>
        </w:tc>
      </w:tr>
    </w:tbl>
    <w:p>
      <w:pPr>
        <w:pStyle w:val="BodyText"/>
        <w:spacing w:before="179"/>
        <w:ind w:left="0"/>
        <w:jc w:val="left"/>
        <w:rPr>
          <w:b/>
          <w:sz w:val="28"/>
        </w:rPr>
      </w:pPr>
    </w:p>
    <w:p>
      <w:pPr>
        <w:spacing w:before="0"/>
        <w:ind w:left="621" w:right="2" w:firstLine="0"/>
        <w:jc w:val="center"/>
        <w:rPr>
          <w:b/>
          <w:sz w:val="28"/>
        </w:rPr>
      </w:pPr>
      <w:bookmarkStart w:name="_bookmark24" w:id="25"/>
      <w:bookmarkEnd w:id="25"/>
      <w:r>
        <w:rPr/>
      </w:r>
      <w:r>
        <w:rPr>
          <w:b/>
          <w:sz w:val="28"/>
        </w:rPr>
        <w:t>Список</w:t>
      </w:r>
      <w:r>
        <w:rPr>
          <w:b/>
          <w:spacing w:val="-4"/>
          <w:sz w:val="28"/>
        </w:rPr>
        <w:t> </w:t>
      </w:r>
      <w:r>
        <w:rPr>
          <w:b/>
          <w:spacing w:val="-2"/>
          <w:sz w:val="28"/>
        </w:rPr>
        <w:t>литературы</w:t>
      </w:r>
    </w:p>
    <w:p>
      <w:pPr>
        <w:pStyle w:val="BodyText"/>
        <w:spacing w:before="66"/>
        <w:ind w:left="0"/>
        <w:jc w:val="left"/>
        <w:rPr>
          <w:b/>
          <w:sz w:val="28"/>
        </w:rPr>
      </w:pPr>
    </w:p>
    <w:p>
      <w:pPr>
        <w:pStyle w:val="ListParagraph"/>
        <w:numPr>
          <w:ilvl w:val="0"/>
          <w:numId w:val="4"/>
        </w:numPr>
        <w:tabs>
          <w:tab w:pos="740" w:val="left" w:leader="none"/>
        </w:tabs>
        <w:spacing w:line="240" w:lineRule="auto" w:before="0" w:after="0"/>
        <w:ind w:left="740" w:right="0" w:hanging="640"/>
        <w:jc w:val="both"/>
        <w:rPr>
          <w:sz w:val="24"/>
        </w:rPr>
      </w:pPr>
      <w:bookmarkStart w:name="_bookmark25" w:id="26"/>
      <w:bookmarkEnd w:id="26"/>
      <w:r>
        <w:rPr/>
      </w:r>
      <w:r>
        <w:rPr>
          <w:sz w:val="24"/>
        </w:rPr>
        <w:t>Devine</w:t>
      </w:r>
      <w:r>
        <w:rPr>
          <w:spacing w:val="-1"/>
          <w:sz w:val="24"/>
        </w:rPr>
        <w:t> </w:t>
      </w:r>
      <w:r>
        <w:rPr>
          <w:sz w:val="24"/>
        </w:rPr>
        <w:t>CJ</w:t>
      </w:r>
      <w:r>
        <w:rPr>
          <w:spacing w:val="-1"/>
          <w:sz w:val="24"/>
        </w:rPr>
        <w:t> </w:t>
      </w:r>
      <w:r>
        <w:rPr>
          <w:sz w:val="24"/>
        </w:rPr>
        <w:t>Jr,</w:t>
      </w:r>
      <w:r>
        <w:rPr>
          <w:spacing w:val="-1"/>
          <w:sz w:val="24"/>
        </w:rPr>
        <w:t> </w:t>
      </w:r>
      <w:r>
        <w:rPr>
          <w:sz w:val="24"/>
        </w:rPr>
        <w:t>Horton</w:t>
      </w:r>
      <w:r>
        <w:rPr>
          <w:spacing w:val="-1"/>
          <w:sz w:val="24"/>
        </w:rPr>
        <w:t> </w:t>
      </w:r>
      <w:r>
        <w:rPr>
          <w:sz w:val="24"/>
        </w:rPr>
        <w:t>CE.</w:t>
      </w:r>
      <w:r>
        <w:rPr>
          <w:spacing w:val="-1"/>
          <w:sz w:val="24"/>
        </w:rPr>
        <w:t> </w:t>
      </w:r>
      <w:r>
        <w:rPr>
          <w:sz w:val="24"/>
        </w:rPr>
        <w:t>Peyronie’s</w:t>
      </w:r>
      <w:r>
        <w:rPr>
          <w:spacing w:val="-2"/>
          <w:sz w:val="24"/>
        </w:rPr>
        <w:t> </w:t>
      </w:r>
      <w:r>
        <w:rPr>
          <w:sz w:val="24"/>
        </w:rPr>
        <w:t>disease.</w:t>
      </w:r>
      <w:r>
        <w:rPr>
          <w:spacing w:val="-1"/>
          <w:sz w:val="24"/>
        </w:rPr>
        <w:t> </w:t>
      </w:r>
      <w:r>
        <w:rPr>
          <w:sz w:val="24"/>
        </w:rPr>
        <w:t>Clin</w:t>
      </w:r>
      <w:r>
        <w:rPr>
          <w:spacing w:val="-1"/>
          <w:sz w:val="24"/>
        </w:rPr>
        <w:t> </w:t>
      </w:r>
      <w:r>
        <w:rPr>
          <w:sz w:val="24"/>
        </w:rPr>
        <w:t>Plast</w:t>
      </w:r>
      <w:r>
        <w:rPr>
          <w:spacing w:val="-1"/>
          <w:sz w:val="24"/>
        </w:rPr>
        <w:t> </w:t>
      </w:r>
      <w:r>
        <w:rPr>
          <w:sz w:val="24"/>
        </w:rPr>
        <w:t>Surg</w:t>
      </w:r>
      <w:r>
        <w:rPr>
          <w:spacing w:val="-3"/>
          <w:sz w:val="24"/>
        </w:rPr>
        <w:t> </w:t>
      </w:r>
      <w:r>
        <w:rPr>
          <w:spacing w:val="-2"/>
          <w:sz w:val="24"/>
        </w:rPr>
        <w:t>1988;15:405–9.</w:t>
      </w:r>
    </w:p>
    <w:p>
      <w:pPr>
        <w:pStyle w:val="ListParagraph"/>
        <w:numPr>
          <w:ilvl w:val="0"/>
          <w:numId w:val="4"/>
        </w:numPr>
        <w:tabs>
          <w:tab w:pos="740" w:val="left" w:leader="none"/>
          <w:tab w:pos="742" w:val="left" w:leader="none"/>
        </w:tabs>
        <w:spacing w:line="360" w:lineRule="auto" w:before="137" w:after="0"/>
        <w:ind w:left="742" w:right="825" w:hanging="642"/>
        <w:jc w:val="both"/>
        <w:rPr>
          <w:sz w:val="24"/>
        </w:rPr>
      </w:pPr>
      <w:r>
        <w:rPr>
          <w:sz w:val="24"/>
        </w:rPr>
        <w:t>Nachtsheim DA, Rearden A. Peyronie’s Disease is Associated with an HLA Class II Antigen, HLA-DQ5, Implying an Autoimmune Etiology. Journal of Urology 1996;156:1330–4. </w:t>
      </w:r>
      <w:r>
        <w:rPr>
          <w:spacing w:val="-2"/>
          <w:sz w:val="24"/>
        </w:rPr>
        <w:t>https://doi.org/10.1016/S0022-5347(01)65579-4.</w:t>
      </w:r>
    </w:p>
    <w:p>
      <w:pPr>
        <w:pStyle w:val="ListParagraph"/>
        <w:numPr>
          <w:ilvl w:val="0"/>
          <w:numId w:val="4"/>
        </w:numPr>
        <w:tabs>
          <w:tab w:pos="740" w:val="left" w:leader="none"/>
          <w:tab w:pos="742" w:val="left" w:leader="none"/>
        </w:tabs>
        <w:spacing w:line="360" w:lineRule="auto" w:before="1" w:after="0"/>
        <w:ind w:left="742" w:right="824" w:hanging="642"/>
        <w:jc w:val="both"/>
        <w:rPr>
          <w:sz w:val="24"/>
        </w:rPr>
      </w:pPr>
      <w:r>
        <w:rPr>
          <w:sz w:val="24"/>
        </w:rPr>
        <w:t>Jarow JP, Lowe FC. Penile Trauma: an Etiologic Factor In Peyronie’s Disease and Erectile Dysfunction. Journal of Urology 1997;158:1388–90. https://doi.org/10.1016/S0022- </w:t>
      </w:r>
      <w:r>
        <w:rPr>
          <w:spacing w:val="-2"/>
          <w:sz w:val="24"/>
        </w:rPr>
        <w:t>5347(01)64222-8.</w:t>
      </w:r>
    </w:p>
    <w:p>
      <w:pPr>
        <w:pStyle w:val="ListParagraph"/>
        <w:numPr>
          <w:ilvl w:val="0"/>
          <w:numId w:val="4"/>
        </w:numPr>
        <w:tabs>
          <w:tab w:pos="740" w:val="left" w:leader="none"/>
          <w:tab w:pos="742" w:val="left" w:leader="none"/>
        </w:tabs>
        <w:spacing w:line="360" w:lineRule="auto" w:before="0" w:after="0"/>
        <w:ind w:left="742" w:right="824" w:hanging="642"/>
        <w:jc w:val="both"/>
        <w:rPr>
          <w:sz w:val="24"/>
        </w:rPr>
      </w:pPr>
      <w:r>
        <w:rPr>
          <w:sz w:val="24"/>
        </w:rPr>
        <w:t>Furey CA. Peyronie’s Disease: Treatment by the Local Injection of Meticortelone and Hydrocortisone. Journal of Urology 1957;77:251–66. https://doi.org/10.1016/S0022- </w:t>
      </w:r>
      <w:r>
        <w:rPr>
          <w:spacing w:val="-2"/>
          <w:sz w:val="24"/>
        </w:rPr>
        <w:t>5347(17)66550-9.</w:t>
      </w:r>
    </w:p>
    <w:p>
      <w:pPr>
        <w:pStyle w:val="ListParagraph"/>
        <w:numPr>
          <w:ilvl w:val="0"/>
          <w:numId w:val="4"/>
        </w:numPr>
        <w:tabs>
          <w:tab w:pos="740" w:val="left" w:leader="none"/>
          <w:tab w:pos="742" w:val="left" w:leader="none"/>
        </w:tabs>
        <w:spacing w:line="360" w:lineRule="auto" w:before="0" w:after="0"/>
        <w:ind w:left="742" w:right="827" w:hanging="642"/>
        <w:jc w:val="both"/>
        <w:rPr>
          <w:sz w:val="24"/>
        </w:rPr>
      </w:pPr>
      <w:r>
        <w:rPr>
          <w:sz w:val="24"/>
        </w:rPr>
        <w:t>Devine CJJr, Somers KD, Jordan GH, Schlossberg SM. Proposal: Trauma as the Cause of the Peyronie’s Lesion. Journal of Urology 1997;157:285–90. https://doi.org/10.1016/S0022- </w:t>
      </w:r>
      <w:r>
        <w:rPr>
          <w:spacing w:val="-2"/>
          <w:sz w:val="24"/>
        </w:rPr>
        <w:t>5347(01)65361-8.</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Bjekic MD, Vlajinac HD, Sipetic SB, Marinkovic JM. Risk factors for Peyronie’s disease: a case‐control study. BJU Int 2006;97:570–4. https://doi.org/10.1111/j.1464-410X.2006.05969.x.</w:t>
      </w:r>
    </w:p>
    <w:p>
      <w:pPr>
        <w:pStyle w:val="ListParagraph"/>
        <w:numPr>
          <w:ilvl w:val="0"/>
          <w:numId w:val="4"/>
        </w:numPr>
        <w:tabs>
          <w:tab w:pos="740" w:val="left" w:leader="none"/>
          <w:tab w:pos="742" w:val="left" w:leader="none"/>
        </w:tabs>
        <w:spacing w:line="360" w:lineRule="auto" w:before="0" w:after="0"/>
        <w:ind w:left="742" w:right="834" w:hanging="642"/>
        <w:jc w:val="both"/>
        <w:rPr>
          <w:sz w:val="24"/>
        </w:rPr>
      </w:pPr>
      <w:r>
        <w:rPr>
          <w:sz w:val="24"/>
        </w:rPr>
        <w:t>Tal R, Hall MS, Alex B, Choi J, Mulhall JP. Peyronie’s Disease in Teenagers. J Sex Med 2012;9:302–8. https://doi.org/10.1111/j.1743-6109.2011.02502.x.</w:t>
      </w:r>
    </w:p>
    <w:p>
      <w:pPr>
        <w:spacing w:after="0" w:line="360" w:lineRule="auto"/>
        <w:jc w:val="both"/>
        <w:rPr>
          <w:sz w:val="24"/>
        </w:rPr>
        <w:sectPr>
          <w:type w:val="continuous"/>
          <w:pgSz w:w="11910" w:h="16840"/>
          <w:pgMar w:header="0" w:footer="867" w:top="1720" w:bottom="1060" w:left="960" w:right="20"/>
        </w:sectPr>
      </w:pPr>
    </w:p>
    <w:p>
      <w:pPr>
        <w:pStyle w:val="ListParagraph"/>
        <w:numPr>
          <w:ilvl w:val="0"/>
          <w:numId w:val="4"/>
        </w:numPr>
        <w:tabs>
          <w:tab w:pos="740" w:val="left" w:leader="none"/>
          <w:tab w:pos="742" w:val="left" w:leader="none"/>
        </w:tabs>
        <w:spacing w:line="360" w:lineRule="auto" w:before="70" w:after="0"/>
        <w:ind w:left="742" w:right="825" w:hanging="642"/>
        <w:jc w:val="both"/>
        <w:rPr>
          <w:sz w:val="24"/>
        </w:rPr>
      </w:pPr>
      <w:r>
        <w:rPr>
          <w:sz w:val="24"/>
        </w:rPr>
        <w:t>Taylor FL, Levine LA. Peyronie’s Disease. Urologic Clinics of North America 2007;34:517–34. </w:t>
      </w:r>
      <w:r>
        <w:rPr>
          <w:spacing w:val="-2"/>
          <w:sz w:val="24"/>
        </w:rPr>
        <w:t>https://doi.org/10.1016/j.ucl.2007.08.017.</w:t>
      </w:r>
    </w:p>
    <w:p>
      <w:pPr>
        <w:pStyle w:val="ListParagraph"/>
        <w:numPr>
          <w:ilvl w:val="0"/>
          <w:numId w:val="4"/>
        </w:numPr>
        <w:tabs>
          <w:tab w:pos="740" w:val="left" w:leader="none"/>
          <w:tab w:pos="742" w:val="left" w:leader="none"/>
        </w:tabs>
        <w:spacing w:line="360" w:lineRule="auto" w:before="1" w:after="0"/>
        <w:ind w:left="742" w:right="825" w:hanging="642"/>
        <w:jc w:val="both"/>
        <w:rPr>
          <w:sz w:val="24"/>
        </w:rPr>
      </w:pPr>
      <w:r>
        <w:rPr>
          <w:sz w:val="24"/>
        </w:rPr>
        <w:t>Ralph DJ, Minhas S. The management of Peyronie’s disease. BJU Int 2004;93:208–15. </w:t>
      </w:r>
      <w:r>
        <w:rPr>
          <w:spacing w:val="-2"/>
          <w:sz w:val="24"/>
        </w:rPr>
        <w:t>https://doi.org/10.1111/j.1464-410X.2004.04587.x.</w:t>
      </w:r>
    </w:p>
    <w:p>
      <w:pPr>
        <w:pStyle w:val="ListParagraph"/>
        <w:numPr>
          <w:ilvl w:val="0"/>
          <w:numId w:val="4"/>
        </w:numPr>
        <w:tabs>
          <w:tab w:pos="740" w:val="left" w:leader="none"/>
          <w:tab w:pos="742" w:val="left" w:leader="none"/>
        </w:tabs>
        <w:spacing w:line="360" w:lineRule="auto" w:before="0" w:after="0"/>
        <w:ind w:left="742" w:right="837" w:hanging="642"/>
        <w:jc w:val="both"/>
        <w:rPr>
          <w:sz w:val="24"/>
        </w:rPr>
      </w:pPr>
      <w:r>
        <w:rPr>
          <w:sz w:val="24"/>
        </w:rPr>
        <w:t>C J Devine Jr, K D Somers, L E Ladaga. Peyronie’s disease: pathophysiology. Prog Clin Biol Res 1991:355–8.</w:t>
      </w:r>
    </w:p>
    <w:p>
      <w:pPr>
        <w:pStyle w:val="ListParagraph"/>
        <w:numPr>
          <w:ilvl w:val="0"/>
          <w:numId w:val="4"/>
        </w:numPr>
        <w:tabs>
          <w:tab w:pos="740" w:val="left" w:leader="none"/>
          <w:tab w:pos="742" w:val="left" w:leader="none"/>
        </w:tabs>
        <w:spacing w:line="360" w:lineRule="auto" w:before="0" w:after="0"/>
        <w:ind w:left="742" w:right="834" w:hanging="642"/>
        <w:jc w:val="both"/>
        <w:rPr>
          <w:sz w:val="24"/>
        </w:rPr>
      </w:pPr>
      <w:r>
        <w:rPr>
          <w:sz w:val="24"/>
        </w:rPr>
        <w:t>Mulhall JP. Expanding the paradigm for plaque development in Peyronie’s disease. Int J Impot Res 2003;15:S93–102. https://doi.org/10.1038/sj.ijir.3901082.</w:t>
      </w:r>
    </w:p>
    <w:p>
      <w:pPr>
        <w:pStyle w:val="ListParagraph"/>
        <w:numPr>
          <w:ilvl w:val="0"/>
          <w:numId w:val="4"/>
        </w:numPr>
        <w:tabs>
          <w:tab w:pos="740" w:val="left" w:leader="none"/>
          <w:tab w:pos="742" w:val="left" w:leader="none"/>
        </w:tabs>
        <w:spacing w:line="360" w:lineRule="auto" w:before="0" w:after="0"/>
        <w:ind w:left="742" w:right="769" w:hanging="642"/>
        <w:jc w:val="both"/>
        <w:rPr>
          <w:sz w:val="24"/>
        </w:rPr>
      </w:pPr>
      <w:r>
        <w:rPr>
          <w:sz w:val="24"/>
        </w:rPr>
        <w:t>Mitsui Y, Yamabe F, Hori S, Uetani M, Kobayashi H, Nagao K, et al. Molecular Mechanisms</w:t>
      </w:r>
      <w:r>
        <w:rPr>
          <w:spacing w:val="40"/>
          <w:sz w:val="24"/>
        </w:rPr>
        <w:t> </w:t>
      </w:r>
      <w:r>
        <w:rPr>
          <w:sz w:val="24"/>
        </w:rPr>
        <w:t>and</w:t>
      </w:r>
      <w:r>
        <w:rPr>
          <w:spacing w:val="-3"/>
          <w:sz w:val="24"/>
        </w:rPr>
        <w:t> </w:t>
      </w:r>
      <w:r>
        <w:rPr>
          <w:sz w:val="24"/>
        </w:rPr>
        <w:t>Risk</w:t>
      </w:r>
      <w:r>
        <w:rPr>
          <w:spacing w:val="-3"/>
          <w:sz w:val="24"/>
        </w:rPr>
        <w:t> </w:t>
      </w:r>
      <w:r>
        <w:rPr>
          <w:sz w:val="24"/>
        </w:rPr>
        <w:t>Factors</w:t>
      </w:r>
      <w:r>
        <w:rPr>
          <w:spacing w:val="-4"/>
          <w:sz w:val="24"/>
        </w:rPr>
        <w:t> </w:t>
      </w:r>
      <w:r>
        <w:rPr>
          <w:sz w:val="24"/>
        </w:rPr>
        <w:t>Related</w:t>
      </w:r>
      <w:r>
        <w:rPr>
          <w:spacing w:val="-1"/>
          <w:sz w:val="24"/>
        </w:rPr>
        <w:t> </w:t>
      </w:r>
      <w:r>
        <w:rPr>
          <w:sz w:val="24"/>
        </w:rPr>
        <w:t>to</w:t>
      </w:r>
      <w:r>
        <w:rPr>
          <w:spacing w:val="-3"/>
          <w:sz w:val="24"/>
        </w:rPr>
        <w:t> </w:t>
      </w:r>
      <w:r>
        <w:rPr>
          <w:sz w:val="24"/>
        </w:rPr>
        <w:t>the</w:t>
      </w:r>
      <w:r>
        <w:rPr>
          <w:spacing w:val="-4"/>
          <w:sz w:val="24"/>
        </w:rPr>
        <w:t> </w:t>
      </w:r>
      <w:r>
        <w:rPr>
          <w:sz w:val="24"/>
        </w:rPr>
        <w:t>Pathogenesis</w:t>
      </w:r>
      <w:r>
        <w:rPr>
          <w:spacing w:val="-3"/>
          <w:sz w:val="24"/>
        </w:rPr>
        <w:t> </w:t>
      </w:r>
      <w:r>
        <w:rPr>
          <w:sz w:val="24"/>
        </w:rPr>
        <w:t>of</w:t>
      </w:r>
      <w:r>
        <w:rPr>
          <w:spacing w:val="-3"/>
          <w:sz w:val="24"/>
        </w:rPr>
        <w:t> </w:t>
      </w:r>
      <w:r>
        <w:rPr>
          <w:sz w:val="24"/>
        </w:rPr>
        <w:t>Peyronie’s</w:t>
      </w:r>
      <w:r>
        <w:rPr>
          <w:spacing w:val="-4"/>
          <w:sz w:val="24"/>
        </w:rPr>
        <w:t> </w:t>
      </w:r>
      <w:r>
        <w:rPr>
          <w:sz w:val="24"/>
        </w:rPr>
        <w:t>Disease. Int</w:t>
      </w:r>
      <w:r>
        <w:rPr>
          <w:spacing w:val="-3"/>
          <w:sz w:val="24"/>
        </w:rPr>
        <w:t> </w:t>
      </w:r>
      <w:r>
        <w:rPr>
          <w:sz w:val="24"/>
        </w:rPr>
        <w:t>J</w:t>
      </w:r>
      <w:r>
        <w:rPr>
          <w:spacing w:val="-3"/>
          <w:sz w:val="24"/>
        </w:rPr>
        <w:t> </w:t>
      </w:r>
      <w:r>
        <w:rPr>
          <w:sz w:val="24"/>
        </w:rPr>
        <w:t>Mol</w:t>
      </w:r>
      <w:r>
        <w:rPr>
          <w:spacing w:val="-3"/>
          <w:sz w:val="24"/>
        </w:rPr>
        <w:t> </w:t>
      </w:r>
      <w:r>
        <w:rPr>
          <w:sz w:val="24"/>
        </w:rPr>
        <w:t>Sci</w:t>
      </w:r>
      <w:r>
        <w:rPr>
          <w:spacing w:val="-3"/>
          <w:sz w:val="24"/>
        </w:rPr>
        <w:t> </w:t>
      </w:r>
      <w:r>
        <w:rPr>
          <w:sz w:val="24"/>
        </w:rPr>
        <w:t>2023;24:10133. </w:t>
      </w:r>
      <w:r>
        <w:rPr>
          <w:spacing w:val="-2"/>
          <w:sz w:val="24"/>
        </w:rPr>
        <w:t>https://doi.org/10.3390/ijms241210133.</w:t>
      </w:r>
    </w:p>
    <w:p>
      <w:pPr>
        <w:pStyle w:val="ListParagraph"/>
        <w:numPr>
          <w:ilvl w:val="0"/>
          <w:numId w:val="4"/>
        </w:numPr>
        <w:tabs>
          <w:tab w:pos="740" w:val="left" w:leader="none"/>
          <w:tab w:pos="742" w:val="left" w:leader="none"/>
        </w:tabs>
        <w:spacing w:line="360" w:lineRule="auto" w:before="0" w:after="0"/>
        <w:ind w:left="742" w:right="834" w:hanging="642"/>
        <w:jc w:val="both"/>
        <w:rPr>
          <w:sz w:val="24"/>
        </w:rPr>
      </w:pPr>
      <w:r>
        <w:rPr>
          <w:sz w:val="24"/>
        </w:rPr>
        <w:t>Sharma KL, Alom M, Trost L. The Etiology of Peyronie’s Disease: Pathogenesis and Genetic Contributions. Sex Med Rev 2020;8:314–23. https://doi.org/10.1016/j.sxmr.2019.06.004.</w:t>
      </w:r>
    </w:p>
    <w:p>
      <w:pPr>
        <w:pStyle w:val="ListParagraph"/>
        <w:numPr>
          <w:ilvl w:val="0"/>
          <w:numId w:val="4"/>
        </w:numPr>
        <w:tabs>
          <w:tab w:pos="740" w:val="left" w:leader="none"/>
          <w:tab w:pos="742" w:val="left" w:leader="none"/>
        </w:tabs>
        <w:spacing w:line="360" w:lineRule="auto" w:before="0" w:after="0"/>
        <w:ind w:left="742" w:right="828" w:hanging="642"/>
        <w:jc w:val="both"/>
        <w:rPr>
          <w:sz w:val="24"/>
        </w:rPr>
      </w:pPr>
      <w:r>
        <w:rPr>
          <w:sz w:val="24"/>
        </w:rPr>
        <w:t>Brock G, Hsu G-L, Nunes L, von Heyden B, Lue TF. The Anatomy of the Tunica Albuginea in the Normal Penis and Peyronie’s Disease. Journal of Urology 1997;157:276–81. </w:t>
      </w:r>
      <w:r>
        <w:rPr>
          <w:spacing w:val="-2"/>
          <w:sz w:val="24"/>
        </w:rPr>
        <w:t>https://doi.org/10.1016/S0022-5347(01)65359-X.</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Pryor JP,</w:t>
      </w:r>
      <w:r>
        <w:rPr>
          <w:spacing w:val="-1"/>
          <w:sz w:val="24"/>
        </w:rPr>
        <w:t> </w:t>
      </w:r>
      <w:r>
        <w:rPr>
          <w:sz w:val="24"/>
        </w:rPr>
        <w:t>Ralph</w:t>
      </w:r>
      <w:r>
        <w:rPr>
          <w:spacing w:val="-1"/>
          <w:sz w:val="24"/>
        </w:rPr>
        <w:t> </w:t>
      </w:r>
      <w:r>
        <w:rPr>
          <w:sz w:val="24"/>
        </w:rPr>
        <w:t>DJ.</w:t>
      </w:r>
      <w:r>
        <w:rPr>
          <w:spacing w:val="-1"/>
          <w:sz w:val="24"/>
        </w:rPr>
        <w:t> </w:t>
      </w:r>
      <w:r>
        <w:rPr>
          <w:sz w:val="24"/>
        </w:rPr>
        <w:t>Clinical</w:t>
      </w:r>
      <w:r>
        <w:rPr>
          <w:spacing w:val="-1"/>
          <w:sz w:val="24"/>
        </w:rPr>
        <w:t> </w:t>
      </w:r>
      <w:r>
        <w:rPr>
          <w:sz w:val="24"/>
        </w:rPr>
        <w:t>presentations</w:t>
      </w:r>
      <w:r>
        <w:rPr>
          <w:spacing w:val="-1"/>
          <w:sz w:val="24"/>
        </w:rPr>
        <w:t> </w:t>
      </w:r>
      <w:r>
        <w:rPr>
          <w:sz w:val="24"/>
        </w:rPr>
        <w:t>of Peyronie’s</w:t>
      </w:r>
      <w:r>
        <w:rPr>
          <w:spacing w:val="-1"/>
          <w:sz w:val="24"/>
        </w:rPr>
        <w:t> </w:t>
      </w:r>
      <w:r>
        <w:rPr>
          <w:sz w:val="24"/>
        </w:rPr>
        <w:t>disease. Int J Impot Res</w:t>
      </w:r>
      <w:r>
        <w:rPr>
          <w:spacing w:val="-1"/>
          <w:sz w:val="24"/>
        </w:rPr>
        <w:t> </w:t>
      </w:r>
      <w:r>
        <w:rPr>
          <w:sz w:val="24"/>
        </w:rPr>
        <w:t>2002;14:414–7. </w:t>
      </w:r>
      <w:r>
        <w:rPr>
          <w:spacing w:val="-2"/>
          <w:sz w:val="24"/>
        </w:rPr>
        <w:t>https://doi.org/10.1038/sj.ijir.3900877.</w:t>
      </w:r>
    </w:p>
    <w:p>
      <w:pPr>
        <w:pStyle w:val="ListParagraph"/>
        <w:numPr>
          <w:ilvl w:val="0"/>
          <w:numId w:val="4"/>
        </w:numPr>
        <w:tabs>
          <w:tab w:pos="740" w:val="left" w:leader="none"/>
          <w:tab w:pos="742" w:val="left" w:leader="none"/>
        </w:tabs>
        <w:spacing w:line="360" w:lineRule="auto" w:before="0" w:after="0"/>
        <w:ind w:left="742" w:right="824" w:hanging="642"/>
        <w:jc w:val="both"/>
        <w:rPr>
          <w:sz w:val="24"/>
        </w:rPr>
      </w:pPr>
      <w:r>
        <w:rPr>
          <w:sz w:val="24"/>
        </w:rPr>
        <w:t>Протощак, А. А. Сиваков, Н. П. Кушниренко и соавт. Атипичная форма болезни Пейрони у</w:t>
      </w:r>
      <w:r>
        <w:rPr>
          <w:spacing w:val="-4"/>
          <w:sz w:val="24"/>
        </w:rPr>
        <w:t> </w:t>
      </w:r>
      <w:r>
        <w:rPr>
          <w:sz w:val="24"/>
        </w:rPr>
        <w:t>военнослужащего молодого</w:t>
      </w:r>
      <w:r>
        <w:rPr>
          <w:spacing w:val="-1"/>
          <w:sz w:val="24"/>
        </w:rPr>
        <w:t> </w:t>
      </w:r>
      <w:r>
        <w:rPr>
          <w:sz w:val="24"/>
        </w:rPr>
        <w:t>возраста</w:t>
      </w:r>
      <w:r>
        <w:rPr>
          <w:spacing w:val="-2"/>
          <w:sz w:val="24"/>
        </w:rPr>
        <w:t> </w:t>
      </w:r>
      <w:r>
        <w:rPr>
          <w:sz w:val="24"/>
        </w:rPr>
        <w:t>/ В.</w:t>
      </w:r>
      <w:r>
        <w:rPr>
          <w:spacing w:val="-1"/>
          <w:sz w:val="24"/>
        </w:rPr>
        <w:t> </w:t>
      </w:r>
      <w:r>
        <w:rPr>
          <w:sz w:val="24"/>
        </w:rPr>
        <w:t>В.</w:t>
      </w:r>
      <w:r>
        <w:rPr>
          <w:spacing w:val="40"/>
          <w:sz w:val="24"/>
        </w:rPr>
        <w:t> </w:t>
      </w:r>
      <w:r>
        <w:rPr>
          <w:sz w:val="24"/>
        </w:rPr>
        <w:t>//</w:t>
      </w:r>
      <w:r>
        <w:rPr>
          <w:spacing w:val="-1"/>
          <w:sz w:val="24"/>
        </w:rPr>
        <w:t> </w:t>
      </w:r>
      <w:r>
        <w:rPr>
          <w:sz w:val="24"/>
        </w:rPr>
        <w:t>Военно-медицинский журнал. –</w:t>
      </w:r>
      <w:r>
        <w:rPr>
          <w:spacing w:val="-1"/>
          <w:sz w:val="24"/>
        </w:rPr>
        <w:t> </w:t>
      </w:r>
      <w:r>
        <w:rPr>
          <w:sz w:val="24"/>
        </w:rPr>
        <w:t>2022.</w:t>
      </w:r>
      <w:r>
        <w:rPr>
          <w:spacing w:val="-1"/>
          <w:sz w:val="24"/>
        </w:rPr>
        <w:t> </w:t>
      </w:r>
      <w:r>
        <w:rPr>
          <w:sz w:val="24"/>
        </w:rPr>
        <w:t>– Т. 343, № 11. – С. 69-71. – DOI 10.52424/00269050_2022_343_11_69.</w:t>
      </w:r>
    </w:p>
    <w:p>
      <w:pPr>
        <w:pStyle w:val="ListParagraph"/>
        <w:numPr>
          <w:ilvl w:val="0"/>
          <w:numId w:val="4"/>
        </w:numPr>
        <w:tabs>
          <w:tab w:pos="740" w:val="left" w:leader="none"/>
          <w:tab w:pos="742" w:val="left" w:leader="none"/>
        </w:tabs>
        <w:spacing w:line="360" w:lineRule="auto" w:before="0" w:after="0"/>
        <w:ind w:left="742" w:right="828" w:hanging="642"/>
        <w:jc w:val="both"/>
        <w:rPr>
          <w:sz w:val="24"/>
        </w:rPr>
      </w:pPr>
      <w:r>
        <w:rPr>
          <w:sz w:val="24"/>
        </w:rPr>
        <w:t>Schwarzer U, Sommer F, Klotz T, Braun M, Reifenrath B, Engelmann U. The prevalence of Peyronie’s disease: results of a large survey. BJU Int 2001;88:727–30. </w:t>
      </w:r>
      <w:r>
        <w:rPr>
          <w:spacing w:val="-2"/>
          <w:sz w:val="24"/>
        </w:rPr>
        <w:t>https://doi.org/10.1046/j.1464-4096.2001.02436.x.</w:t>
      </w:r>
    </w:p>
    <w:p>
      <w:pPr>
        <w:pStyle w:val="ListParagraph"/>
        <w:numPr>
          <w:ilvl w:val="0"/>
          <w:numId w:val="4"/>
        </w:numPr>
        <w:tabs>
          <w:tab w:pos="740" w:val="left" w:leader="none"/>
          <w:tab w:pos="742" w:val="left" w:leader="none"/>
          <w:tab w:pos="2224" w:val="left" w:leader="none"/>
          <w:tab w:pos="4063" w:val="left" w:leader="none"/>
          <w:tab w:pos="5630" w:val="left" w:leader="none"/>
          <w:tab w:pos="6686" w:val="left" w:leader="none"/>
          <w:tab w:pos="8343" w:val="left" w:leader="none"/>
        </w:tabs>
        <w:spacing w:line="360" w:lineRule="auto" w:before="0" w:after="0"/>
        <w:ind w:left="742" w:right="823" w:hanging="642"/>
        <w:jc w:val="both"/>
        <w:rPr>
          <w:sz w:val="24"/>
        </w:rPr>
      </w:pPr>
      <w:r>
        <w:rPr>
          <w:sz w:val="24"/>
        </w:rPr>
        <w:t>Mulhall JP, Creech SD, Boorjian SA, Ghaly S, Kim ED, Moty</w:t>
      </w:r>
      <w:r>
        <w:rPr>
          <w:spacing w:val="-2"/>
          <w:sz w:val="24"/>
        </w:rPr>
        <w:t> </w:t>
      </w:r>
      <w:r>
        <w:rPr>
          <w:sz w:val="24"/>
        </w:rPr>
        <w:t>A, et al. </w:t>
      </w:r>
      <w:r>
        <w:rPr>
          <w:color w:val="202020"/>
          <w:sz w:val="24"/>
        </w:rPr>
        <w:t>Subjective and objective analysis of the prevalence of Peyronie's disease in a population of men presenting for prostate </w:t>
      </w:r>
      <w:r>
        <w:rPr>
          <w:color w:val="202020"/>
          <w:spacing w:val="-2"/>
          <w:sz w:val="24"/>
        </w:rPr>
        <w:t>cancer</w:t>
      </w:r>
      <w:r>
        <w:rPr>
          <w:color w:val="202020"/>
          <w:sz w:val="24"/>
        </w:rPr>
        <w:tab/>
      </w:r>
      <w:r>
        <w:rPr>
          <w:color w:val="202020"/>
          <w:spacing w:val="-2"/>
          <w:sz w:val="24"/>
        </w:rPr>
        <w:t>screening</w:t>
      </w:r>
      <w:r>
        <w:rPr>
          <w:spacing w:val="-2"/>
          <w:sz w:val="24"/>
        </w:rPr>
        <w:t>.</w:t>
      </w:r>
      <w:r>
        <w:rPr>
          <w:sz w:val="24"/>
        </w:rPr>
        <w:tab/>
      </w:r>
      <w:r>
        <w:rPr>
          <w:spacing w:val="-2"/>
          <w:sz w:val="24"/>
        </w:rPr>
        <w:t>Journal</w:t>
      </w:r>
      <w:r>
        <w:rPr>
          <w:sz w:val="24"/>
        </w:rPr>
        <w:tab/>
      </w:r>
      <w:r>
        <w:rPr>
          <w:spacing w:val="-6"/>
          <w:sz w:val="24"/>
        </w:rPr>
        <w:t>of</w:t>
      </w:r>
      <w:r>
        <w:rPr>
          <w:sz w:val="24"/>
        </w:rPr>
        <w:tab/>
      </w:r>
      <w:r>
        <w:rPr>
          <w:spacing w:val="-2"/>
          <w:sz w:val="24"/>
        </w:rPr>
        <w:t>Urology</w:t>
      </w:r>
      <w:r>
        <w:rPr>
          <w:sz w:val="24"/>
        </w:rPr>
        <w:tab/>
      </w:r>
      <w:r>
        <w:rPr>
          <w:spacing w:val="-2"/>
          <w:sz w:val="24"/>
        </w:rPr>
        <w:t>2004;171:2350–3. https://doi.org/10.1097/01.ju.0000127744.18878.f1.</w:t>
      </w:r>
    </w:p>
    <w:p>
      <w:pPr>
        <w:pStyle w:val="ListParagraph"/>
        <w:numPr>
          <w:ilvl w:val="0"/>
          <w:numId w:val="4"/>
        </w:numPr>
        <w:tabs>
          <w:tab w:pos="740" w:val="left" w:leader="none"/>
          <w:tab w:pos="742" w:val="left" w:leader="none"/>
        </w:tabs>
        <w:spacing w:line="360" w:lineRule="auto" w:before="0" w:after="0"/>
        <w:ind w:left="742" w:right="832" w:hanging="642"/>
        <w:jc w:val="both"/>
        <w:rPr>
          <w:sz w:val="24"/>
        </w:rPr>
      </w:pPr>
      <w:r>
        <w:rPr>
          <w:sz w:val="24"/>
        </w:rPr>
        <w:t>La Pera G, Pescatori ES, Calabrese M, Boffini A, Colombo F, Andriani E, et al. Peyronie&amp;amp;rsquo;s Disease: Prevalence and Association with Cigarette Smoking. Eur Urol 2001;40:525–30. https://doi.org/10.1159/000049830.</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Arafa M, Eid H, El-Badry A, Ezz-Eldine K, Shamloul R. The prevalence of Peyronie’s disease</w:t>
      </w:r>
      <w:r>
        <w:rPr>
          <w:spacing w:val="80"/>
          <w:sz w:val="24"/>
        </w:rPr>
        <w:t> </w:t>
      </w:r>
      <w:r>
        <w:rPr>
          <w:sz w:val="24"/>
        </w:rPr>
        <w:t>in diabetic patients with erectile dysfunction. Int J Impot Res 2007;19:213–7. </w:t>
      </w:r>
      <w:r>
        <w:rPr>
          <w:spacing w:val="-2"/>
          <w:sz w:val="24"/>
        </w:rPr>
        <w:t>https://doi.org/10.1038/sj.ijir.3901518.</w:t>
      </w:r>
    </w:p>
    <w:p>
      <w:pPr>
        <w:spacing w:after="0" w:line="360" w:lineRule="auto"/>
        <w:jc w:val="both"/>
        <w:rPr>
          <w:sz w:val="24"/>
        </w:rPr>
        <w:sectPr>
          <w:pgSz w:w="11910" w:h="16840"/>
          <w:pgMar w:header="0" w:footer="867" w:top="1660" w:bottom="1060" w:left="960" w:right="20"/>
        </w:sectPr>
      </w:pPr>
    </w:p>
    <w:p>
      <w:pPr>
        <w:pStyle w:val="ListParagraph"/>
        <w:numPr>
          <w:ilvl w:val="0"/>
          <w:numId w:val="4"/>
        </w:numPr>
        <w:tabs>
          <w:tab w:pos="740" w:val="left" w:leader="none"/>
          <w:tab w:pos="742" w:val="left" w:leader="none"/>
        </w:tabs>
        <w:spacing w:line="360" w:lineRule="auto" w:before="70" w:after="0"/>
        <w:ind w:left="742" w:right="827" w:hanging="642"/>
        <w:jc w:val="both"/>
        <w:rPr>
          <w:sz w:val="24"/>
        </w:rPr>
      </w:pPr>
      <w:r>
        <w:rPr>
          <w:sz w:val="24"/>
        </w:rPr>
        <w:t>Stuntz M, Perlaky A, des Vignes F, Kyriakides T, Glass D. The Prevalence of Peyronie’s</w:t>
      </w:r>
      <w:r>
        <w:rPr>
          <w:spacing w:val="40"/>
          <w:sz w:val="24"/>
        </w:rPr>
        <w:t> </w:t>
      </w:r>
      <w:r>
        <w:rPr>
          <w:sz w:val="24"/>
        </w:rPr>
        <w:t>Disease in the United States: A Population-Based Study. PLoS One 2016;11:e0150157. </w:t>
      </w:r>
      <w:r>
        <w:rPr>
          <w:spacing w:val="-2"/>
          <w:sz w:val="24"/>
        </w:rPr>
        <w:t>https://doi.org/10.1371/journal.pone.0150157.</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Chung E, Ralph D, Kagioglu A, Garaffa G, Shamsodini A, Bivalacqua T, et al. Evidence-Based Management Guidelines on Peyronie’s Disease. J Sex Med 2016;13:905–23. </w:t>
      </w:r>
      <w:r>
        <w:rPr>
          <w:spacing w:val="-2"/>
          <w:sz w:val="24"/>
        </w:rPr>
        <w:t>https://doi.org/10.1016/j.jsxm.2016.04.062.</w:t>
      </w:r>
    </w:p>
    <w:p>
      <w:pPr>
        <w:pStyle w:val="ListParagraph"/>
        <w:numPr>
          <w:ilvl w:val="0"/>
          <w:numId w:val="4"/>
        </w:numPr>
        <w:tabs>
          <w:tab w:pos="740" w:val="left" w:leader="none"/>
          <w:tab w:pos="742" w:val="left" w:leader="none"/>
        </w:tabs>
        <w:spacing w:line="360" w:lineRule="auto" w:before="0" w:after="0"/>
        <w:ind w:left="742" w:right="826" w:hanging="642"/>
        <w:jc w:val="both"/>
        <w:rPr>
          <w:sz w:val="24"/>
        </w:rPr>
      </w:pPr>
      <w:r>
        <w:rPr>
          <w:sz w:val="24"/>
        </w:rPr>
        <w:t>Kadioglu A, Sanli O, Akman T, Canguven O, Aydin M, Akbulut F, et al. Factors Affecting the Degree of Penile Deformity in Peyronie Disease: An Analysis of 1001 Patients. J Androl 2011;32:502–8. https://doi.org/10.2164/jandrol.110.011031.</w:t>
      </w:r>
    </w:p>
    <w:p>
      <w:pPr>
        <w:pStyle w:val="ListParagraph"/>
        <w:numPr>
          <w:ilvl w:val="0"/>
          <w:numId w:val="4"/>
        </w:numPr>
        <w:tabs>
          <w:tab w:pos="740" w:val="left" w:leader="none"/>
          <w:tab w:pos="742" w:val="left" w:leader="none"/>
        </w:tabs>
        <w:spacing w:line="360" w:lineRule="auto" w:before="0" w:after="0"/>
        <w:ind w:left="742" w:right="835" w:hanging="642"/>
        <w:jc w:val="both"/>
        <w:rPr>
          <w:sz w:val="24"/>
        </w:rPr>
      </w:pPr>
      <w:r>
        <w:rPr>
          <w:sz w:val="24"/>
        </w:rPr>
        <w:t>Mulhall JP, Schiff J, Guhring P. An Analysis of the Natural History of Peyronie’s Disease. Journal of Urology 2006;175:2115–8. https://doi.org/10.1016/S0022-5347(06)00270-9.</w:t>
      </w:r>
    </w:p>
    <w:p>
      <w:pPr>
        <w:pStyle w:val="ListParagraph"/>
        <w:numPr>
          <w:ilvl w:val="0"/>
          <w:numId w:val="4"/>
        </w:numPr>
        <w:tabs>
          <w:tab w:pos="740" w:val="left" w:leader="none"/>
          <w:tab w:pos="742" w:val="left" w:leader="none"/>
        </w:tabs>
        <w:spacing w:line="360" w:lineRule="auto" w:before="0" w:after="0"/>
        <w:ind w:left="742" w:right="823" w:hanging="642"/>
        <w:jc w:val="both"/>
        <w:rPr>
          <w:sz w:val="24"/>
        </w:rPr>
      </w:pPr>
      <w:r>
        <w:rPr>
          <w:sz w:val="24"/>
        </w:rPr>
        <w:t>Liguori G, Salonia A, Garaffa G, Chiriacò G, Pavan N, Cavallini G, et al. Objective measurements of the penile angulation are significantly different than self-estimated magnitude among patients with penile curvature. International Braz j Urol 2018;44:555–62. </w:t>
      </w:r>
      <w:r>
        <w:rPr>
          <w:spacing w:val="-2"/>
          <w:sz w:val="24"/>
        </w:rPr>
        <w:t>https://doi.org/10.1590/s1677-5538.ibju.2017.0418.</w:t>
      </w:r>
    </w:p>
    <w:p>
      <w:pPr>
        <w:pStyle w:val="ListParagraph"/>
        <w:numPr>
          <w:ilvl w:val="0"/>
          <w:numId w:val="4"/>
        </w:numPr>
        <w:tabs>
          <w:tab w:pos="740" w:val="left" w:leader="none"/>
          <w:tab w:pos="742" w:val="left" w:leader="none"/>
        </w:tabs>
        <w:spacing w:line="360" w:lineRule="auto" w:before="1" w:after="0"/>
        <w:ind w:left="742" w:right="831" w:hanging="642"/>
        <w:jc w:val="both"/>
        <w:rPr>
          <w:sz w:val="24"/>
        </w:rPr>
      </w:pPr>
      <w:r>
        <w:rPr>
          <w:sz w:val="24"/>
        </w:rPr>
        <w:t>Hellstrom WJG, Feldman R, Rosen RC, Smith T, Kaufman G, Tursi J. Bother and Distress Associated with Peyronie’s Disease: Validation of</w:t>
      </w:r>
      <w:r>
        <w:rPr>
          <w:spacing w:val="-1"/>
          <w:sz w:val="24"/>
        </w:rPr>
        <w:t> </w:t>
      </w:r>
      <w:r>
        <w:rPr>
          <w:sz w:val="24"/>
        </w:rPr>
        <w:t>the Peyronie’s Disease Questionnaire. Journal of Urology 2013;190:627–34. https://doi.org/10.1016/j.juro.2013.01.090.</w:t>
      </w:r>
    </w:p>
    <w:p>
      <w:pPr>
        <w:pStyle w:val="ListParagraph"/>
        <w:numPr>
          <w:ilvl w:val="0"/>
          <w:numId w:val="4"/>
        </w:numPr>
        <w:tabs>
          <w:tab w:pos="740" w:val="left" w:leader="none"/>
          <w:tab w:pos="742" w:val="left" w:leader="none"/>
        </w:tabs>
        <w:spacing w:line="360" w:lineRule="auto" w:before="0" w:after="0"/>
        <w:ind w:left="742" w:right="837" w:hanging="642"/>
        <w:jc w:val="both"/>
        <w:rPr>
          <w:sz w:val="24"/>
        </w:rPr>
      </w:pPr>
      <w:r>
        <w:rPr>
          <w:sz w:val="24"/>
        </w:rPr>
        <w:t>Habous M, Muir</w:t>
      </w:r>
      <w:r>
        <w:rPr>
          <w:spacing w:val="-1"/>
          <w:sz w:val="24"/>
        </w:rPr>
        <w:t> </w:t>
      </w:r>
      <w:r>
        <w:rPr>
          <w:sz w:val="24"/>
        </w:rPr>
        <w:t>G,</w:t>
      </w:r>
      <w:r>
        <w:rPr>
          <w:spacing w:val="-1"/>
          <w:sz w:val="24"/>
        </w:rPr>
        <w:t> </w:t>
      </w:r>
      <w:r>
        <w:rPr>
          <w:sz w:val="24"/>
        </w:rPr>
        <w:t>Soliman</w:t>
      </w:r>
      <w:r>
        <w:rPr>
          <w:spacing w:val="-1"/>
          <w:sz w:val="24"/>
        </w:rPr>
        <w:t> </w:t>
      </w:r>
      <w:r>
        <w:rPr>
          <w:sz w:val="24"/>
        </w:rPr>
        <w:t>T,</w:t>
      </w:r>
      <w:r>
        <w:rPr>
          <w:spacing w:val="-1"/>
          <w:sz w:val="24"/>
        </w:rPr>
        <w:t> </w:t>
      </w:r>
      <w:r>
        <w:rPr>
          <w:sz w:val="24"/>
        </w:rPr>
        <w:t>Farag</w:t>
      </w:r>
      <w:r>
        <w:rPr>
          <w:spacing w:val="-3"/>
          <w:sz w:val="24"/>
        </w:rPr>
        <w:t> </w:t>
      </w:r>
      <w:r>
        <w:rPr>
          <w:sz w:val="24"/>
        </w:rPr>
        <w:t>M, Williamson B, Binsaleh S, et al. Outcomes</w:t>
      </w:r>
      <w:r>
        <w:rPr>
          <w:spacing w:val="-1"/>
          <w:sz w:val="24"/>
        </w:rPr>
        <w:t> </w:t>
      </w:r>
      <w:r>
        <w:rPr>
          <w:sz w:val="24"/>
        </w:rPr>
        <w:t>of</w:t>
      </w:r>
      <w:r>
        <w:rPr>
          <w:spacing w:val="-1"/>
          <w:sz w:val="24"/>
        </w:rPr>
        <w:t> </w:t>
      </w:r>
      <w:r>
        <w:rPr>
          <w:sz w:val="24"/>
        </w:rPr>
        <w:t>variation in</w:t>
      </w:r>
      <w:r>
        <w:rPr>
          <w:spacing w:val="-1"/>
          <w:sz w:val="24"/>
        </w:rPr>
        <w:t> </w:t>
      </w:r>
      <w:r>
        <w:rPr>
          <w:sz w:val="24"/>
        </w:rPr>
        <w:t>technique</w:t>
      </w:r>
      <w:r>
        <w:rPr>
          <w:spacing w:val="-2"/>
          <w:sz w:val="24"/>
        </w:rPr>
        <w:t> </w:t>
      </w:r>
      <w:r>
        <w:rPr>
          <w:sz w:val="24"/>
        </w:rPr>
        <w:t>and</w:t>
      </w:r>
      <w:r>
        <w:rPr>
          <w:spacing w:val="-1"/>
          <w:sz w:val="24"/>
        </w:rPr>
        <w:t> </w:t>
      </w:r>
      <w:r>
        <w:rPr>
          <w:sz w:val="24"/>
        </w:rPr>
        <w:t>variation</w:t>
      </w:r>
      <w:r>
        <w:rPr>
          <w:spacing w:val="-1"/>
          <w:sz w:val="24"/>
        </w:rPr>
        <w:t> </w:t>
      </w:r>
      <w:r>
        <w:rPr>
          <w:sz w:val="24"/>
        </w:rPr>
        <w:t>in</w:t>
      </w:r>
      <w:r>
        <w:rPr>
          <w:spacing w:val="-1"/>
          <w:sz w:val="24"/>
        </w:rPr>
        <w:t> </w:t>
      </w:r>
      <w:r>
        <w:rPr>
          <w:sz w:val="24"/>
        </w:rPr>
        <w:t>accuracy</w:t>
      </w:r>
      <w:r>
        <w:rPr>
          <w:spacing w:val="-6"/>
          <w:sz w:val="24"/>
        </w:rPr>
        <w:t> </w:t>
      </w:r>
      <w:r>
        <w:rPr>
          <w:sz w:val="24"/>
        </w:rPr>
        <w:t>of</w:t>
      </w:r>
      <w:r>
        <w:rPr>
          <w:spacing w:val="-2"/>
          <w:sz w:val="24"/>
        </w:rPr>
        <w:t> </w:t>
      </w:r>
      <w:r>
        <w:rPr>
          <w:sz w:val="24"/>
        </w:rPr>
        <w:t>measurement</w:t>
      </w:r>
      <w:r>
        <w:rPr>
          <w:spacing w:val="-1"/>
          <w:sz w:val="24"/>
        </w:rPr>
        <w:t> </w:t>
      </w:r>
      <w:r>
        <w:rPr>
          <w:sz w:val="24"/>
        </w:rPr>
        <w:t>in</w:t>
      </w:r>
      <w:r>
        <w:rPr>
          <w:spacing w:val="-1"/>
          <w:sz w:val="24"/>
        </w:rPr>
        <w:t> </w:t>
      </w:r>
      <w:r>
        <w:rPr>
          <w:sz w:val="24"/>
        </w:rPr>
        <w:t>penile</w:t>
      </w:r>
      <w:r>
        <w:rPr>
          <w:spacing w:val="-2"/>
          <w:sz w:val="24"/>
        </w:rPr>
        <w:t> </w:t>
      </w:r>
      <w:r>
        <w:rPr>
          <w:sz w:val="24"/>
        </w:rPr>
        <w:t>length</w:t>
      </w:r>
      <w:r>
        <w:rPr>
          <w:spacing w:val="-1"/>
          <w:sz w:val="24"/>
        </w:rPr>
        <w:t> </w:t>
      </w:r>
      <w:r>
        <w:rPr>
          <w:sz w:val="24"/>
        </w:rPr>
        <w:t>measurement. Int</w:t>
      </w:r>
      <w:r>
        <w:rPr>
          <w:spacing w:val="-1"/>
          <w:sz w:val="24"/>
        </w:rPr>
        <w:t> </w:t>
      </w:r>
      <w:r>
        <w:rPr>
          <w:sz w:val="24"/>
        </w:rPr>
        <w:t>J Impot Res 2018;30:21–6. https://doi.org/10.1038/s41443-017-0013-3.</w:t>
      </w:r>
    </w:p>
    <w:p>
      <w:pPr>
        <w:pStyle w:val="ListParagraph"/>
        <w:numPr>
          <w:ilvl w:val="0"/>
          <w:numId w:val="4"/>
        </w:numPr>
        <w:tabs>
          <w:tab w:pos="740" w:val="left" w:leader="none"/>
          <w:tab w:pos="742" w:val="left" w:leader="none"/>
        </w:tabs>
        <w:spacing w:line="360" w:lineRule="auto" w:before="0" w:after="0"/>
        <w:ind w:left="742" w:right="829" w:hanging="642"/>
        <w:jc w:val="both"/>
        <w:rPr>
          <w:sz w:val="24"/>
        </w:rPr>
      </w:pPr>
      <w:r>
        <w:rPr>
          <w:sz w:val="24"/>
        </w:rPr>
        <w:t>Greenfield JM, Lucas S, Levine LA. Factors Affecting the Loss of Length Associated With Tunica Albuginea Plication for Correction of Penile Curvature. Journal of Urology 2006;175:238–41. https://doi.org/10.1016/S0022-5347(05)00063-7.</w:t>
      </w:r>
    </w:p>
    <w:p>
      <w:pPr>
        <w:pStyle w:val="ListParagraph"/>
        <w:numPr>
          <w:ilvl w:val="0"/>
          <w:numId w:val="4"/>
        </w:numPr>
        <w:tabs>
          <w:tab w:pos="740" w:val="left" w:leader="none"/>
          <w:tab w:pos="742" w:val="left" w:leader="none"/>
        </w:tabs>
        <w:spacing w:line="360" w:lineRule="auto" w:before="0" w:after="0"/>
        <w:ind w:left="742" w:right="836" w:hanging="642"/>
        <w:jc w:val="both"/>
        <w:rPr>
          <w:sz w:val="24"/>
        </w:rPr>
      </w:pPr>
      <w:r>
        <w:rPr>
          <w:sz w:val="24"/>
        </w:rPr>
        <w:t>Levine, L., Greenfield, J. Establishing a standardized evaluation of the man with Peyronie's disease. Int J Impot Res 15 (Suppl 5), S103–S112 (2003). https://doi.org/10.1038/sj.ijir.3901083</w:t>
      </w:r>
    </w:p>
    <w:p>
      <w:pPr>
        <w:pStyle w:val="ListParagraph"/>
        <w:numPr>
          <w:ilvl w:val="0"/>
          <w:numId w:val="4"/>
        </w:numPr>
        <w:tabs>
          <w:tab w:pos="740" w:val="left" w:leader="none"/>
          <w:tab w:pos="742" w:val="left" w:leader="none"/>
        </w:tabs>
        <w:spacing w:line="360" w:lineRule="auto" w:before="0" w:after="0"/>
        <w:ind w:left="742" w:right="827" w:hanging="642"/>
        <w:jc w:val="both"/>
        <w:rPr>
          <w:sz w:val="24"/>
        </w:rPr>
      </w:pPr>
      <w:r>
        <w:rPr>
          <w:sz w:val="24"/>
        </w:rPr>
        <w:t>Özmez A, Ortac M, Cevik G, Akdere H, Bakır B, Kadıoğlu A. The Effectiveness of 3-D Computed Tomography in the Evaluation of Penile Deformities in Patients With Peyronie’s Disease: A Pilot Study. Sex Med 2019;7:311–7. https://doi.org/10.1016/j.esxm.2019.06.009.</w:t>
      </w:r>
    </w:p>
    <w:p>
      <w:pPr>
        <w:pStyle w:val="ListParagraph"/>
        <w:numPr>
          <w:ilvl w:val="0"/>
          <w:numId w:val="4"/>
        </w:numPr>
        <w:tabs>
          <w:tab w:pos="740" w:val="left" w:leader="none"/>
        </w:tabs>
        <w:spacing w:line="240" w:lineRule="auto" w:before="1" w:after="0"/>
        <w:ind w:left="740" w:right="0" w:hanging="640"/>
        <w:jc w:val="both"/>
        <w:rPr>
          <w:sz w:val="24"/>
        </w:rPr>
      </w:pPr>
      <w:r>
        <w:rPr>
          <w:sz w:val="24"/>
        </w:rPr>
        <w:t>Trama</w:t>
      </w:r>
      <w:r>
        <w:rPr>
          <w:spacing w:val="7"/>
          <w:sz w:val="24"/>
        </w:rPr>
        <w:t> </w:t>
      </w:r>
      <w:r>
        <w:rPr>
          <w:sz w:val="24"/>
        </w:rPr>
        <w:t>F,</w:t>
      </w:r>
      <w:r>
        <w:rPr>
          <w:spacing w:val="8"/>
          <w:sz w:val="24"/>
        </w:rPr>
        <w:t> </w:t>
      </w:r>
      <w:r>
        <w:rPr>
          <w:sz w:val="24"/>
        </w:rPr>
        <w:t>Illiano</w:t>
      </w:r>
      <w:r>
        <w:rPr>
          <w:spacing w:val="5"/>
          <w:sz w:val="24"/>
        </w:rPr>
        <w:t> </w:t>
      </w:r>
      <w:r>
        <w:rPr>
          <w:sz w:val="24"/>
        </w:rPr>
        <w:t>E,</w:t>
      </w:r>
      <w:r>
        <w:rPr>
          <w:spacing w:val="7"/>
          <w:sz w:val="24"/>
        </w:rPr>
        <w:t> </w:t>
      </w:r>
      <w:r>
        <w:rPr>
          <w:sz w:val="24"/>
        </w:rPr>
        <w:t>Iacono</w:t>
      </w:r>
      <w:r>
        <w:rPr>
          <w:spacing w:val="5"/>
          <w:sz w:val="24"/>
        </w:rPr>
        <w:t> </w:t>
      </w:r>
      <w:r>
        <w:rPr>
          <w:sz w:val="24"/>
        </w:rPr>
        <w:t>F,</w:t>
      </w:r>
      <w:r>
        <w:rPr>
          <w:spacing w:val="5"/>
          <w:sz w:val="24"/>
        </w:rPr>
        <w:t> </w:t>
      </w:r>
      <w:r>
        <w:rPr>
          <w:sz w:val="24"/>
        </w:rPr>
        <w:t>Ruffo</w:t>
      </w:r>
      <w:r>
        <w:rPr>
          <w:spacing w:val="4"/>
          <w:sz w:val="24"/>
        </w:rPr>
        <w:t> </w:t>
      </w:r>
      <w:r>
        <w:rPr>
          <w:sz w:val="24"/>
        </w:rPr>
        <w:t>A,</w:t>
      </w:r>
      <w:r>
        <w:rPr>
          <w:spacing w:val="5"/>
          <w:sz w:val="24"/>
        </w:rPr>
        <w:t> </w:t>
      </w:r>
      <w:r>
        <w:rPr>
          <w:sz w:val="24"/>
        </w:rPr>
        <w:t>di</w:t>
      </w:r>
      <w:r>
        <w:rPr>
          <w:spacing w:val="8"/>
          <w:sz w:val="24"/>
        </w:rPr>
        <w:t> </w:t>
      </w:r>
      <w:r>
        <w:rPr>
          <w:sz w:val="24"/>
        </w:rPr>
        <w:t>Lauro</w:t>
      </w:r>
      <w:r>
        <w:rPr>
          <w:spacing w:val="4"/>
          <w:sz w:val="24"/>
        </w:rPr>
        <w:t> </w:t>
      </w:r>
      <w:r>
        <w:rPr>
          <w:sz w:val="24"/>
        </w:rPr>
        <w:t>G,</w:t>
      </w:r>
      <w:r>
        <w:rPr>
          <w:spacing w:val="5"/>
          <w:sz w:val="24"/>
        </w:rPr>
        <w:t> </w:t>
      </w:r>
      <w:r>
        <w:rPr>
          <w:sz w:val="24"/>
        </w:rPr>
        <w:t>Aveta</w:t>
      </w:r>
      <w:r>
        <w:rPr>
          <w:spacing w:val="5"/>
          <w:sz w:val="24"/>
        </w:rPr>
        <w:t> </w:t>
      </w:r>
      <w:r>
        <w:rPr>
          <w:sz w:val="24"/>
        </w:rPr>
        <w:t>A,</w:t>
      </w:r>
      <w:r>
        <w:rPr>
          <w:spacing w:val="5"/>
          <w:sz w:val="24"/>
        </w:rPr>
        <w:t> </w:t>
      </w:r>
      <w:r>
        <w:rPr>
          <w:sz w:val="24"/>
        </w:rPr>
        <w:t>Crocetto</w:t>
      </w:r>
      <w:r>
        <w:rPr>
          <w:spacing w:val="4"/>
          <w:sz w:val="24"/>
        </w:rPr>
        <w:t> </w:t>
      </w:r>
      <w:r>
        <w:rPr>
          <w:sz w:val="24"/>
        </w:rPr>
        <w:t>F,</w:t>
      </w:r>
      <w:r>
        <w:rPr>
          <w:spacing w:val="5"/>
          <w:sz w:val="24"/>
        </w:rPr>
        <w:t> </w:t>
      </w:r>
      <w:r>
        <w:rPr>
          <w:sz w:val="24"/>
        </w:rPr>
        <w:t>Manfredi</w:t>
      </w:r>
      <w:r>
        <w:rPr>
          <w:spacing w:val="6"/>
          <w:sz w:val="24"/>
        </w:rPr>
        <w:t> </w:t>
      </w:r>
      <w:r>
        <w:rPr>
          <w:sz w:val="24"/>
        </w:rPr>
        <w:t>C,</w:t>
      </w:r>
      <w:r>
        <w:rPr>
          <w:spacing w:val="5"/>
          <w:sz w:val="24"/>
        </w:rPr>
        <w:t> </w:t>
      </w:r>
      <w:r>
        <w:rPr>
          <w:spacing w:val="-2"/>
          <w:sz w:val="24"/>
        </w:rPr>
        <w:t>Costantini</w:t>
      </w:r>
    </w:p>
    <w:p>
      <w:pPr>
        <w:pStyle w:val="BodyText"/>
        <w:spacing w:line="360" w:lineRule="auto" w:before="137"/>
        <w:ind w:right="824"/>
      </w:pPr>
      <w:r>
        <w:rPr/>
        <w:t>E. Use of penile shear wave elastosonography for the diagnosis of Peyronie's Disease: a prospective case-control study. Basic Clin Androl. 2022 Aug 16;32(1):15. doi: 10.1186/s12610- </w:t>
      </w:r>
      <w:r>
        <w:rPr>
          <w:spacing w:val="-2"/>
        </w:rPr>
        <w:t>022-00164-w.</w:t>
      </w:r>
    </w:p>
    <w:p>
      <w:pPr>
        <w:spacing w:after="0" w:line="360" w:lineRule="auto"/>
        <w:sectPr>
          <w:pgSz w:w="11910" w:h="16840"/>
          <w:pgMar w:header="0" w:footer="867" w:top="1660" w:bottom="1060" w:left="960" w:right="20"/>
        </w:sectPr>
      </w:pPr>
    </w:p>
    <w:p>
      <w:pPr>
        <w:pStyle w:val="ListParagraph"/>
        <w:numPr>
          <w:ilvl w:val="0"/>
          <w:numId w:val="4"/>
        </w:numPr>
        <w:tabs>
          <w:tab w:pos="740" w:val="left" w:leader="none"/>
          <w:tab w:pos="742" w:val="left" w:leader="none"/>
        </w:tabs>
        <w:spacing w:line="360" w:lineRule="auto" w:before="70" w:after="0"/>
        <w:ind w:left="742" w:right="836" w:hanging="642"/>
        <w:jc w:val="both"/>
        <w:rPr>
          <w:sz w:val="24"/>
        </w:rPr>
      </w:pPr>
      <w:r>
        <w:rPr>
          <w:sz w:val="24"/>
        </w:rPr>
        <w:t>McCauley JF, Dean RC. Diagnostic utility of penile ultrasound in Peyronie’s disease. World J Urol 2020;38:263–8. https://doi.org/10.1007/s00345-019-02928-y.</w:t>
      </w:r>
    </w:p>
    <w:p>
      <w:pPr>
        <w:pStyle w:val="ListParagraph"/>
        <w:numPr>
          <w:ilvl w:val="0"/>
          <w:numId w:val="4"/>
        </w:numPr>
        <w:tabs>
          <w:tab w:pos="740" w:val="left" w:leader="none"/>
          <w:tab w:pos="742" w:val="left" w:leader="none"/>
        </w:tabs>
        <w:spacing w:line="360" w:lineRule="auto" w:before="1" w:after="0"/>
        <w:ind w:left="742" w:right="828" w:hanging="642"/>
        <w:jc w:val="both"/>
        <w:rPr>
          <w:sz w:val="24"/>
        </w:rPr>
      </w:pPr>
      <w:r>
        <w:rPr>
          <w:sz w:val="24"/>
        </w:rPr>
        <w:t>Rosenberg JE, Ergun O, Hwang EC, Risk MC, Jung JH, Edwards ME, et al. Non-surgical therapies for Peyronie’s disease. Cochrane Database of Systematic Reviews 2023;2023. </w:t>
      </w:r>
      <w:r>
        <w:rPr>
          <w:spacing w:val="-2"/>
          <w:sz w:val="24"/>
        </w:rPr>
        <w:t>https://doi.org/10.1002/14651858.CD012206.pub2.</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Spirito L, Manfredi C, La Rocca R, Napolitano L, Di Girolamo A, Capece M, et al. Daily low- dose tadalafil may reduce the penile curvature progression rate in patients with acute Peyronie’s disease: a retrospective comparative analysis. Int J Impot Res 2024;36:129–34. </w:t>
      </w:r>
      <w:r>
        <w:rPr>
          <w:spacing w:val="-2"/>
          <w:sz w:val="24"/>
        </w:rPr>
        <w:t>https://doi.org/10.1038/s41443-022-00651-8.</w:t>
      </w:r>
    </w:p>
    <w:p>
      <w:pPr>
        <w:pStyle w:val="ListParagraph"/>
        <w:numPr>
          <w:ilvl w:val="0"/>
          <w:numId w:val="4"/>
        </w:numPr>
        <w:tabs>
          <w:tab w:pos="740" w:val="left" w:leader="none"/>
          <w:tab w:pos="742" w:val="left" w:leader="none"/>
        </w:tabs>
        <w:spacing w:line="360" w:lineRule="auto" w:before="0" w:after="0"/>
        <w:ind w:left="742" w:right="828" w:hanging="642"/>
        <w:jc w:val="both"/>
        <w:rPr>
          <w:sz w:val="24"/>
        </w:rPr>
      </w:pPr>
      <w:r>
        <w:rPr>
          <w:sz w:val="24"/>
        </w:rPr>
        <w:t>Ozturk U, Yesil S, Goktug HNG, Gucuk A, Tuygun C, Sener NC, et al. Effects of sildenafil treatment on patients with Peyronie’s disease and erectile dysfunction. Irish Journal of Medical Science (1971 -) 2014;183:449–53. https://doi.org/10.1007/s11845-013-1036-5.</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Chung E, DeYoung L, Brock GB. The Role of PDE5 Inhibitors in Penile Septal Scar Remodeling: Assessment of Clinical and Radiological Outcomes. J Sex Med 2011;8:1472–7. </w:t>
      </w:r>
      <w:r>
        <w:rPr>
          <w:spacing w:val="-2"/>
          <w:sz w:val="24"/>
        </w:rPr>
        <w:t>https://doi.org/10.1111/j.1743-6109.2011.02217.x.</w:t>
      </w:r>
    </w:p>
    <w:p>
      <w:pPr>
        <w:pStyle w:val="ListParagraph"/>
        <w:numPr>
          <w:ilvl w:val="0"/>
          <w:numId w:val="4"/>
        </w:numPr>
        <w:tabs>
          <w:tab w:pos="740" w:val="left" w:leader="none"/>
          <w:tab w:pos="742" w:val="left" w:leader="none"/>
        </w:tabs>
        <w:spacing w:line="360" w:lineRule="auto" w:before="0" w:after="0"/>
        <w:ind w:left="742" w:right="823" w:hanging="642"/>
        <w:jc w:val="both"/>
        <w:rPr>
          <w:sz w:val="24"/>
        </w:rPr>
      </w:pPr>
      <w:r>
        <w:rPr>
          <w:sz w:val="24"/>
        </w:rPr>
        <w:t>Palmieri A, Imbimbo C, Longo N, Fusco F, Verze P, Mangiapia F, et al. A First Prospective, Randomized, Double-Blind, Placebo-Controlled Clinical Trial Evaluating Extracorporeal Shock Wave Therapy for the Treatment of Peyronie’s Disease. Eur Urol 2009;56:363–70. </w:t>
      </w:r>
      <w:r>
        <w:rPr>
          <w:spacing w:val="-2"/>
          <w:sz w:val="24"/>
        </w:rPr>
        <w:t>https://doi.org/10.1016/j.eururo.2009.05.012.</w:t>
      </w:r>
    </w:p>
    <w:p>
      <w:pPr>
        <w:pStyle w:val="ListParagraph"/>
        <w:numPr>
          <w:ilvl w:val="0"/>
          <w:numId w:val="4"/>
        </w:numPr>
        <w:tabs>
          <w:tab w:pos="740" w:val="left" w:leader="none"/>
          <w:tab w:pos="742" w:val="left" w:leader="none"/>
        </w:tabs>
        <w:spacing w:line="360" w:lineRule="auto" w:before="0" w:after="0"/>
        <w:ind w:left="742" w:right="831" w:hanging="642"/>
        <w:jc w:val="both"/>
        <w:rPr>
          <w:sz w:val="24"/>
        </w:rPr>
      </w:pPr>
      <w:r>
        <w:rPr>
          <w:sz w:val="24"/>
        </w:rPr>
        <w:t>Chitale S, Morsey M, Swift L, Sethia K. Limited shock wave therapy vs sham treatment in men with Peyronie’s disease: results of a prospective randomized controlled double‐blind trial. BJU Int 2010;106:1352–6. https://doi.org/10.1111/j.1464-410X.2010.09331.x.</w:t>
      </w:r>
    </w:p>
    <w:p>
      <w:pPr>
        <w:pStyle w:val="ListParagraph"/>
        <w:numPr>
          <w:ilvl w:val="0"/>
          <w:numId w:val="4"/>
        </w:numPr>
        <w:tabs>
          <w:tab w:pos="740" w:val="left" w:leader="none"/>
          <w:tab w:pos="742" w:val="left" w:leader="none"/>
        </w:tabs>
        <w:spacing w:line="360" w:lineRule="auto" w:before="0" w:after="0"/>
        <w:ind w:left="742" w:right="828" w:hanging="642"/>
        <w:jc w:val="both"/>
        <w:rPr>
          <w:sz w:val="24"/>
        </w:rPr>
      </w:pPr>
      <w:r>
        <w:rPr>
          <w:sz w:val="24"/>
        </w:rPr>
        <w:t>Palmieri A, Imbimbo C, Creta M, Verze P, Fusco F, Mirone V. Tadalafil once daily and extracorporeal shock wave therapy in the management of patients with Peyronie’s disease and erectile dysfunction: results from a prospective randomized trial. Int J Androl 2012;35:190–5. </w:t>
      </w:r>
      <w:r>
        <w:rPr>
          <w:spacing w:val="-2"/>
          <w:sz w:val="24"/>
        </w:rPr>
        <w:t>https://doi.org/10.1111/j.1365-2605.2011.01226.x.</w:t>
      </w:r>
    </w:p>
    <w:p>
      <w:pPr>
        <w:pStyle w:val="ListParagraph"/>
        <w:numPr>
          <w:ilvl w:val="0"/>
          <w:numId w:val="4"/>
        </w:numPr>
        <w:tabs>
          <w:tab w:pos="742" w:val="left" w:leader="none"/>
        </w:tabs>
        <w:spacing w:line="360" w:lineRule="auto" w:before="0" w:after="0"/>
        <w:ind w:left="742" w:right="763" w:hanging="642"/>
        <w:jc w:val="left"/>
        <w:rPr>
          <w:sz w:val="24"/>
        </w:rPr>
      </w:pPr>
      <w:r>
        <w:rPr>
          <w:sz w:val="24"/>
        </w:rPr>
        <w:t>Hatzichristodoulou</w:t>
      </w:r>
      <w:r>
        <w:rPr>
          <w:spacing w:val="40"/>
          <w:sz w:val="24"/>
        </w:rPr>
        <w:t> </w:t>
      </w:r>
      <w:r>
        <w:rPr>
          <w:sz w:val="24"/>
        </w:rPr>
        <w:t>G,</w:t>
      </w:r>
      <w:r>
        <w:rPr>
          <w:spacing w:val="40"/>
          <w:sz w:val="24"/>
        </w:rPr>
        <w:t> </w:t>
      </w:r>
      <w:r>
        <w:rPr>
          <w:sz w:val="24"/>
        </w:rPr>
        <w:t>Meisner</w:t>
      </w:r>
      <w:r>
        <w:rPr>
          <w:spacing w:val="40"/>
          <w:sz w:val="24"/>
        </w:rPr>
        <w:t> </w:t>
      </w:r>
      <w:r>
        <w:rPr>
          <w:sz w:val="24"/>
        </w:rPr>
        <w:t>C,</w:t>
      </w:r>
      <w:r>
        <w:rPr>
          <w:spacing w:val="40"/>
          <w:sz w:val="24"/>
        </w:rPr>
        <w:t> </w:t>
      </w:r>
      <w:r>
        <w:rPr>
          <w:sz w:val="24"/>
        </w:rPr>
        <w:t>Gschwend</w:t>
      </w:r>
      <w:r>
        <w:rPr>
          <w:spacing w:val="40"/>
          <w:sz w:val="24"/>
        </w:rPr>
        <w:t> </w:t>
      </w:r>
      <w:r>
        <w:rPr>
          <w:sz w:val="24"/>
        </w:rPr>
        <w:t>JE,</w:t>
      </w:r>
      <w:r>
        <w:rPr>
          <w:spacing w:val="40"/>
          <w:sz w:val="24"/>
        </w:rPr>
        <w:t> </w:t>
      </w:r>
      <w:r>
        <w:rPr>
          <w:sz w:val="24"/>
        </w:rPr>
        <w:t>Stenzl</w:t>
      </w:r>
      <w:r>
        <w:rPr>
          <w:spacing w:val="40"/>
          <w:sz w:val="24"/>
        </w:rPr>
        <w:t> </w:t>
      </w:r>
      <w:r>
        <w:rPr>
          <w:sz w:val="24"/>
        </w:rPr>
        <w:t>A,</w:t>
      </w:r>
      <w:r>
        <w:rPr>
          <w:spacing w:val="40"/>
          <w:sz w:val="24"/>
        </w:rPr>
        <w:t> </w:t>
      </w:r>
      <w:r>
        <w:rPr>
          <w:sz w:val="24"/>
        </w:rPr>
        <w:t>Lahme</w:t>
      </w:r>
      <w:r>
        <w:rPr>
          <w:spacing w:val="40"/>
          <w:sz w:val="24"/>
        </w:rPr>
        <w:t> </w:t>
      </w:r>
      <w:r>
        <w:rPr>
          <w:sz w:val="24"/>
        </w:rPr>
        <w:t>S.</w:t>
      </w:r>
      <w:r>
        <w:rPr>
          <w:spacing w:val="40"/>
          <w:sz w:val="24"/>
        </w:rPr>
        <w:t> </w:t>
      </w:r>
      <w:r>
        <w:rPr>
          <w:sz w:val="24"/>
        </w:rPr>
        <w:t>Extracorporeal</w:t>
      </w:r>
      <w:r>
        <w:rPr>
          <w:spacing w:val="40"/>
          <w:sz w:val="24"/>
        </w:rPr>
        <w:t> </w:t>
      </w:r>
      <w:r>
        <w:rPr>
          <w:sz w:val="24"/>
        </w:rPr>
        <w:t>Shock Wave Therapy</w:t>
      </w:r>
      <w:r>
        <w:rPr>
          <w:spacing w:val="-6"/>
          <w:sz w:val="24"/>
        </w:rPr>
        <w:t> </w:t>
      </w:r>
      <w:r>
        <w:rPr>
          <w:sz w:val="24"/>
        </w:rPr>
        <w:t>in Peyronie’s Disease: Results of a Placebo-Controlled, Prospective, Randomized, Single-Blind Study. J Sex Med 2013;10:2815–21. https://doi.org/10.1111/jsm.12275.</w:t>
      </w:r>
    </w:p>
    <w:p>
      <w:pPr>
        <w:pStyle w:val="ListParagraph"/>
        <w:numPr>
          <w:ilvl w:val="0"/>
          <w:numId w:val="4"/>
        </w:numPr>
        <w:tabs>
          <w:tab w:pos="742" w:val="left" w:leader="none"/>
        </w:tabs>
        <w:spacing w:line="360" w:lineRule="auto" w:before="1" w:after="0"/>
        <w:ind w:left="742" w:right="830" w:hanging="642"/>
        <w:jc w:val="left"/>
        <w:rPr>
          <w:sz w:val="24"/>
        </w:rPr>
      </w:pPr>
      <w:r>
        <w:rPr>
          <w:sz w:val="24"/>
        </w:rPr>
        <w:t>Gao L, Qian S, Tang Z, Li J, Yuan J. A meta-analysis of extracorporeal shock wave therapy for Peyronie’s disease. Int J Impot Res 2016;28:161–6. https://doi.org/10.1038/ijir.2016.24.</w:t>
      </w:r>
    </w:p>
    <w:p>
      <w:pPr>
        <w:pStyle w:val="ListParagraph"/>
        <w:numPr>
          <w:ilvl w:val="0"/>
          <w:numId w:val="4"/>
        </w:numPr>
        <w:tabs>
          <w:tab w:pos="742" w:val="left" w:leader="none"/>
        </w:tabs>
        <w:spacing w:line="360" w:lineRule="auto" w:before="0" w:after="0"/>
        <w:ind w:left="742" w:right="832" w:hanging="642"/>
        <w:jc w:val="left"/>
        <w:rPr>
          <w:sz w:val="24"/>
        </w:rPr>
      </w:pPr>
      <w:r>
        <w:rPr>
          <w:sz w:val="24"/>
        </w:rPr>
        <w:t>García-Gómez B, Aversa A, Alonso-Isa M, Parnham A, Serefoglu EC, Corona G, et al. The Use of</w:t>
      </w:r>
      <w:r>
        <w:rPr>
          <w:spacing w:val="40"/>
          <w:sz w:val="24"/>
        </w:rPr>
        <w:t> </w:t>
      </w:r>
      <w:r>
        <w:rPr>
          <w:sz w:val="24"/>
        </w:rPr>
        <w:t>Penile</w:t>
      </w:r>
      <w:r>
        <w:rPr>
          <w:spacing w:val="40"/>
          <w:sz w:val="24"/>
        </w:rPr>
        <w:t> </w:t>
      </w:r>
      <w:r>
        <w:rPr>
          <w:sz w:val="24"/>
        </w:rPr>
        <w:t>Traction</w:t>
      </w:r>
      <w:r>
        <w:rPr>
          <w:spacing w:val="40"/>
          <w:sz w:val="24"/>
        </w:rPr>
        <w:t> </w:t>
      </w:r>
      <w:r>
        <w:rPr>
          <w:sz w:val="24"/>
        </w:rPr>
        <w:t>Devices</w:t>
      </w:r>
      <w:r>
        <w:rPr>
          <w:spacing w:val="40"/>
          <w:sz w:val="24"/>
        </w:rPr>
        <w:t> </w:t>
      </w:r>
      <w:r>
        <w:rPr>
          <w:sz w:val="24"/>
        </w:rPr>
        <w:t>for</w:t>
      </w:r>
      <w:r>
        <w:rPr>
          <w:spacing w:val="40"/>
          <w:sz w:val="24"/>
        </w:rPr>
        <w:t> </w:t>
      </w:r>
      <w:r>
        <w:rPr>
          <w:sz w:val="24"/>
        </w:rPr>
        <w:t>Peyronie’s</w:t>
      </w:r>
      <w:r>
        <w:rPr>
          <w:spacing w:val="40"/>
          <w:sz w:val="24"/>
        </w:rPr>
        <w:t> </w:t>
      </w:r>
      <w:r>
        <w:rPr>
          <w:sz w:val="24"/>
        </w:rPr>
        <w:t>Disease:</w:t>
      </w:r>
      <w:r>
        <w:rPr>
          <w:spacing w:val="58"/>
          <w:sz w:val="24"/>
        </w:rPr>
        <w:t> </w:t>
      </w:r>
      <w:r>
        <w:rPr>
          <w:sz w:val="24"/>
        </w:rPr>
        <w:t>Position</w:t>
      </w:r>
      <w:r>
        <w:rPr>
          <w:spacing w:val="58"/>
          <w:sz w:val="24"/>
        </w:rPr>
        <w:t> </w:t>
      </w:r>
      <w:r>
        <w:rPr>
          <w:sz w:val="24"/>
        </w:rPr>
        <w:t>Statements</w:t>
      </w:r>
      <w:r>
        <w:rPr>
          <w:spacing w:val="40"/>
          <w:sz w:val="24"/>
        </w:rPr>
        <w:t> </w:t>
      </w:r>
      <w:r>
        <w:rPr>
          <w:sz w:val="24"/>
        </w:rPr>
        <w:t>from</w:t>
      </w:r>
      <w:r>
        <w:rPr>
          <w:spacing w:val="58"/>
          <w:sz w:val="24"/>
        </w:rPr>
        <w:t> </w:t>
      </w:r>
      <w:r>
        <w:rPr>
          <w:sz w:val="24"/>
        </w:rPr>
        <w:t>the</w:t>
      </w:r>
      <w:r>
        <w:rPr>
          <w:spacing w:val="59"/>
          <w:sz w:val="24"/>
        </w:rPr>
        <w:t> </w:t>
      </w:r>
      <w:r>
        <w:rPr>
          <w:sz w:val="24"/>
        </w:rPr>
        <w:t>European</w:t>
      </w:r>
    </w:p>
    <w:p>
      <w:pPr>
        <w:spacing w:after="0" w:line="360" w:lineRule="auto"/>
        <w:jc w:val="left"/>
        <w:rPr>
          <w:sz w:val="24"/>
        </w:rPr>
        <w:sectPr>
          <w:pgSz w:w="11910" w:h="16840"/>
          <w:pgMar w:header="0" w:footer="867" w:top="1660" w:bottom="1060" w:left="960" w:right="20"/>
        </w:sectPr>
      </w:pPr>
    </w:p>
    <w:p>
      <w:pPr>
        <w:pStyle w:val="BodyText"/>
        <w:spacing w:line="360" w:lineRule="auto" w:before="70"/>
        <w:ind w:right="825"/>
      </w:pPr>
      <w:r>
        <w:rPr/>
        <w:t>Society for Sexual Medicine. Sex Med 2021;9:100387–100387. </w:t>
      </w:r>
      <w:r>
        <w:rPr>
          <w:spacing w:val="-2"/>
        </w:rPr>
        <w:t>https://doi.org/10.1016/j.esxm.2021.100387.</w:t>
      </w:r>
    </w:p>
    <w:p>
      <w:pPr>
        <w:pStyle w:val="ListParagraph"/>
        <w:numPr>
          <w:ilvl w:val="0"/>
          <w:numId w:val="4"/>
        </w:numPr>
        <w:tabs>
          <w:tab w:pos="740" w:val="left" w:leader="none"/>
          <w:tab w:pos="742" w:val="left" w:leader="none"/>
        </w:tabs>
        <w:spacing w:line="360" w:lineRule="auto" w:before="1" w:after="0"/>
        <w:ind w:left="742" w:right="824" w:hanging="642"/>
        <w:jc w:val="both"/>
        <w:rPr>
          <w:sz w:val="24"/>
        </w:rPr>
      </w:pPr>
      <w:r>
        <w:rPr>
          <w:sz w:val="24"/>
        </w:rPr>
        <w:t>Gontero P, Di Marco M, Giubilei G, Bartoletti R, Pappagallo G, Tizzani A, et al. Use of Penile Extender Device in the Treatment of Penile Curvature as a Result of Peyronie’s Disease. Results of a Phase II Prospective Study. J Sex Med 2009;6:558–66. https://doi.org/10.1111/j.1743- </w:t>
      </w:r>
      <w:r>
        <w:rPr>
          <w:spacing w:val="-2"/>
          <w:sz w:val="24"/>
        </w:rPr>
        <w:t>6109.2008.01108.x.</w:t>
      </w:r>
    </w:p>
    <w:p>
      <w:pPr>
        <w:pStyle w:val="ListParagraph"/>
        <w:numPr>
          <w:ilvl w:val="0"/>
          <w:numId w:val="4"/>
        </w:numPr>
        <w:tabs>
          <w:tab w:pos="740" w:val="left" w:leader="none"/>
          <w:tab w:pos="742" w:val="left" w:leader="none"/>
        </w:tabs>
        <w:spacing w:line="360" w:lineRule="auto" w:before="0" w:after="0"/>
        <w:ind w:left="742" w:right="823" w:hanging="642"/>
        <w:jc w:val="both"/>
        <w:rPr>
          <w:sz w:val="24"/>
        </w:rPr>
      </w:pPr>
      <w:r>
        <w:rPr>
          <w:sz w:val="24"/>
        </w:rPr>
        <w:t>Martínez-Salamanca JI, Egui A, Moncada I, Minaya J, Ballesteros CM, del Portillo L, et al. Acute Phase Peyronie’s Disease Management with Traction Device: A Nonrandomized Prospective Controlled Trial with Ultrasound Correlation. J Sex Med 2014;11:506–15. </w:t>
      </w:r>
      <w:r>
        <w:rPr>
          <w:spacing w:val="-2"/>
          <w:sz w:val="24"/>
        </w:rPr>
        <w:t>https://doi.org/10.1111/jsm.12400.</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Wymer K, Kohler T, Trost L. Comparative Cost-effectiveness of Surgery, Collagenase </w:t>
      </w:r>
      <w:r>
        <w:rPr>
          <w:i/>
          <w:sz w:val="24"/>
        </w:rPr>
        <w:t>Clostridium Histolyticum </w:t>
      </w:r>
      <w:r>
        <w:rPr>
          <w:sz w:val="24"/>
        </w:rPr>
        <w:t>, and Penile Traction Therapy in Men with Peyronie’s Disease in an Era of Effective Clinical Treatment. J Sex Med 2019;16:1421–32. </w:t>
      </w:r>
      <w:r>
        <w:rPr>
          <w:spacing w:val="-2"/>
          <w:sz w:val="24"/>
        </w:rPr>
        <w:t>https://doi.org/10.1016/j.jsxm.2019.06.010.</w:t>
      </w:r>
    </w:p>
    <w:p>
      <w:pPr>
        <w:pStyle w:val="ListParagraph"/>
        <w:numPr>
          <w:ilvl w:val="0"/>
          <w:numId w:val="4"/>
        </w:numPr>
        <w:tabs>
          <w:tab w:pos="740" w:val="left" w:leader="none"/>
          <w:tab w:pos="742" w:val="left" w:leader="none"/>
          <w:tab w:pos="2613" w:val="left" w:leader="none"/>
          <w:tab w:pos="3983" w:val="left" w:leader="none"/>
          <w:tab w:pos="5533" w:val="left" w:leader="none"/>
          <w:tab w:pos="6576" w:val="left" w:leader="none"/>
          <w:tab w:pos="8222" w:val="left" w:leader="none"/>
        </w:tabs>
        <w:spacing w:line="360" w:lineRule="auto" w:before="0" w:after="0"/>
        <w:ind w:left="742" w:right="823" w:hanging="642"/>
        <w:jc w:val="both"/>
        <w:rPr>
          <w:sz w:val="24"/>
        </w:rPr>
      </w:pPr>
      <w:r>
        <w:rPr>
          <w:sz w:val="24"/>
        </w:rPr>
        <w:t>Ziegelmann M, Savage J, Toussi A, Alom M, Yang D, Kohler T, et al. Outcomes of a Novel Penile Traction Device in Men with Peyronie’s Disease: A Randomized, Single-Blind,</w:t>
      </w:r>
      <w:r>
        <w:rPr>
          <w:spacing w:val="40"/>
          <w:sz w:val="24"/>
        </w:rPr>
        <w:t> </w:t>
      </w:r>
      <w:r>
        <w:rPr>
          <w:spacing w:val="-2"/>
          <w:sz w:val="24"/>
        </w:rPr>
        <w:t>Controlled</w:t>
      </w:r>
      <w:r>
        <w:rPr>
          <w:sz w:val="24"/>
        </w:rPr>
        <w:tab/>
      </w:r>
      <w:r>
        <w:rPr>
          <w:spacing w:val="-2"/>
          <w:sz w:val="24"/>
        </w:rPr>
        <w:t>Trial.</w:t>
      </w:r>
      <w:r>
        <w:rPr>
          <w:sz w:val="24"/>
        </w:rPr>
        <w:tab/>
      </w:r>
      <w:r>
        <w:rPr>
          <w:spacing w:val="-2"/>
          <w:sz w:val="24"/>
        </w:rPr>
        <w:t>Journal</w:t>
      </w:r>
      <w:r>
        <w:rPr>
          <w:sz w:val="24"/>
        </w:rPr>
        <w:tab/>
      </w:r>
      <w:r>
        <w:rPr>
          <w:spacing w:val="-6"/>
          <w:sz w:val="24"/>
        </w:rPr>
        <w:t>of</w:t>
      </w:r>
      <w:r>
        <w:rPr>
          <w:sz w:val="24"/>
        </w:rPr>
        <w:tab/>
      </w:r>
      <w:r>
        <w:rPr>
          <w:spacing w:val="-2"/>
          <w:sz w:val="24"/>
        </w:rPr>
        <w:t>Urology</w:t>
      </w:r>
      <w:r>
        <w:rPr>
          <w:sz w:val="24"/>
        </w:rPr>
        <w:tab/>
      </w:r>
      <w:r>
        <w:rPr>
          <w:spacing w:val="-2"/>
          <w:sz w:val="24"/>
        </w:rPr>
        <w:t>2019;202:599–610. https://doi.org/10.1097/JU.0000000000000245.</w:t>
      </w:r>
    </w:p>
    <w:p>
      <w:pPr>
        <w:pStyle w:val="ListParagraph"/>
        <w:numPr>
          <w:ilvl w:val="0"/>
          <w:numId w:val="4"/>
        </w:numPr>
        <w:tabs>
          <w:tab w:pos="740" w:val="left" w:leader="none"/>
          <w:tab w:pos="742" w:val="left" w:leader="none"/>
        </w:tabs>
        <w:spacing w:line="360" w:lineRule="auto" w:before="0" w:after="0"/>
        <w:ind w:left="742" w:right="827" w:hanging="642"/>
        <w:jc w:val="both"/>
        <w:rPr>
          <w:sz w:val="24"/>
        </w:rPr>
      </w:pPr>
      <w:r>
        <w:rPr>
          <w:sz w:val="24"/>
        </w:rPr>
        <w:t>Ory J, MacDonald L, Langille G. Noninvasive Treatment Options for Peyronie’s Disease. Sex Med Rev 2020;8:603–14. https://doi.org/10.1016/j.sxmr.2019.12.002.</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Hayat S, Brunckhorst O, Alnajjar HM, Cakir OO, Muneer A, Ahmed K. A systematic review of non-surgical management in Peyronieʼs disease. Int J Impot Res 2023;35:523–32. </w:t>
      </w:r>
      <w:r>
        <w:rPr>
          <w:spacing w:val="-2"/>
          <w:sz w:val="24"/>
        </w:rPr>
        <w:t>https://doi.org/10.1038/s41443-022-00633-w.</w:t>
      </w:r>
    </w:p>
    <w:p>
      <w:pPr>
        <w:pStyle w:val="ListParagraph"/>
        <w:numPr>
          <w:ilvl w:val="0"/>
          <w:numId w:val="4"/>
        </w:numPr>
        <w:tabs>
          <w:tab w:pos="740" w:val="left" w:leader="none"/>
          <w:tab w:pos="742" w:val="left" w:leader="none"/>
        </w:tabs>
        <w:spacing w:line="360" w:lineRule="auto" w:before="1" w:after="0"/>
        <w:ind w:left="742" w:right="823" w:hanging="642"/>
        <w:jc w:val="both"/>
        <w:rPr>
          <w:sz w:val="24"/>
        </w:rPr>
      </w:pPr>
      <w:r>
        <w:rPr>
          <w:sz w:val="24"/>
        </w:rPr>
        <w:t>Hellstrom WJG, Kendirci M, Matern R, Cockerham Y, Myers L, Sikka SC, et al. Single-Blind, Multicenter,</w:t>
      </w:r>
      <w:r>
        <w:rPr>
          <w:spacing w:val="-2"/>
          <w:sz w:val="24"/>
        </w:rPr>
        <w:t> </w:t>
      </w:r>
      <w:r>
        <w:rPr>
          <w:sz w:val="24"/>
        </w:rPr>
        <w:t>Placebo Controlled,</w:t>
      </w:r>
      <w:r>
        <w:rPr>
          <w:spacing w:val="-2"/>
          <w:sz w:val="24"/>
        </w:rPr>
        <w:t> </w:t>
      </w:r>
      <w:r>
        <w:rPr>
          <w:sz w:val="24"/>
        </w:rPr>
        <w:t>Parallel</w:t>
      </w:r>
      <w:r>
        <w:rPr>
          <w:spacing w:val="-2"/>
          <w:sz w:val="24"/>
        </w:rPr>
        <w:t> </w:t>
      </w:r>
      <w:r>
        <w:rPr>
          <w:sz w:val="24"/>
        </w:rPr>
        <w:t>Study</w:t>
      </w:r>
      <w:r>
        <w:rPr>
          <w:spacing w:val="-7"/>
          <w:sz w:val="24"/>
        </w:rPr>
        <w:t> </w:t>
      </w:r>
      <w:r>
        <w:rPr>
          <w:sz w:val="24"/>
        </w:rPr>
        <w:t>to</w:t>
      </w:r>
      <w:r>
        <w:rPr>
          <w:spacing w:val="-2"/>
          <w:sz w:val="24"/>
        </w:rPr>
        <w:t> </w:t>
      </w:r>
      <w:r>
        <w:rPr>
          <w:sz w:val="24"/>
        </w:rPr>
        <w:t>Assess</w:t>
      </w:r>
      <w:r>
        <w:rPr>
          <w:spacing w:val="-2"/>
          <w:sz w:val="24"/>
        </w:rPr>
        <w:t> </w:t>
      </w:r>
      <w:r>
        <w:rPr>
          <w:sz w:val="24"/>
        </w:rPr>
        <w:t>the</w:t>
      </w:r>
      <w:r>
        <w:rPr>
          <w:spacing w:val="-1"/>
          <w:sz w:val="24"/>
        </w:rPr>
        <w:t> </w:t>
      </w:r>
      <w:r>
        <w:rPr>
          <w:sz w:val="24"/>
        </w:rPr>
        <w:t>Safety</w:t>
      </w:r>
      <w:r>
        <w:rPr>
          <w:spacing w:val="-5"/>
          <w:sz w:val="24"/>
        </w:rPr>
        <w:t> </w:t>
      </w:r>
      <w:r>
        <w:rPr>
          <w:sz w:val="24"/>
        </w:rPr>
        <w:t>and Efficacy</w:t>
      </w:r>
      <w:r>
        <w:rPr>
          <w:spacing w:val="-7"/>
          <w:sz w:val="24"/>
        </w:rPr>
        <w:t> </w:t>
      </w:r>
      <w:r>
        <w:rPr>
          <w:sz w:val="24"/>
        </w:rPr>
        <w:t>of Intralesional Interferon α-2b for Minimally Invasive Treatment for Peyronie’s Disease. Journal of Urology 2006;176:394–8. https://doi.org/10.1016/S0022-5347(06)00517-9.</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Russo GI, Cacciamani G, Cocci A, Kessler TM, Morgia G, Serefoglu EC, et al. Comparative Effectiveness of Intralesional Therapy for Peyronie’s Disease in Controlled Clinical Studies: A Systematic Review and Network Meta-Analysis. J Sex Med 2019;16:289–99. </w:t>
      </w:r>
      <w:r>
        <w:rPr>
          <w:spacing w:val="-2"/>
          <w:sz w:val="24"/>
        </w:rPr>
        <w:t>https://doi.org/10.1016/j.jsxm.2018.12.011.</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Matsushita K, Stember DS, Nelson CJ, Mulhall JP. Concordance Between Patient and Physician Assessment of the Magnitude of Peyronie’s Disease Curvature. J Sex Med 2014;11:205–10. </w:t>
      </w:r>
      <w:r>
        <w:rPr>
          <w:spacing w:val="-2"/>
          <w:sz w:val="24"/>
        </w:rPr>
        <w:t>https://doi.org/10.1111/jsm.12337.</w:t>
      </w:r>
    </w:p>
    <w:p>
      <w:pPr>
        <w:spacing w:after="0" w:line="360" w:lineRule="auto"/>
        <w:jc w:val="both"/>
        <w:rPr>
          <w:sz w:val="24"/>
        </w:rPr>
        <w:sectPr>
          <w:pgSz w:w="11910" w:h="16840"/>
          <w:pgMar w:header="0" w:footer="867" w:top="1660" w:bottom="1060" w:left="960" w:right="20"/>
        </w:sectPr>
      </w:pPr>
    </w:p>
    <w:p>
      <w:pPr>
        <w:pStyle w:val="ListParagraph"/>
        <w:numPr>
          <w:ilvl w:val="0"/>
          <w:numId w:val="4"/>
        </w:numPr>
        <w:tabs>
          <w:tab w:pos="740" w:val="left" w:leader="none"/>
          <w:tab w:pos="742" w:val="left" w:leader="none"/>
        </w:tabs>
        <w:spacing w:line="360" w:lineRule="auto" w:before="70" w:after="0"/>
        <w:ind w:left="742" w:right="835" w:hanging="642"/>
        <w:jc w:val="both"/>
        <w:rPr>
          <w:sz w:val="24"/>
        </w:rPr>
      </w:pPr>
      <w:r>
        <w:rPr>
          <w:sz w:val="24"/>
        </w:rPr>
        <w:t>Smith JF, Walsh TJ, Lue TF. Peyronie’s disease: a critical appraisal of current diagnosis and treatment. Int J Impot Res 2008;20:445–59. https://doi.org/10.1038/ijir.2008.30.</w:t>
      </w:r>
    </w:p>
    <w:p>
      <w:pPr>
        <w:pStyle w:val="ListParagraph"/>
        <w:numPr>
          <w:ilvl w:val="0"/>
          <w:numId w:val="4"/>
        </w:numPr>
        <w:tabs>
          <w:tab w:pos="740" w:val="left" w:leader="none"/>
          <w:tab w:pos="742" w:val="left" w:leader="none"/>
        </w:tabs>
        <w:spacing w:line="360" w:lineRule="auto" w:before="1" w:after="0"/>
        <w:ind w:left="742" w:right="824" w:hanging="642"/>
        <w:jc w:val="both"/>
        <w:rPr>
          <w:sz w:val="24"/>
        </w:rPr>
      </w:pPr>
      <w:r>
        <w:rPr>
          <w:sz w:val="24"/>
        </w:rPr>
        <w:t>Taylor FL, Levine LA. Surgical Correction of Peyronie’s Disease via Tunica Albuginea</w:t>
      </w:r>
      <w:r>
        <w:rPr>
          <w:spacing w:val="80"/>
          <w:sz w:val="24"/>
        </w:rPr>
        <w:t> </w:t>
      </w:r>
      <w:r>
        <w:rPr>
          <w:sz w:val="24"/>
        </w:rPr>
        <w:t>Plication or Partial Plaque Excision with Pericardial Graft: Long-Term Follow Up. J Sex Med 2008;5:2221–8. https://doi.org/10.1111/j.1743-6109.2008.00941.x.</w:t>
      </w:r>
    </w:p>
    <w:p>
      <w:pPr>
        <w:pStyle w:val="ListParagraph"/>
        <w:numPr>
          <w:ilvl w:val="0"/>
          <w:numId w:val="4"/>
        </w:numPr>
        <w:tabs>
          <w:tab w:pos="740" w:val="left" w:leader="none"/>
          <w:tab w:pos="742" w:val="left" w:leader="none"/>
        </w:tabs>
        <w:spacing w:line="360" w:lineRule="auto" w:before="0" w:after="0"/>
        <w:ind w:left="742" w:right="824" w:hanging="642"/>
        <w:jc w:val="both"/>
        <w:rPr>
          <w:sz w:val="24"/>
        </w:rPr>
      </w:pPr>
      <w:r>
        <w:rPr>
          <w:sz w:val="24"/>
        </w:rPr>
        <w:t>Гамидов С.И., Попков В.М., Шатылко Т.В., Овчинников Р.И., Королев А.Ю., Попова А.Ю., Гасанов Н.Г. Отдаленные результаты корпоропластики при болезни Пейрони. Андрология и генитальная хирургия. 2018;19(4):39-45. https://doi.org/10.17650/2070-9781- </w:t>
      </w:r>
      <w:r>
        <w:rPr>
          <w:spacing w:val="-2"/>
          <w:sz w:val="24"/>
        </w:rPr>
        <w:t>2018-19-4-39-45</w:t>
      </w:r>
    </w:p>
    <w:p>
      <w:pPr>
        <w:pStyle w:val="ListParagraph"/>
        <w:numPr>
          <w:ilvl w:val="0"/>
          <w:numId w:val="4"/>
        </w:numPr>
        <w:tabs>
          <w:tab w:pos="740" w:val="left" w:leader="none"/>
          <w:tab w:pos="742" w:val="left" w:leader="none"/>
        </w:tabs>
        <w:spacing w:line="360" w:lineRule="auto" w:before="0" w:after="0"/>
        <w:ind w:left="742" w:right="828" w:hanging="642"/>
        <w:jc w:val="both"/>
        <w:rPr>
          <w:sz w:val="24"/>
        </w:rPr>
      </w:pPr>
      <w:r>
        <w:rPr>
          <w:sz w:val="24"/>
        </w:rPr>
        <w:t>Carson</w:t>
      </w:r>
      <w:r>
        <w:rPr>
          <w:spacing w:val="-1"/>
          <w:sz w:val="24"/>
        </w:rPr>
        <w:t> </w:t>
      </w:r>
      <w:r>
        <w:rPr>
          <w:sz w:val="24"/>
        </w:rPr>
        <w:t>CC, Levine LA. Outcomes</w:t>
      </w:r>
      <w:r>
        <w:rPr>
          <w:spacing w:val="-2"/>
          <w:sz w:val="24"/>
        </w:rPr>
        <w:t> </w:t>
      </w:r>
      <w:r>
        <w:rPr>
          <w:sz w:val="24"/>
        </w:rPr>
        <w:t>of</w:t>
      </w:r>
      <w:r>
        <w:rPr>
          <w:spacing w:val="-2"/>
          <w:sz w:val="24"/>
        </w:rPr>
        <w:t> </w:t>
      </w:r>
      <w:r>
        <w:rPr>
          <w:sz w:val="24"/>
        </w:rPr>
        <w:t>surgical</w:t>
      </w:r>
      <w:r>
        <w:rPr>
          <w:spacing w:val="-1"/>
          <w:sz w:val="24"/>
        </w:rPr>
        <w:t> </w:t>
      </w:r>
      <w:r>
        <w:rPr>
          <w:sz w:val="24"/>
        </w:rPr>
        <w:t>treatment</w:t>
      </w:r>
      <w:r>
        <w:rPr>
          <w:spacing w:val="-1"/>
          <w:sz w:val="24"/>
        </w:rPr>
        <w:t> </w:t>
      </w:r>
      <w:r>
        <w:rPr>
          <w:sz w:val="24"/>
        </w:rPr>
        <w:t>of</w:t>
      </w:r>
      <w:r>
        <w:rPr>
          <w:spacing w:val="-2"/>
          <w:sz w:val="24"/>
        </w:rPr>
        <w:t> </w:t>
      </w:r>
      <w:r>
        <w:rPr>
          <w:sz w:val="24"/>
        </w:rPr>
        <w:t>&lt;scp&gt;P&lt;/scp&gt; eyronie’s</w:t>
      </w:r>
      <w:r>
        <w:rPr>
          <w:spacing w:val="-1"/>
          <w:sz w:val="24"/>
        </w:rPr>
        <w:t> </w:t>
      </w:r>
      <w:r>
        <w:rPr>
          <w:sz w:val="24"/>
        </w:rPr>
        <w:t>disease. BJU Int 2014;113:704–13. https://doi.org/10.1111/bju.12565.</w:t>
      </w:r>
    </w:p>
    <w:p>
      <w:pPr>
        <w:pStyle w:val="ListParagraph"/>
        <w:numPr>
          <w:ilvl w:val="0"/>
          <w:numId w:val="4"/>
        </w:numPr>
        <w:tabs>
          <w:tab w:pos="740" w:val="left" w:leader="none"/>
          <w:tab w:pos="742" w:val="left" w:leader="none"/>
        </w:tabs>
        <w:spacing w:line="360" w:lineRule="auto" w:before="0" w:after="0"/>
        <w:ind w:left="742" w:right="822" w:hanging="642"/>
        <w:jc w:val="both"/>
        <w:rPr>
          <w:sz w:val="24"/>
        </w:rPr>
      </w:pPr>
      <w:r>
        <w:rPr>
          <w:sz w:val="24"/>
        </w:rPr>
        <w:t>С. И. Гамидов, В. М. Попков, Т. В. Шатылко и соавт. Эректильная функция после корпоропластики</w:t>
      </w:r>
      <w:r>
        <w:rPr>
          <w:spacing w:val="-2"/>
          <w:sz w:val="24"/>
        </w:rPr>
        <w:t> </w:t>
      </w:r>
      <w:r>
        <w:rPr>
          <w:sz w:val="24"/>
        </w:rPr>
        <w:t>по поводу</w:t>
      </w:r>
      <w:r>
        <w:rPr>
          <w:spacing w:val="-5"/>
          <w:sz w:val="24"/>
        </w:rPr>
        <w:t> </w:t>
      </w:r>
      <w:r>
        <w:rPr>
          <w:sz w:val="24"/>
        </w:rPr>
        <w:t>болезни Пейрони // Урология. – 2019. – №</w:t>
      </w:r>
      <w:r>
        <w:rPr>
          <w:spacing w:val="-4"/>
          <w:sz w:val="24"/>
        </w:rPr>
        <w:t> </w:t>
      </w:r>
      <w:r>
        <w:rPr>
          <w:sz w:val="24"/>
        </w:rPr>
        <w:t>4. – С. 80-84. – DOI </w:t>
      </w:r>
      <w:r>
        <w:rPr>
          <w:spacing w:val="-2"/>
          <w:sz w:val="24"/>
        </w:rPr>
        <w:t>10.18565/urology.2019.4.80-84.</w:t>
      </w:r>
    </w:p>
    <w:p>
      <w:pPr>
        <w:pStyle w:val="ListParagraph"/>
        <w:numPr>
          <w:ilvl w:val="0"/>
          <w:numId w:val="4"/>
        </w:numPr>
        <w:tabs>
          <w:tab w:pos="740" w:val="left" w:leader="none"/>
          <w:tab w:pos="742" w:val="left" w:leader="none"/>
        </w:tabs>
        <w:spacing w:line="360" w:lineRule="auto" w:before="0" w:after="0"/>
        <w:ind w:left="742" w:right="828" w:hanging="642"/>
        <w:jc w:val="both"/>
        <w:rPr>
          <w:sz w:val="24"/>
        </w:rPr>
      </w:pPr>
      <w:r>
        <w:rPr>
          <w:sz w:val="24"/>
        </w:rPr>
        <w:t>Hudak SJ, Morey AF, Adibi M, Bagrodia A. Favorable Patient Reported Outcomes After Penile Plication for Wide Array of Peyronie Disease Abnormalities. Journal of Urology 2013;189:1019–24. https://doi.org/10.1016/j.juro.2012.09.085.</w:t>
      </w:r>
    </w:p>
    <w:p>
      <w:pPr>
        <w:pStyle w:val="ListParagraph"/>
        <w:numPr>
          <w:ilvl w:val="0"/>
          <w:numId w:val="4"/>
        </w:numPr>
        <w:tabs>
          <w:tab w:pos="740" w:val="left" w:leader="none"/>
          <w:tab w:pos="742" w:val="left" w:leader="none"/>
        </w:tabs>
        <w:spacing w:line="360" w:lineRule="auto" w:before="0" w:after="0"/>
        <w:ind w:left="742" w:right="827" w:hanging="642"/>
        <w:jc w:val="both"/>
        <w:rPr>
          <w:sz w:val="24"/>
        </w:rPr>
      </w:pPr>
      <w:r>
        <w:rPr>
          <w:sz w:val="24"/>
        </w:rPr>
        <w:t>Cantoro U, Polito M, Catanzariti F, Montesi L, Lacetera V, Muzzonigro G. Penile plication for Peyronie’s disease: our results with mean follow-up of 103 months on 89 patients. Int J Impot Res 2014;26:156–9. https://doi.org/10.1038/ijir.2014.6.</w:t>
      </w:r>
    </w:p>
    <w:p>
      <w:pPr>
        <w:pStyle w:val="ListParagraph"/>
        <w:numPr>
          <w:ilvl w:val="0"/>
          <w:numId w:val="4"/>
        </w:numPr>
        <w:tabs>
          <w:tab w:pos="740" w:val="left" w:leader="none"/>
          <w:tab w:pos="742" w:val="left" w:leader="none"/>
        </w:tabs>
        <w:spacing w:line="360" w:lineRule="auto" w:before="0" w:after="0"/>
        <w:ind w:left="742" w:right="831" w:hanging="642"/>
        <w:jc w:val="both"/>
        <w:rPr>
          <w:sz w:val="24"/>
        </w:rPr>
      </w:pPr>
      <w:r>
        <w:rPr>
          <w:sz w:val="24"/>
        </w:rPr>
        <w:t>Yachia D. Modified Corporoplasty for the Treatment of Penile Curvature. Journal of Urology 1990;143:80–2. https://doi.org/10.1016/S0022-5347(17)39871-3.</w:t>
      </w:r>
    </w:p>
    <w:p>
      <w:pPr>
        <w:pStyle w:val="ListParagraph"/>
        <w:numPr>
          <w:ilvl w:val="0"/>
          <w:numId w:val="4"/>
        </w:numPr>
        <w:tabs>
          <w:tab w:pos="740" w:val="left" w:leader="none"/>
          <w:tab w:pos="742" w:val="left" w:leader="none"/>
        </w:tabs>
        <w:spacing w:line="362" w:lineRule="auto" w:before="0" w:after="0"/>
        <w:ind w:left="742" w:right="833" w:hanging="642"/>
        <w:jc w:val="both"/>
        <w:rPr>
          <w:sz w:val="24"/>
        </w:rPr>
      </w:pPr>
      <w:r>
        <w:rPr>
          <w:sz w:val="24"/>
        </w:rPr>
        <w:t>Sassine AM, Wespes E, Schulman CC. Modified corporoplasty for penilecurvature: 10 years’ experience. Urology 1994;44:419–21. https://doi.org/10.1016/S0090-4295(94)80106-1.</w:t>
      </w:r>
    </w:p>
    <w:p>
      <w:pPr>
        <w:pStyle w:val="ListParagraph"/>
        <w:numPr>
          <w:ilvl w:val="0"/>
          <w:numId w:val="4"/>
        </w:numPr>
        <w:tabs>
          <w:tab w:pos="740" w:val="left" w:leader="none"/>
          <w:tab w:pos="742" w:val="left" w:leader="none"/>
          <w:tab w:pos="2291" w:val="left" w:leader="none"/>
          <w:tab w:pos="3558" w:val="left" w:leader="none"/>
          <w:tab w:pos="4946" w:val="left" w:leader="none"/>
          <w:tab w:pos="6751" w:val="left" w:leader="none"/>
          <w:tab w:pos="8341" w:val="left" w:leader="none"/>
        </w:tabs>
        <w:spacing w:line="360" w:lineRule="auto" w:before="0" w:after="0"/>
        <w:ind w:left="742" w:right="825" w:hanging="642"/>
        <w:jc w:val="both"/>
        <w:rPr>
          <w:sz w:val="24"/>
        </w:rPr>
      </w:pPr>
      <w:r>
        <w:rPr>
          <w:sz w:val="24"/>
        </w:rPr>
        <w:t>Çayan S, Aşcı R, Efesoy O, Kocamanoğlu F, Akbay E, Yaman Ö. Comparison of Patient’s Satisfaction</w:t>
      </w:r>
      <w:r>
        <w:rPr>
          <w:spacing w:val="-1"/>
          <w:sz w:val="24"/>
        </w:rPr>
        <w:t> </w:t>
      </w:r>
      <w:r>
        <w:rPr>
          <w:sz w:val="24"/>
        </w:rPr>
        <w:t>and Long-term</w:t>
      </w:r>
      <w:r>
        <w:rPr>
          <w:spacing w:val="-1"/>
          <w:sz w:val="24"/>
        </w:rPr>
        <w:t> </w:t>
      </w:r>
      <w:r>
        <w:rPr>
          <w:sz w:val="24"/>
        </w:rPr>
        <w:t>Results</w:t>
      </w:r>
      <w:r>
        <w:rPr>
          <w:spacing w:val="-1"/>
          <w:sz w:val="24"/>
        </w:rPr>
        <w:t> </w:t>
      </w:r>
      <w:r>
        <w:rPr>
          <w:sz w:val="24"/>
        </w:rPr>
        <w:t>of</w:t>
      </w:r>
      <w:r>
        <w:rPr>
          <w:spacing w:val="-1"/>
          <w:sz w:val="24"/>
        </w:rPr>
        <w:t> </w:t>
      </w:r>
      <w:r>
        <w:rPr>
          <w:sz w:val="24"/>
        </w:rPr>
        <w:t>2</w:t>
      </w:r>
      <w:r>
        <w:rPr>
          <w:spacing w:val="-1"/>
          <w:sz w:val="24"/>
        </w:rPr>
        <w:t> </w:t>
      </w:r>
      <w:r>
        <w:rPr>
          <w:sz w:val="24"/>
        </w:rPr>
        <w:t>Penile</w:t>
      </w:r>
      <w:r>
        <w:rPr>
          <w:spacing w:val="-1"/>
          <w:sz w:val="24"/>
        </w:rPr>
        <w:t> </w:t>
      </w:r>
      <w:r>
        <w:rPr>
          <w:sz w:val="24"/>
        </w:rPr>
        <w:t>Plication</w:t>
      </w:r>
      <w:r>
        <w:rPr>
          <w:spacing w:val="-1"/>
          <w:sz w:val="24"/>
        </w:rPr>
        <w:t> </w:t>
      </w:r>
      <w:r>
        <w:rPr>
          <w:sz w:val="24"/>
        </w:rPr>
        <w:t>Techniques: Lessons Learned From</w:t>
      </w:r>
      <w:r>
        <w:rPr>
          <w:spacing w:val="-1"/>
          <w:sz w:val="24"/>
        </w:rPr>
        <w:t> </w:t>
      </w:r>
      <w:r>
        <w:rPr>
          <w:sz w:val="24"/>
        </w:rPr>
        <w:t>387 </w:t>
      </w:r>
      <w:r>
        <w:rPr>
          <w:spacing w:val="-2"/>
          <w:sz w:val="24"/>
        </w:rPr>
        <w:t>Patients</w:t>
      </w:r>
      <w:r>
        <w:rPr>
          <w:sz w:val="24"/>
        </w:rPr>
        <w:tab/>
      </w:r>
      <w:r>
        <w:rPr>
          <w:spacing w:val="-4"/>
          <w:sz w:val="24"/>
        </w:rPr>
        <w:t>With</w:t>
      </w:r>
      <w:r>
        <w:rPr>
          <w:sz w:val="24"/>
        </w:rPr>
        <w:tab/>
      </w:r>
      <w:r>
        <w:rPr>
          <w:spacing w:val="-2"/>
          <w:sz w:val="24"/>
        </w:rPr>
        <w:t>Penile</w:t>
      </w:r>
      <w:r>
        <w:rPr>
          <w:sz w:val="24"/>
        </w:rPr>
        <w:tab/>
      </w:r>
      <w:r>
        <w:rPr>
          <w:spacing w:val="-2"/>
          <w:sz w:val="24"/>
        </w:rPr>
        <w:t>Curvature.</w:t>
      </w:r>
      <w:r>
        <w:rPr>
          <w:sz w:val="24"/>
        </w:rPr>
        <w:tab/>
      </w:r>
      <w:r>
        <w:rPr>
          <w:spacing w:val="-2"/>
          <w:sz w:val="24"/>
        </w:rPr>
        <w:t>Urology</w:t>
      </w:r>
      <w:r>
        <w:rPr>
          <w:sz w:val="24"/>
        </w:rPr>
        <w:tab/>
      </w:r>
      <w:r>
        <w:rPr>
          <w:spacing w:val="-2"/>
          <w:sz w:val="24"/>
        </w:rPr>
        <w:t>2019;129:106–12. https://doi.org/10.1016/j.urology.2019.02.039.</w:t>
      </w:r>
    </w:p>
    <w:p>
      <w:pPr>
        <w:pStyle w:val="ListParagraph"/>
        <w:numPr>
          <w:ilvl w:val="0"/>
          <w:numId w:val="4"/>
        </w:numPr>
        <w:tabs>
          <w:tab w:pos="740" w:val="left" w:leader="none"/>
          <w:tab w:pos="742" w:val="left" w:leader="none"/>
        </w:tabs>
        <w:spacing w:line="360" w:lineRule="auto" w:before="0" w:after="0"/>
        <w:ind w:left="742" w:right="831" w:hanging="642"/>
        <w:jc w:val="both"/>
        <w:rPr>
          <w:sz w:val="24"/>
        </w:rPr>
      </w:pPr>
      <w:r>
        <w:rPr>
          <w:sz w:val="24"/>
        </w:rPr>
        <w:t>Пушкарь Д.Ю., Раснер П.И. Опросник МИЭФ (IIEF). Библиотека пациента. Урология. РМЖ. 2013;18:11.</w:t>
      </w:r>
    </w:p>
    <w:p>
      <w:pPr>
        <w:pStyle w:val="ListParagraph"/>
        <w:numPr>
          <w:ilvl w:val="0"/>
          <w:numId w:val="4"/>
        </w:numPr>
        <w:tabs>
          <w:tab w:pos="740" w:val="left" w:leader="none"/>
          <w:tab w:pos="742" w:val="left" w:leader="none"/>
        </w:tabs>
        <w:spacing w:line="360" w:lineRule="auto" w:before="0" w:after="0"/>
        <w:ind w:left="742" w:right="828" w:hanging="642"/>
        <w:jc w:val="both"/>
        <w:rPr>
          <w:sz w:val="24"/>
        </w:rPr>
      </w:pPr>
      <w:r>
        <w:rPr>
          <w:sz w:val="24"/>
        </w:rPr>
        <w:t>Kondás J, Diószeghy G, Kondér Gy, Váczi L, Kiss A, Philipp V. Plaque excision and dermal graft in the surgical treatment of plastic induration of the penis (Peyronie’s disease). Int Urol Nephrol 1998;30:321–6. https://doi.org/10.1007/BF02550318.</w:t>
      </w:r>
    </w:p>
    <w:p>
      <w:pPr>
        <w:spacing w:after="0" w:line="360" w:lineRule="auto"/>
        <w:jc w:val="both"/>
        <w:rPr>
          <w:sz w:val="24"/>
        </w:rPr>
        <w:sectPr>
          <w:pgSz w:w="11910" w:h="16840"/>
          <w:pgMar w:header="0" w:footer="867" w:top="1660" w:bottom="1060" w:left="960" w:right="20"/>
        </w:sectPr>
      </w:pPr>
    </w:p>
    <w:p>
      <w:pPr>
        <w:pStyle w:val="ListParagraph"/>
        <w:numPr>
          <w:ilvl w:val="0"/>
          <w:numId w:val="4"/>
        </w:numPr>
        <w:tabs>
          <w:tab w:pos="740" w:val="left" w:leader="none"/>
          <w:tab w:pos="742" w:val="left" w:leader="none"/>
        </w:tabs>
        <w:spacing w:line="360" w:lineRule="auto" w:before="70" w:after="0"/>
        <w:ind w:left="742" w:right="825" w:hanging="642"/>
        <w:jc w:val="both"/>
        <w:rPr>
          <w:sz w:val="24"/>
        </w:rPr>
      </w:pPr>
      <w:r>
        <w:rPr>
          <w:sz w:val="24"/>
        </w:rPr>
        <w:t>Kovac JR, Brock GB. Surgical Outcomes and Patient Satisfaction After Dermal, Pericardial, and Small Intestinal Submucosal Grafting for Peyronie’s Disease. J Sex Med 2007;4:1500–8. </w:t>
      </w:r>
      <w:r>
        <w:rPr>
          <w:spacing w:val="-2"/>
          <w:sz w:val="24"/>
        </w:rPr>
        <w:t>https://doi.org/10.1111/j.1743-6109.2007.00453.x.</w:t>
      </w:r>
    </w:p>
    <w:p>
      <w:pPr>
        <w:pStyle w:val="ListParagraph"/>
        <w:numPr>
          <w:ilvl w:val="0"/>
          <w:numId w:val="4"/>
        </w:numPr>
        <w:tabs>
          <w:tab w:pos="740" w:val="left" w:leader="none"/>
          <w:tab w:pos="742" w:val="left" w:leader="none"/>
        </w:tabs>
        <w:spacing w:line="360" w:lineRule="auto" w:before="0" w:after="0"/>
        <w:ind w:left="742" w:right="833" w:hanging="642"/>
        <w:jc w:val="both"/>
        <w:rPr>
          <w:sz w:val="24"/>
        </w:rPr>
      </w:pPr>
      <w:r>
        <w:rPr>
          <w:sz w:val="24"/>
        </w:rPr>
        <w:t>Dalkin BL, Carter MF. Venogenic Impotence Following Dermal Graft Repair for Peyronie’s Disease. Journal of Urology 1991;146:849–51. https://doi.org/10.1016/S0022-5347(17)37941-7.</w:t>
      </w:r>
    </w:p>
    <w:p>
      <w:pPr>
        <w:pStyle w:val="ListParagraph"/>
        <w:numPr>
          <w:ilvl w:val="0"/>
          <w:numId w:val="4"/>
        </w:numPr>
        <w:tabs>
          <w:tab w:pos="740" w:val="left" w:leader="none"/>
          <w:tab w:pos="742" w:val="left" w:leader="none"/>
        </w:tabs>
        <w:spacing w:line="360" w:lineRule="auto" w:before="0" w:after="0"/>
        <w:ind w:left="742" w:right="823" w:hanging="642"/>
        <w:jc w:val="both"/>
        <w:rPr>
          <w:sz w:val="24"/>
        </w:rPr>
      </w:pPr>
      <w:r>
        <w:rPr>
          <w:sz w:val="24"/>
        </w:rPr>
        <w:t>Flores S, Choi J, Alex B, Mulhall JP. Erectile Dysfunction after Plaque Incision and Grafting: Short-term Assessment of Incidence and Predictors. J Sex Med 2011;8:2031–7. </w:t>
      </w:r>
      <w:r>
        <w:rPr>
          <w:spacing w:val="-2"/>
          <w:sz w:val="24"/>
        </w:rPr>
        <w:t>https://doi.org/10.1111/j.1743-6109.2011.02299.x.</w:t>
      </w:r>
    </w:p>
    <w:p>
      <w:pPr>
        <w:pStyle w:val="ListParagraph"/>
        <w:numPr>
          <w:ilvl w:val="0"/>
          <w:numId w:val="4"/>
        </w:numPr>
        <w:tabs>
          <w:tab w:pos="740" w:val="left" w:leader="none"/>
          <w:tab w:pos="742" w:val="left" w:leader="none"/>
        </w:tabs>
        <w:spacing w:line="360" w:lineRule="auto" w:before="0" w:after="0"/>
        <w:ind w:left="742" w:right="829" w:hanging="642"/>
        <w:jc w:val="both"/>
        <w:rPr>
          <w:sz w:val="24"/>
        </w:rPr>
      </w:pPr>
      <w:r>
        <w:rPr>
          <w:sz w:val="24"/>
        </w:rPr>
        <w:t>Carson</w:t>
      </w:r>
      <w:r>
        <w:rPr>
          <w:spacing w:val="-2"/>
          <w:sz w:val="24"/>
        </w:rPr>
        <w:t> </w:t>
      </w:r>
      <w:r>
        <w:rPr>
          <w:sz w:val="24"/>
        </w:rPr>
        <w:t>CC, Levine LA. Outcomes</w:t>
      </w:r>
      <w:r>
        <w:rPr>
          <w:spacing w:val="-2"/>
          <w:sz w:val="24"/>
        </w:rPr>
        <w:t> </w:t>
      </w:r>
      <w:r>
        <w:rPr>
          <w:sz w:val="24"/>
        </w:rPr>
        <w:t>of</w:t>
      </w:r>
      <w:r>
        <w:rPr>
          <w:spacing w:val="-2"/>
          <w:sz w:val="24"/>
        </w:rPr>
        <w:t> </w:t>
      </w:r>
      <w:r>
        <w:rPr>
          <w:sz w:val="24"/>
        </w:rPr>
        <w:t>surgical</w:t>
      </w:r>
      <w:r>
        <w:rPr>
          <w:spacing w:val="-1"/>
          <w:sz w:val="24"/>
        </w:rPr>
        <w:t> </w:t>
      </w:r>
      <w:r>
        <w:rPr>
          <w:sz w:val="24"/>
        </w:rPr>
        <w:t>treatment</w:t>
      </w:r>
      <w:r>
        <w:rPr>
          <w:spacing w:val="-1"/>
          <w:sz w:val="24"/>
        </w:rPr>
        <w:t> </w:t>
      </w:r>
      <w:r>
        <w:rPr>
          <w:sz w:val="24"/>
        </w:rPr>
        <w:t>of</w:t>
      </w:r>
      <w:r>
        <w:rPr>
          <w:spacing w:val="-2"/>
          <w:sz w:val="24"/>
        </w:rPr>
        <w:t> </w:t>
      </w:r>
      <w:r>
        <w:rPr>
          <w:sz w:val="24"/>
        </w:rPr>
        <w:t>&lt;scp&gt;P&lt;/scp&gt; eyronie’s</w:t>
      </w:r>
      <w:r>
        <w:rPr>
          <w:spacing w:val="-1"/>
          <w:sz w:val="24"/>
        </w:rPr>
        <w:t> </w:t>
      </w:r>
      <w:r>
        <w:rPr>
          <w:sz w:val="24"/>
        </w:rPr>
        <w:t>disease. BJU Int 2014;113:704–13. https://doi.org/10.1111/bju.12565.</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Garcia‐Gomez B,</w:t>
      </w:r>
      <w:r>
        <w:rPr>
          <w:spacing w:val="-1"/>
          <w:sz w:val="24"/>
        </w:rPr>
        <w:t> </w:t>
      </w:r>
      <w:r>
        <w:rPr>
          <w:sz w:val="24"/>
        </w:rPr>
        <w:t>Ralph D, Levine L,</w:t>
      </w:r>
      <w:r>
        <w:rPr>
          <w:spacing w:val="-1"/>
          <w:sz w:val="24"/>
        </w:rPr>
        <w:t> </w:t>
      </w:r>
      <w:r>
        <w:rPr>
          <w:sz w:val="24"/>
        </w:rPr>
        <w:t>Moncada‐Iribarren I,</w:t>
      </w:r>
      <w:r>
        <w:rPr>
          <w:spacing w:val="-1"/>
          <w:sz w:val="24"/>
        </w:rPr>
        <w:t> </w:t>
      </w:r>
      <w:r>
        <w:rPr>
          <w:sz w:val="24"/>
        </w:rPr>
        <w:t>Djinovic</w:t>
      </w:r>
      <w:r>
        <w:rPr>
          <w:spacing w:val="-2"/>
          <w:sz w:val="24"/>
        </w:rPr>
        <w:t> </w:t>
      </w:r>
      <w:r>
        <w:rPr>
          <w:sz w:val="24"/>
        </w:rPr>
        <w:t>R, Albersen</w:t>
      </w:r>
      <w:r>
        <w:rPr>
          <w:spacing w:val="-1"/>
          <w:sz w:val="24"/>
        </w:rPr>
        <w:t> </w:t>
      </w:r>
      <w:r>
        <w:rPr>
          <w:sz w:val="24"/>
        </w:rPr>
        <w:t>M, et al.</w:t>
      </w:r>
      <w:r>
        <w:rPr>
          <w:spacing w:val="-1"/>
          <w:sz w:val="24"/>
        </w:rPr>
        <w:t> </w:t>
      </w:r>
      <w:r>
        <w:rPr>
          <w:sz w:val="24"/>
        </w:rPr>
        <w:t>Grafts for Peyronie’s disease: a comprehensive review. Andrology 2018;6:117–26. </w:t>
      </w:r>
      <w:r>
        <w:rPr>
          <w:spacing w:val="-2"/>
          <w:sz w:val="24"/>
        </w:rPr>
        <w:t>https://doi.org/10.1111/andr.12421.</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Egydio PH, Lucon AM, Arap S. A single relaxing incision to correct different types of penile curvature: surgical technique based on geometrical principles. BJU Int 2004;94:1147–57. </w:t>
      </w:r>
      <w:r>
        <w:rPr>
          <w:spacing w:val="-2"/>
          <w:sz w:val="24"/>
        </w:rPr>
        <w:t>https://doi.org/10.1111/j.1464-410X.2004.05220.x.</w:t>
      </w:r>
    </w:p>
    <w:p>
      <w:pPr>
        <w:pStyle w:val="ListParagraph"/>
        <w:numPr>
          <w:ilvl w:val="0"/>
          <w:numId w:val="4"/>
        </w:numPr>
        <w:tabs>
          <w:tab w:pos="740" w:val="left" w:leader="none"/>
          <w:tab w:pos="742" w:val="left" w:leader="none"/>
          <w:tab w:pos="2555" w:val="left" w:leader="none"/>
          <w:tab w:pos="4151" w:val="left" w:leader="none"/>
          <w:tab w:pos="5646" w:val="left" w:leader="none"/>
          <w:tab w:pos="6634" w:val="left" w:leader="none"/>
          <w:tab w:pos="8222" w:val="left" w:leader="none"/>
        </w:tabs>
        <w:spacing w:line="360" w:lineRule="auto" w:before="0" w:after="0"/>
        <w:ind w:left="742" w:right="825" w:hanging="642"/>
        <w:jc w:val="both"/>
        <w:rPr>
          <w:sz w:val="24"/>
        </w:rPr>
      </w:pPr>
      <w:r>
        <w:rPr>
          <w:sz w:val="24"/>
        </w:rPr>
        <w:t>Levine LA, Estarda CR. Human Cadaveric Pericardial Graft for the Surgical Correction of </w:t>
      </w:r>
      <w:r>
        <w:rPr>
          <w:spacing w:val="-2"/>
          <w:sz w:val="24"/>
        </w:rPr>
        <w:t>Peyronie’s</w:t>
      </w:r>
      <w:r>
        <w:rPr>
          <w:sz w:val="24"/>
        </w:rPr>
        <w:tab/>
      </w:r>
      <w:r>
        <w:rPr>
          <w:spacing w:val="-2"/>
          <w:sz w:val="24"/>
        </w:rPr>
        <w:t>Disease.</w:t>
      </w:r>
      <w:r>
        <w:rPr>
          <w:sz w:val="24"/>
        </w:rPr>
        <w:tab/>
      </w:r>
      <w:r>
        <w:rPr>
          <w:spacing w:val="-2"/>
          <w:sz w:val="24"/>
        </w:rPr>
        <w:t>Journal</w:t>
      </w:r>
      <w:r>
        <w:rPr>
          <w:sz w:val="24"/>
        </w:rPr>
        <w:tab/>
      </w:r>
      <w:r>
        <w:rPr>
          <w:spacing w:val="-6"/>
          <w:sz w:val="24"/>
        </w:rPr>
        <w:t>of</w:t>
      </w:r>
      <w:r>
        <w:rPr>
          <w:sz w:val="24"/>
        </w:rPr>
        <w:tab/>
      </w:r>
      <w:r>
        <w:rPr>
          <w:spacing w:val="-2"/>
          <w:sz w:val="24"/>
        </w:rPr>
        <w:t>Urology</w:t>
      </w:r>
      <w:r>
        <w:rPr>
          <w:sz w:val="24"/>
        </w:rPr>
        <w:tab/>
      </w:r>
      <w:r>
        <w:rPr>
          <w:spacing w:val="-2"/>
          <w:sz w:val="24"/>
        </w:rPr>
        <w:t>2003;170:2359–62. https://doi.org/10.1097/01.ju.0000091102.10849.95.</w:t>
      </w:r>
    </w:p>
    <w:p>
      <w:pPr>
        <w:pStyle w:val="ListParagraph"/>
        <w:numPr>
          <w:ilvl w:val="0"/>
          <w:numId w:val="4"/>
        </w:numPr>
        <w:tabs>
          <w:tab w:pos="740" w:val="left" w:leader="none"/>
          <w:tab w:pos="742" w:val="left" w:leader="none"/>
        </w:tabs>
        <w:spacing w:line="360" w:lineRule="auto" w:before="1" w:after="0"/>
        <w:ind w:left="742" w:right="823" w:hanging="642"/>
        <w:jc w:val="both"/>
        <w:rPr>
          <w:sz w:val="24"/>
        </w:rPr>
      </w:pPr>
      <w:r>
        <w:rPr>
          <w:sz w:val="24"/>
        </w:rPr>
        <w:t>Kalsi JS, Christopher N, Ralph DJ, Minhas S. Plaque incision and fascia lata grafting in the surgical management of Peyronie’s disease. BJU Int 2006;98:110–5. </w:t>
      </w:r>
      <w:r>
        <w:rPr>
          <w:spacing w:val="-2"/>
          <w:sz w:val="24"/>
        </w:rPr>
        <w:t>https://doi.org/10.1111/j.1464-410X.2006.06251.x.</w:t>
      </w:r>
    </w:p>
    <w:p>
      <w:pPr>
        <w:pStyle w:val="ListParagraph"/>
        <w:numPr>
          <w:ilvl w:val="0"/>
          <w:numId w:val="4"/>
        </w:numPr>
        <w:tabs>
          <w:tab w:pos="740" w:val="left" w:leader="none"/>
          <w:tab w:pos="742" w:val="left" w:leader="none"/>
        </w:tabs>
        <w:spacing w:line="360" w:lineRule="auto" w:before="0" w:after="0"/>
        <w:ind w:left="742" w:right="830" w:hanging="642"/>
        <w:jc w:val="both"/>
        <w:rPr>
          <w:sz w:val="24"/>
        </w:rPr>
      </w:pPr>
      <w:r>
        <w:rPr>
          <w:sz w:val="24"/>
        </w:rPr>
        <w:t>Faerber GJ, Konnak JW. Results of Combined Nesbit Penile Plication with Plaque Incision and Placement of Dacron Patch in Patients with Severe Peyronie’s Disease. Journal of Urology 1993;149:1319–20. https://doi.org/10.1016/S0022-5347(17)36381-4.</w:t>
      </w:r>
    </w:p>
    <w:p>
      <w:pPr>
        <w:pStyle w:val="ListParagraph"/>
        <w:numPr>
          <w:ilvl w:val="0"/>
          <w:numId w:val="4"/>
        </w:numPr>
        <w:tabs>
          <w:tab w:pos="740" w:val="left" w:leader="none"/>
          <w:tab w:pos="742" w:val="left" w:leader="none"/>
        </w:tabs>
        <w:spacing w:line="360" w:lineRule="auto" w:before="1" w:after="0"/>
        <w:ind w:left="742" w:right="826" w:hanging="642"/>
        <w:jc w:val="both"/>
        <w:rPr>
          <w:sz w:val="24"/>
        </w:rPr>
      </w:pPr>
      <w:r>
        <w:rPr>
          <w:sz w:val="24"/>
        </w:rPr>
        <w:t>J. Schiffman Z, O. gursel E, Laor E. Use of dacron patch graft in peyronie disease. Urology 1985;25:38–40. https://doi.org/10.1016/0090-4295(85)90560-6.</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Bokarica P, Parazajder J, Mazuran B, Gilja I. Surgical treatment of Peyronie’s disease based on penile length and degree of curvature. Int J Impot Res 2005;17:170–4. </w:t>
      </w:r>
      <w:r>
        <w:rPr>
          <w:spacing w:val="-2"/>
          <w:sz w:val="24"/>
        </w:rPr>
        <w:t>https://doi.org/10.1038/sj.ijir.3901255.</w:t>
      </w:r>
    </w:p>
    <w:p>
      <w:pPr>
        <w:pStyle w:val="ListParagraph"/>
        <w:numPr>
          <w:ilvl w:val="0"/>
          <w:numId w:val="4"/>
        </w:numPr>
        <w:tabs>
          <w:tab w:pos="740" w:val="left" w:leader="none"/>
          <w:tab w:pos="742" w:val="left" w:leader="none"/>
        </w:tabs>
        <w:spacing w:line="362" w:lineRule="auto" w:before="0" w:after="0"/>
        <w:ind w:left="742" w:right="823" w:hanging="642"/>
        <w:jc w:val="both"/>
        <w:rPr>
          <w:sz w:val="24"/>
        </w:rPr>
      </w:pPr>
      <w:r>
        <w:rPr>
          <w:sz w:val="24"/>
        </w:rPr>
        <w:t>С. В. Котов, А. Г. Юсуфов, М. К. Семенов // Трансплантат слизистой щеки - концепция "идеального графта" в хирургическом лечении болезни Пейрони // Урология.</w:t>
      </w:r>
      <w:r>
        <w:rPr>
          <w:spacing w:val="18"/>
          <w:sz w:val="24"/>
        </w:rPr>
        <w:t> </w:t>
      </w:r>
      <w:r>
        <w:rPr>
          <w:sz w:val="24"/>
        </w:rPr>
        <w:t>– 2017. – №</w:t>
      </w:r>
    </w:p>
    <w:p>
      <w:pPr>
        <w:pStyle w:val="BodyText"/>
        <w:spacing w:line="271" w:lineRule="exact"/>
      </w:pPr>
      <w:r>
        <w:rPr/>
        <w:t>4.</w:t>
      </w:r>
      <w:r>
        <w:rPr>
          <w:spacing w:val="-2"/>
        </w:rPr>
        <w:t> </w:t>
      </w:r>
      <w:r>
        <w:rPr/>
        <w:t>–</w:t>
      </w:r>
      <w:r>
        <w:rPr>
          <w:spacing w:val="-1"/>
        </w:rPr>
        <w:t> </w:t>
      </w:r>
      <w:r>
        <w:rPr/>
        <w:t>С. 68-72. – DOI</w:t>
      </w:r>
      <w:r>
        <w:rPr>
          <w:spacing w:val="-2"/>
        </w:rPr>
        <w:t> </w:t>
      </w:r>
      <w:r>
        <w:rPr/>
        <w:t>10.18565/urol.2017.4.68-</w:t>
      </w:r>
      <w:r>
        <w:rPr>
          <w:spacing w:val="-5"/>
        </w:rPr>
        <w:t>72.</w:t>
      </w:r>
    </w:p>
    <w:p>
      <w:pPr>
        <w:spacing w:after="0" w:line="271" w:lineRule="exact"/>
        <w:sectPr>
          <w:pgSz w:w="11910" w:h="16840"/>
          <w:pgMar w:header="0" w:footer="867" w:top="1660" w:bottom="1060" w:left="960" w:right="20"/>
        </w:sectPr>
      </w:pPr>
    </w:p>
    <w:p>
      <w:pPr>
        <w:pStyle w:val="ListParagraph"/>
        <w:numPr>
          <w:ilvl w:val="0"/>
          <w:numId w:val="4"/>
        </w:numPr>
        <w:tabs>
          <w:tab w:pos="740" w:val="left" w:leader="none"/>
          <w:tab w:pos="742" w:val="left" w:leader="none"/>
        </w:tabs>
        <w:spacing w:line="360" w:lineRule="auto" w:before="70" w:after="0"/>
        <w:ind w:left="742" w:right="824" w:hanging="642"/>
        <w:jc w:val="both"/>
        <w:rPr>
          <w:sz w:val="24"/>
        </w:rPr>
      </w:pPr>
      <w:r>
        <w:rPr>
          <w:sz w:val="24"/>
        </w:rPr>
        <w:t>С. И. Гамидов, А. К. Устарханова, Т. В. Шатылко и соавт. / Прогностические факторы удовлетворенности эректильной функцией при болезни Пейрони // Урология. – 2022. – №</w:t>
      </w:r>
    </w:p>
    <w:p>
      <w:pPr>
        <w:pStyle w:val="BodyText"/>
        <w:spacing w:before="1"/>
      </w:pPr>
      <w:r>
        <w:rPr/>
        <w:t>3.</w:t>
      </w:r>
      <w:r>
        <w:rPr>
          <w:spacing w:val="-3"/>
        </w:rPr>
        <w:t> </w:t>
      </w:r>
      <w:r>
        <w:rPr/>
        <w:t>–</w:t>
      </w:r>
      <w:r>
        <w:rPr>
          <w:spacing w:val="-1"/>
        </w:rPr>
        <w:t> </w:t>
      </w:r>
      <w:r>
        <w:rPr/>
        <w:t>С. 98-102. – DOI</w:t>
      </w:r>
      <w:r>
        <w:rPr>
          <w:spacing w:val="-3"/>
        </w:rPr>
        <w:t> </w:t>
      </w:r>
      <w:r>
        <w:rPr/>
        <w:t>10.18565/urology.2022.3.98-</w:t>
      </w:r>
      <w:r>
        <w:rPr>
          <w:spacing w:val="-4"/>
        </w:rPr>
        <w:t>102.</w:t>
      </w:r>
    </w:p>
    <w:p>
      <w:pPr>
        <w:pStyle w:val="ListParagraph"/>
        <w:numPr>
          <w:ilvl w:val="0"/>
          <w:numId w:val="4"/>
        </w:numPr>
        <w:tabs>
          <w:tab w:pos="740" w:val="left" w:leader="none"/>
          <w:tab w:pos="742" w:val="left" w:leader="none"/>
        </w:tabs>
        <w:spacing w:line="360" w:lineRule="auto" w:before="136" w:after="0"/>
        <w:ind w:left="742" w:right="833" w:hanging="642"/>
        <w:jc w:val="both"/>
        <w:rPr>
          <w:sz w:val="24"/>
        </w:rPr>
      </w:pPr>
      <w:r>
        <w:rPr>
          <w:sz w:val="24"/>
        </w:rPr>
        <w:t>Habous M, Tealab A, Farag M, Soliman T, Williamson B, Mahmoud S, et al. Malleable Penile Implant Is an Effective Therapeutic Option in Men With Peyronie’s Disease and Erectile Dysfunction. Sex Med 2018;6:24–9. https://doi.org/10.1016/j.esxm.2017.10.004.</w:t>
      </w:r>
    </w:p>
    <w:p>
      <w:pPr>
        <w:pStyle w:val="ListParagraph"/>
        <w:numPr>
          <w:ilvl w:val="0"/>
          <w:numId w:val="4"/>
        </w:numPr>
        <w:tabs>
          <w:tab w:pos="740" w:val="left" w:leader="none"/>
          <w:tab w:pos="742" w:val="left" w:leader="none"/>
        </w:tabs>
        <w:spacing w:line="360" w:lineRule="auto" w:before="0" w:after="0"/>
        <w:ind w:left="742" w:right="825" w:hanging="642"/>
        <w:jc w:val="both"/>
        <w:rPr>
          <w:sz w:val="24"/>
        </w:rPr>
      </w:pPr>
      <w:r>
        <w:rPr>
          <w:sz w:val="24"/>
        </w:rPr>
        <w:t>Wilson SK, Delk JR. A New Treatment for Peyronie’s Disease: Modeling the Penis Over an Inflatable Penile Prosthesis. Journal of Urology 1994;152:1121–3.</w:t>
      </w:r>
      <w:r>
        <w:rPr>
          <w:spacing w:val="80"/>
          <w:sz w:val="24"/>
        </w:rPr>
        <w:t> </w:t>
      </w:r>
      <w:r>
        <w:rPr>
          <w:spacing w:val="-2"/>
          <w:sz w:val="24"/>
        </w:rPr>
        <w:t>https://doi.org/10.1016/S0022-5347(17)32519-3.</w:t>
      </w:r>
    </w:p>
    <w:p>
      <w:pPr>
        <w:pStyle w:val="ListParagraph"/>
        <w:numPr>
          <w:ilvl w:val="0"/>
          <w:numId w:val="4"/>
        </w:numPr>
        <w:tabs>
          <w:tab w:pos="740" w:val="left" w:leader="none"/>
          <w:tab w:pos="742" w:val="left" w:leader="none"/>
        </w:tabs>
        <w:spacing w:line="360" w:lineRule="auto" w:before="1" w:after="0"/>
        <w:ind w:left="742" w:right="825" w:hanging="642"/>
        <w:jc w:val="both"/>
        <w:rPr>
          <w:sz w:val="24"/>
        </w:rPr>
      </w:pPr>
      <w:r>
        <w:rPr>
          <w:sz w:val="24"/>
        </w:rPr>
        <w:t>Котов С.В., Юсуфов А.Г., Соколов Н.М., Маммаев Р.У. Пенильная реабилитация у пациентов после оперативного лечения болезни Пейрони. Вестник урологии. 2023;11(2):144-153. https://doi.org/10.21886/2308-6424-2023-11-2-144-153</w:t>
      </w:r>
    </w:p>
    <w:p>
      <w:pPr>
        <w:pStyle w:val="ListParagraph"/>
        <w:numPr>
          <w:ilvl w:val="0"/>
          <w:numId w:val="4"/>
        </w:numPr>
        <w:tabs>
          <w:tab w:pos="740" w:val="left" w:leader="none"/>
          <w:tab w:pos="742" w:val="left" w:leader="none"/>
        </w:tabs>
        <w:spacing w:line="360" w:lineRule="auto" w:before="0" w:after="0"/>
        <w:ind w:left="742" w:right="764" w:hanging="642"/>
        <w:jc w:val="both"/>
        <w:rPr>
          <w:sz w:val="24"/>
        </w:rPr>
      </w:pPr>
      <w:r>
        <w:rPr>
          <w:sz w:val="24"/>
        </w:rPr>
        <w:t>Chung E, Solomon M, DeYoung L, Brock GB. Comparison Between AMS 700</w:t>
      </w:r>
      <w:r>
        <w:rPr>
          <w:sz w:val="24"/>
          <w:vertAlign w:val="superscript"/>
        </w:rPr>
        <w:t>TM</w:t>
      </w:r>
      <w:r>
        <w:rPr>
          <w:sz w:val="24"/>
          <w:vertAlign w:val="baseline"/>
        </w:rPr>
        <w:t> CX and Coloplast</w:t>
      </w:r>
      <w:r>
        <w:rPr>
          <w:sz w:val="24"/>
          <w:vertAlign w:val="superscript"/>
        </w:rPr>
        <w:t>TM</w:t>
      </w:r>
      <w:r>
        <w:rPr>
          <w:sz w:val="24"/>
          <w:vertAlign w:val="baseline"/>
        </w:rPr>
        <w:t> Titan Inflatable Penile</w:t>
      </w:r>
      <w:r>
        <w:rPr>
          <w:spacing w:val="-1"/>
          <w:sz w:val="24"/>
          <w:vertAlign w:val="baseline"/>
        </w:rPr>
        <w:t> </w:t>
      </w:r>
      <w:r>
        <w:rPr>
          <w:sz w:val="24"/>
          <w:vertAlign w:val="baseline"/>
        </w:rPr>
        <w:t>Prosthesis</w:t>
      </w:r>
      <w:r>
        <w:rPr>
          <w:spacing w:val="-1"/>
          <w:sz w:val="24"/>
          <w:vertAlign w:val="baseline"/>
        </w:rPr>
        <w:t> </w:t>
      </w:r>
      <w:r>
        <w:rPr>
          <w:sz w:val="24"/>
          <w:vertAlign w:val="baseline"/>
        </w:rPr>
        <w:t>for</w:t>
      </w:r>
      <w:r>
        <w:rPr>
          <w:spacing w:val="-1"/>
          <w:sz w:val="24"/>
          <w:vertAlign w:val="baseline"/>
        </w:rPr>
        <w:t> </w:t>
      </w:r>
      <w:r>
        <w:rPr>
          <w:sz w:val="24"/>
          <w:vertAlign w:val="baseline"/>
        </w:rPr>
        <w:t>Peyronie’s Disease</w:t>
      </w:r>
      <w:r>
        <w:rPr>
          <w:spacing w:val="-1"/>
          <w:sz w:val="24"/>
          <w:vertAlign w:val="baseline"/>
        </w:rPr>
        <w:t> </w:t>
      </w:r>
      <w:r>
        <w:rPr>
          <w:sz w:val="24"/>
          <w:vertAlign w:val="baseline"/>
        </w:rPr>
        <w:t>Treatment and Remodeling: Clinical Outcomes and Patient Satisfaction. J Sex Med 2013;10:2855–60. </w:t>
      </w:r>
      <w:r>
        <w:rPr>
          <w:spacing w:val="-2"/>
          <w:sz w:val="24"/>
          <w:vertAlign w:val="baseline"/>
        </w:rPr>
        <w:t>https://doi.org/10.1111/jsm.12009.</w:t>
      </w:r>
    </w:p>
    <w:p>
      <w:pPr>
        <w:pStyle w:val="ListParagraph"/>
        <w:numPr>
          <w:ilvl w:val="0"/>
          <w:numId w:val="4"/>
        </w:numPr>
        <w:tabs>
          <w:tab w:pos="740" w:val="left" w:leader="none"/>
          <w:tab w:pos="742" w:val="left" w:leader="none"/>
        </w:tabs>
        <w:spacing w:line="360" w:lineRule="auto" w:before="0" w:after="0"/>
        <w:ind w:left="742" w:right="823" w:hanging="642"/>
        <w:jc w:val="both"/>
        <w:rPr>
          <w:sz w:val="24"/>
        </w:rPr>
      </w:pPr>
      <w:r>
        <w:rPr>
          <w:sz w:val="24"/>
        </w:rPr>
        <w:t>Flores S, Choi J, Alex B, Mulhall JP. Erectile Dysfunction after Plaque Incision and Grafting: Short-term Assessment of Incidence and Predictors. J Sex Med 2011;8:2031–7. </w:t>
      </w:r>
      <w:r>
        <w:rPr>
          <w:spacing w:val="-2"/>
          <w:sz w:val="24"/>
        </w:rPr>
        <w:t>https://doi.org/10.1111/j.1743-6109.2011.02299.x.</w:t>
      </w:r>
    </w:p>
    <w:p>
      <w:pPr>
        <w:pStyle w:val="ListParagraph"/>
        <w:numPr>
          <w:ilvl w:val="0"/>
          <w:numId w:val="4"/>
        </w:numPr>
        <w:tabs>
          <w:tab w:pos="740" w:val="left" w:leader="none"/>
          <w:tab w:pos="742" w:val="left" w:leader="none"/>
        </w:tabs>
        <w:spacing w:line="360" w:lineRule="auto" w:before="1" w:after="0"/>
        <w:ind w:left="742" w:right="827" w:hanging="642"/>
        <w:jc w:val="both"/>
        <w:rPr>
          <w:sz w:val="24"/>
        </w:rPr>
      </w:pPr>
      <w:r>
        <w:rPr>
          <w:sz w:val="24"/>
        </w:rPr>
        <w:t>Levine LA, Newell M, Taylor FL. Penile Traction Therapy for Treatment of Peyronie’s Disease: A Single-Center Pilot Study. J Sex Med 2008;5:1468–73. https://doi.org/10.1111/j.1743- </w:t>
      </w:r>
      <w:r>
        <w:rPr>
          <w:spacing w:val="-2"/>
          <w:sz w:val="24"/>
        </w:rPr>
        <w:t>6109.2008.00814.x.</w:t>
      </w:r>
    </w:p>
    <w:p>
      <w:pPr>
        <w:pStyle w:val="ListParagraph"/>
        <w:numPr>
          <w:ilvl w:val="0"/>
          <w:numId w:val="4"/>
        </w:numPr>
        <w:tabs>
          <w:tab w:pos="740" w:val="left" w:leader="none"/>
          <w:tab w:pos="742" w:val="left" w:leader="none"/>
        </w:tabs>
        <w:spacing w:line="360" w:lineRule="auto" w:before="0" w:after="0"/>
        <w:ind w:left="742" w:right="829" w:hanging="642"/>
        <w:jc w:val="both"/>
        <w:rPr>
          <w:sz w:val="24"/>
        </w:rPr>
      </w:pPr>
      <w:r>
        <w:rPr>
          <w:sz w:val="24"/>
        </w:rPr>
        <w:t>Rosen R, Cappelleri J, Smith M, Lipsky J, Peña B. Development and evaluation of an abridged, 5-item version of the International Index of Erectile Function (IIEF-5) as a diagnostic tool for erectile dysfunction. Int J Impot Res 1999;11:319–26. https://doi.org/10.1038/sj.ijir.3900472.</w:t>
      </w:r>
    </w:p>
    <w:p>
      <w:pPr>
        <w:pStyle w:val="ListParagraph"/>
        <w:numPr>
          <w:ilvl w:val="0"/>
          <w:numId w:val="4"/>
        </w:numPr>
        <w:tabs>
          <w:tab w:pos="740" w:val="left" w:leader="none"/>
          <w:tab w:pos="742" w:val="left" w:leader="none"/>
        </w:tabs>
        <w:spacing w:line="360" w:lineRule="auto" w:before="1" w:after="0"/>
        <w:ind w:left="742" w:right="823" w:hanging="642"/>
        <w:jc w:val="both"/>
        <w:rPr>
          <w:sz w:val="24"/>
        </w:rPr>
      </w:pPr>
      <w:r>
        <w:rPr>
          <w:sz w:val="24"/>
        </w:rPr>
        <w:t>Rosen RC, Riley</w:t>
      </w:r>
      <w:r>
        <w:rPr>
          <w:spacing w:val="-2"/>
          <w:sz w:val="24"/>
        </w:rPr>
        <w:t> </w:t>
      </w:r>
      <w:r>
        <w:rPr>
          <w:sz w:val="24"/>
        </w:rPr>
        <w:t>A, Wagner G, Osterloh IH, Kirkpatrick J, Mishra A. The international index of erectile</w:t>
      </w:r>
      <w:r>
        <w:rPr>
          <w:spacing w:val="-2"/>
          <w:sz w:val="24"/>
        </w:rPr>
        <w:t> </w:t>
      </w:r>
      <w:r>
        <w:rPr>
          <w:sz w:val="24"/>
        </w:rPr>
        <w:t>function</w:t>
      </w:r>
      <w:r>
        <w:rPr>
          <w:spacing w:val="-2"/>
          <w:sz w:val="24"/>
        </w:rPr>
        <w:t> </w:t>
      </w:r>
      <w:r>
        <w:rPr>
          <w:sz w:val="24"/>
        </w:rPr>
        <w:t>(IIEF):</w:t>
      </w:r>
      <w:r>
        <w:rPr>
          <w:spacing w:val="-2"/>
          <w:sz w:val="24"/>
        </w:rPr>
        <w:t> </w:t>
      </w:r>
      <w:r>
        <w:rPr>
          <w:sz w:val="24"/>
        </w:rPr>
        <w:t>a</w:t>
      </w:r>
      <w:r>
        <w:rPr>
          <w:spacing w:val="-4"/>
          <w:sz w:val="24"/>
        </w:rPr>
        <w:t> </w:t>
      </w:r>
      <w:r>
        <w:rPr>
          <w:sz w:val="24"/>
        </w:rPr>
        <w:t>multidimensional</w:t>
      </w:r>
      <w:r>
        <w:rPr>
          <w:spacing w:val="-3"/>
          <w:sz w:val="24"/>
        </w:rPr>
        <w:t> </w:t>
      </w:r>
      <w:r>
        <w:rPr>
          <w:sz w:val="24"/>
        </w:rPr>
        <w:t>scale</w:t>
      </w:r>
      <w:r>
        <w:rPr>
          <w:spacing w:val="-1"/>
          <w:sz w:val="24"/>
        </w:rPr>
        <w:t> </w:t>
      </w:r>
      <w:r>
        <w:rPr>
          <w:sz w:val="24"/>
        </w:rPr>
        <w:t>for</w:t>
      </w:r>
      <w:r>
        <w:rPr>
          <w:spacing w:val="-5"/>
          <w:sz w:val="24"/>
        </w:rPr>
        <w:t> </w:t>
      </w:r>
      <w:r>
        <w:rPr>
          <w:sz w:val="24"/>
        </w:rPr>
        <w:t>assessment</w:t>
      </w:r>
      <w:r>
        <w:rPr>
          <w:spacing w:val="-3"/>
          <w:sz w:val="24"/>
        </w:rPr>
        <w:t> </w:t>
      </w:r>
      <w:r>
        <w:rPr>
          <w:sz w:val="24"/>
        </w:rPr>
        <w:t>of</w:t>
      </w:r>
      <w:r>
        <w:rPr>
          <w:spacing w:val="-2"/>
          <w:sz w:val="24"/>
        </w:rPr>
        <w:t> </w:t>
      </w:r>
      <w:r>
        <w:rPr>
          <w:sz w:val="24"/>
        </w:rPr>
        <w:t>erectile</w:t>
      </w:r>
      <w:r>
        <w:rPr>
          <w:spacing w:val="-2"/>
          <w:sz w:val="24"/>
        </w:rPr>
        <w:t> </w:t>
      </w:r>
      <w:r>
        <w:rPr>
          <w:sz w:val="24"/>
        </w:rPr>
        <w:t>dysfunction. Urology 1997;49:822–30. </w:t>
      </w:r>
      <w:hyperlink r:id="rId9">
        <w:r>
          <w:rPr>
            <w:color w:val="0000FF"/>
            <w:sz w:val="24"/>
            <w:u w:val="single" w:color="0000FF"/>
          </w:rPr>
          <w:t>https://doi.org/10.1016/S0090-4295(97)00238-0</w:t>
        </w:r>
      </w:hyperlink>
      <w:r>
        <w:rPr>
          <w:sz w:val="24"/>
          <w:u w:val="none"/>
        </w:rPr>
        <w:t>.</w:t>
      </w:r>
    </w:p>
    <w:p>
      <w:pPr>
        <w:pStyle w:val="Heading1"/>
        <w:spacing w:line="360" w:lineRule="auto" w:before="242"/>
      </w:pPr>
      <w:r>
        <w:rPr>
          <w:u w:val="single"/>
        </w:rPr>
        <w:t>Приложение</w:t>
      </w:r>
      <w:r>
        <w:rPr>
          <w:spacing w:val="40"/>
          <w:u w:val="single"/>
        </w:rPr>
        <w:t> </w:t>
      </w:r>
      <w:r>
        <w:rPr>
          <w:u w:val="single"/>
        </w:rPr>
        <w:t>А1.</w:t>
      </w:r>
      <w:r>
        <w:rPr>
          <w:spacing w:val="40"/>
          <w:u w:val="single"/>
        </w:rPr>
        <w:t> </w:t>
      </w:r>
      <w:r>
        <w:rPr>
          <w:u w:val="single"/>
        </w:rPr>
        <w:t>Состав</w:t>
      </w:r>
      <w:r>
        <w:rPr>
          <w:spacing w:val="40"/>
          <w:u w:val="single"/>
        </w:rPr>
        <w:t> </w:t>
      </w:r>
      <w:r>
        <w:rPr>
          <w:u w:val="single"/>
        </w:rPr>
        <w:t>рабочей</w:t>
      </w:r>
      <w:r>
        <w:rPr>
          <w:spacing w:val="40"/>
          <w:u w:val="single"/>
        </w:rPr>
        <w:t> </w:t>
      </w:r>
      <w:r>
        <w:rPr>
          <w:u w:val="single"/>
        </w:rPr>
        <w:t>группы</w:t>
      </w:r>
      <w:r>
        <w:rPr>
          <w:spacing w:val="40"/>
          <w:u w:val="single"/>
        </w:rPr>
        <w:t> </w:t>
      </w:r>
      <w:r>
        <w:rPr>
          <w:u w:val="single"/>
        </w:rPr>
        <w:t>по</w:t>
      </w:r>
      <w:r>
        <w:rPr>
          <w:spacing w:val="40"/>
          <w:u w:val="single"/>
        </w:rPr>
        <w:t> </w:t>
      </w:r>
      <w:r>
        <w:rPr>
          <w:u w:val="single"/>
        </w:rPr>
        <w:t>разработке</w:t>
      </w:r>
      <w:r>
        <w:rPr>
          <w:spacing w:val="40"/>
          <w:u w:val="single"/>
        </w:rPr>
        <w:t> </w:t>
      </w:r>
      <w:r>
        <w:rPr>
          <w:u w:val="single"/>
        </w:rPr>
        <w:t>и</w:t>
      </w:r>
      <w:r>
        <w:rPr>
          <w:spacing w:val="40"/>
          <w:u w:val="single"/>
        </w:rPr>
        <w:t> </w:t>
      </w:r>
      <w:r>
        <w:rPr>
          <w:u w:val="single"/>
        </w:rPr>
        <w:t>пересмотру</w:t>
      </w:r>
      <w:r>
        <w:rPr>
          <w:u w:val="none"/>
        </w:rPr>
        <w:t> </w:t>
      </w:r>
      <w:r>
        <w:rPr>
          <w:u w:val="single"/>
        </w:rPr>
        <w:t>клинических рекомендаций</w:t>
      </w:r>
    </w:p>
    <w:p>
      <w:pPr>
        <w:pStyle w:val="ListParagraph"/>
        <w:numPr>
          <w:ilvl w:val="1"/>
          <w:numId w:val="4"/>
        </w:numPr>
        <w:tabs>
          <w:tab w:pos="2157" w:val="left" w:leader="none"/>
        </w:tabs>
        <w:spacing w:line="360" w:lineRule="auto" w:before="0" w:after="0"/>
        <w:ind w:left="742" w:right="831" w:firstLine="707"/>
        <w:jc w:val="both"/>
        <w:rPr>
          <w:sz w:val="24"/>
        </w:rPr>
      </w:pPr>
      <w:r>
        <w:rPr>
          <w:sz w:val="24"/>
        </w:rPr>
        <w:t>Гамидов С.И., д.м.н., профессор, доцент кафедры акушерства, гинекологии, перинатологии и репродуктологии ИКМ Сеченовского Университета, заведующий отделением андрологии и урологии НМИЦ АГП им. В.И. Кулакова</w:t>
      </w:r>
    </w:p>
    <w:p>
      <w:pPr>
        <w:spacing w:after="0" w:line="360" w:lineRule="auto"/>
        <w:jc w:val="both"/>
        <w:rPr>
          <w:sz w:val="24"/>
        </w:rPr>
        <w:sectPr>
          <w:pgSz w:w="11910" w:h="16840"/>
          <w:pgMar w:header="0" w:footer="867" w:top="1660" w:bottom="1060" w:left="960" w:right="20"/>
        </w:sectPr>
      </w:pPr>
    </w:p>
    <w:p>
      <w:pPr>
        <w:pStyle w:val="ListParagraph"/>
        <w:numPr>
          <w:ilvl w:val="1"/>
          <w:numId w:val="4"/>
        </w:numPr>
        <w:tabs>
          <w:tab w:pos="2157" w:val="left" w:leader="none"/>
        </w:tabs>
        <w:spacing w:line="360" w:lineRule="auto" w:before="70" w:after="0"/>
        <w:ind w:left="742" w:right="826" w:firstLine="707"/>
        <w:jc w:val="both"/>
        <w:rPr>
          <w:sz w:val="24"/>
        </w:rPr>
      </w:pPr>
      <w:r>
        <w:rPr>
          <w:sz w:val="24"/>
        </w:rPr>
        <w:t>Маммаев Р.У., врач-уролог, младший научный сотрудник отделения андрологии и урологии НМИЦ АГП им. В.И. Кулакова, аспирант кафедры акушерства, гинекологии, перинатологии и репродуктологии ИКМ Сеченовского Университета</w:t>
      </w:r>
    </w:p>
    <w:p>
      <w:pPr>
        <w:pStyle w:val="ListParagraph"/>
        <w:numPr>
          <w:ilvl w:val="1"/>
          <w:numId w:val="4"/>
        </w:numPr>
        <w:tabs>
          <w:tab w:pos="2157" w:val="left" w:leader="none"/>
        </w:tabs>
        <w:spacing w:line="360" w:lineRule="auto" w:before="0" w:after="0"/>
        <w:ind w:left="742" w:right="829" w:firstLine="707"/>
        <w:jc w:val="both"/>
        <w:rPr>
          <w:sz w:val="24"/>
        </w:rPr>
      </w:pPr>
      <w:r>
        <w:rPr>
          <w:sz w:val="24"/>
        </w:rPr>
        <w:t>Шатылко Т.В., к.м.н., врач-уролог отделения андрологии и урологии НМИЦ АГП им. В.И. Кулакова</w:t>
      </w:r>
    </w:p>
    <w:p>
      <w:pPr>
        <w:pStyle w:val="BodyText"/>
        <w:spacing w:line="360" w:lineRule="auto"/>
        <w:ind w:right="834" w:firstLine="707"/>
      </w:pPr>
      <w:r>
        <w:rPr/>
        <w:t>Конфликт интересов: авторы клинических рекомендаций заявляют об отсутствии конфликта интерес</w:t>
      </w:r>
      <w:bookmarkStart w:name="_bookmark26" w:id="27"/>
      <w:bookmarkEnd w:id="27"/>
      <w:r>
        <w:rPr/>
        <w:t>ов.</w:t>
      </w:r>
    </w:p>
    <w:p>
      <w:pPr>
        <w:spacing w:line="360" w:lineRule="auto" w:before="244"/>
        <w:ind w:left="1450" w:right="874" w:hanging="708"/>
        <w:jc w:val="left"/>
        <w:rPr>
          <w:sz w:val="24"/>
        </w:rPr>
      </w:pPr>
      <w:r>
        <w:rPr>
          <w:b/>
          <w:sz w:val="28"/>
          <w:u w:val="single"/>
        </w:rPr>
        <w:t>Приложение</w:t>
      </w:r>
      <w:r>
        <w:rPr>
          <w:b/>
          <w:spacing w:val="-6"/>
          <w:sz w:val="28"/>
          <w:u w:val="single"/>
        </w:rPr>
        <w:t> </w:t>
      </w:r>
      <w:r>
        <w:rPr>
          <w:b/>
          <w:sz w:val="28"/>
          <w:u w:val="single"/>
        </w:rPr>
        <w:t>А2.</w:t>
      </w:r>
      <w:r>
        <w:rPr>
          <w:b/>
          <w:spacing w:val="-7"/>
          <w:sz w:val="28"/>
          <w:u w:val="single"/>
        </w:rPr>
        <w:t> </w:t>
      </w:r>
      <w:r>
        <w:rPr>
          <w:b/>
          <w:sz w:val="28"/>
          <w:u w:val="single"/>
        </w:rPr>
        <w:t>Методология</w:t>
      </w:r>
      <w:r>
        <w:rPr>
          <w:b/>
          <w:spacing w:val="-8"/>
          <w:sz w:val="28"/>
          <w:u w:val="single"/>
        </w:rPr>
        <w:t> </w:t>
      </w:r>
      <w:r>
        <w:rPr>
          <w:b/>
          <w:sz w:val="28"/>
          <w:u w:val="single"/>
        </w:rPr>
        <w:t>разработки</w:t>
      </w:r>
      <w:r>
        <w:rPr>
          <w:b/>
          <w:spacing w:val="-7"/>
          <w:sz w:val="28"/>
          <w:u w:val="single"/>
        </w:rPr>
        <w:t> </w:t>
      </w:r>
      <w:r>
        <w:rPr>
          <w:b/>
          <w:sz w:val="28"/>
          <w:u w:val="single"/>
        </w:rPr>
        <w:t>клинических</w:t>
      </w:r>
      <w:r>
        <w:rPr>
          <w:b/>
          <w:spacing w:val="-9"/>
          <w:sz w:val="28"/>
          <w:u w:val="single"/>
        </w:rPr>
        <w:t> </w:t>
      </w:r>
      <w:r>
        <w:rPr>
          <w:b/>
          <w:sz w:val="28"/>
          <w:u w:val="single"/>
        </w:rPr>
        <w:t>рекомендаций</w:t>
      </w:r>
      <w:r>
        <w:rPr>
          <w:b/>
          <w:sz w:val="28"/>
          <w:u w:val="none"/>
        </w:rPr>
        <w:t> </w:t>
      </w:r>
      <w:r>
        <w:rPr>
          <w:b/>
          <w:sz w:val="24"/>
          <w:u w:val="single"/>
        </w:rPr>
        <w:t>Целевая аудитория данных клинических рекомендаций:</w:t>
      </w:r>
      <w:r>
        <w:rPr>
          <w:b/>
          <w:sz w:val="24"/>
          <w:u w:val="none"/>
        </w:rPr>
        <w:t> </w:t>
      </w:r>
      <w:r>
        <w:rPr>
          <w:sz w:val="24"/>
          <w:u w:val="none"/>
        </w:rPr>
        <w:t>специалисты, имеющие высшее медицинское образование по следующим специальностям:</w:t>
      </w:r>
    </w:p>
    <w:p>
      <w:pPr>
        <w:pStyle w:val="ListParagraph"/>
        <w:numPr>
          <w:ilvl w:val="0"/>
          <w:numId w:val="5"/>
        </w:numPr>
        <w:tabs>
          <w:tab w:pos="1690" w:val="left" w:leader="none"/>
        </w:tabs>
        <w:spacing w:line="272" w:lineRule="exact" w:before="0" w:after="0"/>
        <w:ind w:left="1690" w:right="0" w:hanging="240"/>
        <w:jc w:val="left"/>
        <w:rPr>
          <w:sz w:val="24"/>
        </w:rPr>
      </w:pPr>
      <w:r>
        <w:rPr>
          <w:spacing w:val="-2"/>
          <w:sz w:val="24"/>
        </w:rPr>
        <w:t>Урология</w:t>
      </w:r>
    </w:p>
    <w:p>
      <w:pPr>
        <w:pStyle w:val="ListParagraph"/>
        <w:numPr>
          <w:ilvl w:val="0"/>
          <w:numId w:val="5"/>
        </w:numPr>
        <w:tabs>
          <w:tab w:pos="1690" w:val="left" w:leader="none"/>
        </w:tabs>
        <w:spacing w:line="240" w:lineRule="auto" w:before="139" w:after="0"/>
        <w:ind w:left="1690" w:right="0" w:hanging="240"/>
        <w:jc w:val="left"/>
        <w:rPr>
          <w:sz w:val="24"/>
        </w:rPr>
      </w:pPr>
      <w:r>
        <w:rPr>
          <w:spacing w:val="-2"/>
          <w:sz w:val="24"/>
        </w:rPr>
        <w:t>Хирургия</w:t>
      </w:r>
    </w:p>
    <w:p>
      <w:pPr>
        <w:pStyle w:val="BodyText"/>
        <w:spacing w:line="360" w:lineRule="auto" w:before="137" w:after="6"/>
        <w:ind w:right="835" w:firstLine="707"/>
      </w:pPr>
      <w:r>
        <w:rPr>
          <w:b/>
        </w:rPr>
        <w:t>Таблица 1.</w:t>
      </w:r>
      <w:r>
        <w:rPr/>
        <w:t>Шкала оценки уровней достоверности доказательств (УДД)для методов диагностики (диагностических вмешательств)</w:t>
      </w:r>
    </w:p>
    <w:tbl>
      <w:tblPr>
        <w:tblW w:w="0" w:type="auto"/>
        <w:jc w:val="left"/>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8757"/>
      </w:tblGrid>
      <w:tr>
        <w:trPr>
          <w:trHeight w:val="635" w:hRule="atLeast"/>
        </w:trPr>
        <w:tc>
          <w:tcPr>
            <w:tcW w:w="816" w:type="dxa"/>
          </w:tcPr>
          <w:p>
            <w:pPr>
              <w:pStyle w:val="TableParagraph"/>
              <w:spacing w:before="40"/>
              <w:rPr>
                <w:sz w:val="24"/>
              </w:rPr>
            </w:pPr>
          </w:p>
          <w:p>
            <w:pPr>
              <w:pStyle w:val="TableParagraph"/>
              <w:ind w:left="242"/>
              <w:rPr>
                <w:b/>
                <w:sz w:val="24"/>
              </w:rPr>
            </w:pPr>
            <w:r>
              <w:rPr>
                <w:b/>
                <w:spacing w:val="-5"/>
                <w:sz w:val="24"/>
              </w:rPr>
              <w:t>ДД</w:t>
            </w:r>
          </w:p>
        </w:tc>
        <w:tc>
          <w:tcPr>
            <w:tcW w:w="8757" w:type="dxa"/>
          </w:tcPr>
          <w:p>
            <w:pPr>
              <w:pStyle w:val="TableParagraph"/>
              <w:spacing w:line="275" w:lineRule="exact"/>
              <w:ind w:left="709"/>
              <w:jc w:val="center"/>
              <w:rPr>
                <w:b/>
                <w:sz w:val="24"/>
              </w:rPr>
            </w:pPr>
            <w:r>
              <w:rPr>
                <w:b/>
                <w:spacing w:val="-2"/>
                <w:sz w:val="24"/>
              </w:rPr>
              <w:t>Расшифровка</w:t>
            </w:r>
          </w:p>
        </w:tc>
      </w:tr>
      <w:tr>
        <w:trPr>
          <w:trHeight w:val="952" w:hRule="atLeast"/>
        </w:trPr>
        <w:tc>
          <w:tcPr>
            <w:tcW w:w="816" w:type="dxa"/>
          </w:tcPr>
          <w:p>
            <w:pPr>
              <w:pStyle w:val="TableParagraph"/>
              <w:rPr>
                <w:sz w:val="24"/>
              </w:rPr>
            </w:pPr>
          </w:p>
        </w:tc>
        <w:tc>
          <w:tcPr>
            <w:tcW w:w="8757" w:type="dxa"/>
          </w:tcPr>
          <w:p>
            <w:pPr>
              <w:pStyle w:val="TableParagraph"/>
              <w:spacing w:line="276" w:lineRule="auto"/>
              <w:ind w:left="105" w:firstLine="708"/>
              <w:rPr>
                <w:sz w:val="24"/>
              </w:rPr>
            </w:pPr>
            <w:r>
              <w:rPr>
                <w:sz w:val="24"/>
              </w:rPr>
              <w:t>Систематические обзоры исследований с контролем референсным методом или</w:t>
            </w:r>
            <w:r>
              <w:rPr>
                <w:spacing w:val="51"/>
                <w:w w:val="150"/>
                <w:sz w:val="24"/>
              </w:rPr>
              <w:t> </w:t>
            </w:r>
            <w:r>
              <w:rPr>
                <w:sz w:val="24"/>
              </w:rPr>
              <w:t>систематический</w:t>
            </w:r>
            <w:r>
              <w:rPr>
                <w:spacing w:val="52"/>
                <w:w w:val="150"/>
                <w:sz w:val="24"/>
              </w:rPr>
              <w:t> </w:t>
            </w:r>
            <w:r>
              <w:rPr>
                <w:sz w:val="24"/>
              </w:rPr>
              <w:t>обзор</w:t>
            </w:r>
            <w:r>
              <w:rPr>
                <w:spacing w:val="52"/>
                <w:w w:val="150"/>
                <w:sz w:val="24"/>
              </w:rPr>
              <w:t> </w:t>
            </w:r>
            <w:r>
              <w:rPr>
                <w:sz w:val="24"/>
              </w:rPr>
              <w:t>рандомизированных</w:t>
            </w:r>
            <w:r>
              <w:rPr>
                <w:spacing w:val="52"/>
                <w:w w:val="150"/>
                <w:sz w:val="24"/>
              </w:rPr>
              <w:t> </w:t>
            </w:r>
            <w:r>
              <w:rPr>
                <w:sz w:val="24"/>
              </w:rPr>
              <w:t>клинических</w:t>
            </w:r>
            <w:r>
              <w:rPr>
                <w:spacing w:val="54"/>
                <w:w w:val="150"/>
                <w:sz w:val="24"/>
              </w:rPr>
              <w:t> </w:t>
            </w:r>
            <w:r>
              <w:rPr>
                <w:sz w:val="24"/>
              </w:rPr>
              <w:t>исследований</w:t>
            </w:r>
            <w:r>
              <w:rPr>
                <w:spacing w:val="54"/>
                <w:w w:val="150"/>
                <w:sz w:val="24"/>
              </w:rPr>
              <w:t> </w:t>
            </w:r>
            <w:r>
              <w:rPr>
                <w:spacing w:val="-10"/>
                <w:sz w:val="24"/>
              </w:rPr>
              <w:t>с</w:t>
            </w:r>
          </w:p>
          <w:p>
            <w:pPr>
              <w:pStyle w:val="TableParagraph"/>
              <w:spacing w:line="275" w:lineRule="exact"/>
              <w:ind w:left="105"/>
              <w:rPr>
                <w:sz w:val="24"/>
              </w:rPr>
            </w:pPr>
            <w:r>
              <w:rPr>
                <w:sz w:val="24"/>
              </w:rPr>
              <w:t>применением</w:t>
            </w:r>
            <w:r>
              <w:rPr>
                <w:spacing w:val="-8"/>
                <w:sz w:val="24"/>
              </w:rPr>
              <w:t> </w:t>
            </w:r>
            <w:r>
              <w:rPr>
                <w:sz w:val="24"/>
              </w:rPr>
              <w:t>мета-</w:t>
            </w:r>
            <w:r>
              <w:rPr>
                <w:spacing w:val="-2"/>
                <w:sz w:val="24"/>
              </w:rPr>
              <w:t>анализа</w:t>
            </w:r>
          </w:p>
        </w:tc>
      </w:tr>
      <w:tr>
        <w:trPr>
          <w:trHeight w:val="1269" w:hRule="atLeast"/>
        </w:trPr>
        <w:tc>
          <w:tcPr>
            <w:tcW w:w="816" w:type="dxa"/>
          </w:tcPr>
          <w:p>
            <w:pPr>
              <w:pStyle w:val="TableParagraph"/>
              <w:rPr>
                <w:sz w:val="24"/>
              </w:rPr>
            </w:pPr>
          </w:p>
        </w:tc>
        <w:tc>
          <w:tcPr>
            <w:tcW w:w="8757" w:type="dxa"/>
          </w:tcPr>
          <w:p>
            <w:pPr>
              <w:pStyle w:val="TableParagraph"/>
              <w:spacing w:line="276" w:lineRule="auto"/>
              <w:ind w:left="105" w:right="102" w:firstLine="708"/>
              <w:jc w:val="both"/>
              <w:rPr>
                <w:sz w:val="24"/>
              </w:rPr>
            </w:pPr>
            <w:r>
              <w:rPr>
                <w:sz w:val="24"/>
              </w:rPr>
              <w:t>Отдельные исследования с контролем референсным методом или</w:t>
            </w:r>
            <w:r>
              <w:rPr>
                <w:spacing w:val="40"/>
                <w:sz w:val="24"/>
              </w:rPr>
              <w:t> </w:t>
            </w:r>
            <w:r>
              <w:rPr>
                <w:sz w:val="24"/>
              </w:rPr>
              <w:t>отдельные рандомизированные клинические исследования и систематические обзоры</w:t>
            </w:r>
            <w:r>
              <w:rPr>
                <w:spacing w:val="24"/>
                <w:sz w:val="24"/>
              </w:rPr>
              <w:t>  </w:t>
            </w:r>
            <w:r>
              <w:rPr>
                <w:sz w:val="24"/>
              </w:rPr>
              <w:t>исследований</w:t>
            </w:r>
            <w:r>
              <w:rPr>
                <w:spacing w:val="27"/>
                <w:sz w:val="24"/>
              </w:rPr>
              <w:t>  </w:t>
            </w:r>
            <w:r>
              <w:rPr>
                <w:sz w:val="24"/>
              </w:rPr>
              <w:t>любого</w:t>
            </w:r>
            <w:r>
              <w:rPr>
                <w:spacing w:val="26"/>
                <w:sz w:val="24"/>
              </w:rPr>
              <w:t>  </w:t>
            </w:r>
            <w:r>
              <w:rPr>
                <w:sz w:val="24"/>
              </w:rPr>
              <w:t>дизайна,</w:t>
            </w:r>
            <w:r>
              <w:rPr>
                <w:spacing w:val="25"/>
                <w:sz w:val="24"/>
              </w:rPr>
              <w:t>  </w:t>
            </w:r>
            <w:r>
              <w:rPr>
                <w:sz w:val="24"/>
              </w:rPr>
              <w:t>за</w:t>
            </w:r>
            <w:r>
              <w:rPr>
                <w:spacing w:val="27"/>
                <w:sz w:val="24"/>
              </w:rPr>
              <w:t>  </w:t>
            </w:r>
            <w:r>
              <w:rPr>
                <w:sz w:val="24"/>
              </w:rPr>
              <w:t>исключением</w:t>
            </w:r>
            <w:r>
              <w:rPr>
                <w:spacing w:val="27"/>
                <w:sz w:val="24"/>
              </w:rPr>
              <w:t>  </w:t>
            </w:r>
            <w:r>
              <w:rPr>
                <w:spacing w:val="-2"/>
                <w:sz w:val="24"/>
              </w:rPr>
              <w:t>рандомизированных</w:t>
            </w:r>
          </w:p>
          <w:p>
            <w:pPr>
              <w:pStyle w:val="TableParagraph"/>
              <w:spacing w:line="274" w:lineRule="exact"/>
              <w:ind w:left="105"/>
              <w:jc w:val="both"/>
              <w:rPr>
                <w:sz w:val="24"/>
              </w:rPr>
            </w:pPr>
            <w:r>
              <w:rPr>
                <w:sz w:val="24"/>
              </w:rPr>
              <w:t>клинических</w:t>
            </w:r>
            <w:r>
              <w:rPr>
                <w:spacing w:val="-5"/>
                <w:sz w:val="24"/>
              </w:rPr>
              <w:t> </w:t>
            </w:r>
            <w:r>
              <w:rPr>
                <w:sz w:val="24"/>
              </w:rPr>
              <w:t>исследований,</w:t>
            </w:r>
            <w:r>
              <w:rPr>
                <w:spacing w:val="-4"/>
                <w:sz w:val="24"/>
              </w:rPr>
              <w:t> </w:t>
            </w:r>
            <w:r>
              <w:rPr>
                <w:sz w:val="24"/>
              </w:rPr>
              <w:t>с</w:t>
            </w:r>
            <w:r>
              <w:rPr>
                <w:spacing w:val="-8"/>
                <w:sz w:val="24"/>
              </w:rPr>
              <w:t> </w:t>
            </w:r>
            <w:r>
              <w:rPr>
                <w:sz w:val="24"/>
              </w:rPr>
              <w:t>применением</w:t>
            </w:r>
            <w:r>
              <w:rPr>
                <w:spacing w:val="-5"/>
                <w:sz w:val="24"/>
              </w:rPr>
              <w:t> </w:t>
            </w:r>
            <w:r>
              <w:rPr>
                <w:sz w:val="24"/>
              </w:rPr>
              <w:t>мета-</w:t>
            </w:r>
            <w:r>
              <w:rPr>
                <w:spacing w:val="-2"/>
                <w:sz w:val="24"/>
              </w:rPr>
              <w:t>анализа</w:t>
            </w:r>
          </w:p>
        </w:tc>
      </w:tr>
      <w:tr>
        <w:trPr>
          <w:trHeight w:val="1269" w:hRule="atLeast"/>
        </w:trPr>
        <w:tc>
          <w:tcPr>
            <w:tcW w:w="816" w:type="dxa"/>
          </w:tcPr>
          <w:p>
            <w:pPr>
              <w:pStyle w:val="TableParagraph"/>
              <w:rPr>
                <w:sz w:val="24"/>
              </w:rPr>
            </w:pPr>
          </w:p>
        </w:tc>
        <w:tc>
          <w:tcPr>
            <w:tcW w:w="8757" w:type="dxa"/>
          </w:tcPr>
          <w:p>
            <w:pPr>
              <w:pStyle w:val="TableParagraph"/>
              <w:spacing w:line="276" w:lineRule="auto"/>
              <w:ind w:left="105" w:right="101" w:firstLine="708"/>
              <w:jc w:val="both"/>
              <w:rPr>
                <w:sz w:val="24"/>
              </w:rPr>
            </w:pPr>
            <w:r>
              <w:rPr>
                <w:sz w:val="24"/>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w:t>
            </w:r>
            <w:r>
              <w:rPr>
                <w:spacing w:val="35"/>
                <w:sz w:val="24"/>
              </w:rPr>
              <w:t> </w:t>
            </w:r>
            <w:r>
              <w:rPr>
                <w:sz w:val="24"/>
              </w:rPr>
              <w:t>метода</w:t>
            </w:r>
            <w:r>
              <w:rPr>
                <w:spacing w:val="37"/>
                <w:sz w:val="24"/>
              </w:rPr>
              <w:t> </w:t>
            </w:r>
            <w:r>
              <w:rPr>
                <w:sz w:val="24"/>
              </w:rPr>
              <w:t>или</w:t>
            </w:r>
            <w:r>
              <w:rPr>
                <w:spacing w:val="38"/>
                <w:sz w:val="24"/>
              </w:rPr>
              <w:t> </w:t>
            </w:r>
            <w:r>
              <w:rPr>
                <w:sz w:val="24"/>
              </w:rPr>
              <w:t>нерандомизированные</w:t>
            </w:r>
            <w:r>
              <w:rPr>
                <w:spacing w:val="36"/>
                <w:sz w:val="24"/>
              </w:rPr>
              <w:t> </w:t>
            </w:r>
            <w:r>
              <w:rPr>
                <w:sz w:val="24"/>
              </w:rPr>
              <w:t>сравнительные</w:t>
            </w:r>
            <w:r>
              <w:rPr>
                <w:spacing w:val="37"/>
                <w:sz w:val="24"/>
              </w:rPr>
              <w:t> </w:t>
            </w:r>
            <w:r>
              <w:rPr>
                <w:sz w:val="24"/>
              </w:rPr>
              <w:t>исследования,</w:t>
            </w:r>
            <w:r>
              <w:rPr>
                <w:spacing w:val="37"/>
                <w:sz w:val="24"/>
              </w:rPr>
              <w:t> </w:t>
            </w:r>
            <w:r>
              <w:rPr>
                <w:spacing w:val="-10"/>
                <w:sz w:val="24"/>
              </w:rPr>
              <w:t>в</w:t>
            </w:r>
          </w:p>
          <w:p>
            <w:pPr>
              <w:pStyle w:val="TableParagraph"/>
              <w:ind w:left="105"/>
              <w:jc w:val="both"/>
              <w:rPr>
                <w:sz w:val="24"/>
              </w:rPr>
            </w:pPr>
            <w:r>
              <w:rPr>
                <w:sz w:val="24"/>
              </w:rPr>
              <w:t>том</w:t>
            </w:r>
            <w:r>
              <w:rPr>
                <w:spacing w:val="-2"/>
                <w:sz w:val="24"/>
              </w:rPr>
              <w:t> </w:t>
            </w:r>
            <w:r>
              <w:rPr>
                <w:sz w:val="24"/>
              </w:rPr>
              <w:t>числе</w:t>
            </w:r>
            <w:r>
              <w:rPr>
                <w:spacing w:val="-2"/>
                <w:sz w:val="24"/>
              </w:rPr>
              <w:t> </w:t>
            </w:r>
            <w:r>
              <w:rPr>
                <w:sz w:val="24"/>
              </w:rPr>
              <w:t>когортные</w:t>
            </w:r>
            <w:r>
              <w:rPr>
                <w:spacing w:val="-2"/>
                <w:sz w:val="24"/>
              </w:rPr>
              <w:t> исследования</w:t>
            </w:r>
          </w:p>
        </w:tc>
      </w:tr>
      <w:tr>
        <w:trPr>
          <w:trHeight w:val="316" w:hRule="atLeast"/>
        </w:trPr>
        <w:tc>
          <w:tcPr>
            <w:tcW w:w="816" w:type="dxa"/>
          </w:tcPr>
          <w:p>
            <w:pPr>
              <w:pStyle w:val="TableParagraph"/>
              <w:rPr>
                <w:sz w:val="24"/>
              </w:rPr>
            </w:pPr>
          </w:p>
        </w:tc>
        <w:tc>
          <w:tcPr>
            <w:tcW w:w="8757" w:type="dxa"/>
          </w:tcPr>
          <w:p>
            <w:pPr>
              <w:pStyle w:val="TableParagraph"/>
              <w:spacing w:line="270" w:lineRule="exact"/>
              <w:ind w:left="813"/>
              <w:rPr>
                <w:sz w:val="24"/>
              </w:rPr>
            </w:pPr>
            <w:r>
              <w:rPr>
                <w:sz w:val="24"/>
              </w:rPr>
              <w:t>Несравнительные</w:t>
            </w:r>
            <w:r>
              <w:rPr>
                <w:spacing w:val="-9"/>
                <w:sz w:val="24"/>
              </w:rPr>
              <w:t> </w:t>
            </w:r>
            <w:r>
              <w:rPr>
                <w:sz w:val="24"/>
              </w:rPr>
              <w:t>исследования,</w:t>
            </w:r>
            <w:r>
              <w:rPr>
                <w:spacing w:val="-4"/>
                <w:sz w:val="24"/>
              </w:rPr>
              <w:t> </w:t>
            </w:r>
            <w:r>
              <w:rPr>
                <w:sz w:val="24"/>
              </w:rPr>
              <w:t>описание</w:t>
            </w:r>
            <w:r>
              <w:rPr>
                <w:spacing w:val="-5"/>
                <w:sz w:val="24"/>
              </w:rPr>
              <w:t> </w:t>
            </w:r>
            <w:r>
              <w:rPr>
                <w:sz w:val="24"/>
              </w:rPr>
              <w:t>клинического</w:t>
            </w:r>
            <w:r>
              <w:rPr>
                <w:spacing w:val="-4"/>
                <w:sz w:val="24"/>
              </w:rPr>
              <w:t> </w:t>
            </w:r>
            <w:r>
              <w:rPr>
                <w:spacing w:val="-2"/>
                <w:sz w:val="24"/>
              </w:rPr>
              <w:t>случая</w:t>
            </w:r>
          </w:p>
        </w:tc>
      </w:tr>
      <w:tr>
        <w:trPr>
          <w:trHeight w:val="318" w:hRule="atLeast"/>
        </w:trPr>
        <w:tc>
          <w:tcPr>
            <w:tcW w:w="816" w:type="dxa"/>
          </w:tcPr>
          <w:p>
            <w:pPr>
              <w:pStyle w:val="TableParagraph"/>
              <w:rPr>
                <w:sz w:val="24"/>
              </w:rPr>
            </w:pPr>
          </w:p>
        </w:tc>
        <w:tc>
          <w:tcPr>
            <w:tcW w:w="8757" w:type="dxa"/>
          </w:tcPr>
          <w:p>
            <w:pPr>
              <w:pStyle w:val="TableParagraph"/>
              <w:spacing w:line="270" w:lineRule="exact"/>
              <w:ind w:left="813"/>
              <w:rPr>
                <w:sz w:val="24"/>
              </w:rPr>
            </w:pPr>
            <w:r>
              <w:rPr>
                <w:sz w:val="24"/>
              </w:rPr>
              <w:t>Имеется</w:t>
            </w:r>
            <w:r>
              <w:rPr>
                <w:spacing w:val="-6"/>
                <w:sz w:val="24"/>
              </w:rPr>
              <w:t> </w:t>
            </w:r>
            <w:r>
              <w:rPr>
                <w:sz w:val="24"/>
              </w:rPr>
              <w:t>лишь</w:t>
            </w:r>
            <w:r>
              <w:rPr>
                <w:spacing w:val="-3"/>
                <w:sz w:val="24"/>
              </w:rPr>
              <w:t> </w:t>
            </w:r>
            <w:r>
              <w:rPr>
                <w:sz w:val="24"/>
              </w:rPr>
              <w:t>обоснование</w:t>
            </w:r>
            <w:r>
              <w:rPr>
                <w:spacing w:val="-4"/>
                <w:sz w:val="24"/>
              </w:rPr>
              <w:t> </w:t>
            </w:r>
            <w:r>
              <w:rPr>
                <w:sz w:val="24"/>
              </w:rPr>
              <w:t>механизма</w:t>
            </w:r>
            <w:r>
              <w:rPr>
                <w:spacing w:val="-3"/>
                <w:sz w:val="24"/>
              </w:rPr>
              <w:t> </w:t>
            </w:r>
            <w:r>
              <w:rPr>
                <w:sz w:val="24"/>
              </w:rPr>
              <w:t>действия</w:t>
            </w:r>
            <w:r>
              <w:rPr>
                <w:spacing w:val="-3"/>
                <w:sz w:val="24"/>
              </w:rPr>
              <w:t> </w:t>
            </w:r>
            <w:r>
              <w:rPr>
                <w:sz w:val="24"/>
              </w:rPr>
              <w:t>или</w:t>
            </w:r>
            <w:r>
              <w:rPr>
                <w:spacing w:val="-4"/>
                <w:sz w:val="24"/>
              </w:rPr>
              <w:t> </w:t>
            </w:r>
            <w:r>
              <w:rPr>
                <w:sz w:val="24"/>
              </w:rPr>
              <w:t>мнение</w:t>
            </w:r>
            <w:r>
              <w:rPr>
                <w:spacing w:val="-3"/>
                <w:sz w:val="24"/>
              </w:rPr>
              <w:t> </w:t>
            </w:r>
            <w:r>
              <w:rPr>
                <w:spacing w:val="-2"/>
                <w:sz w:val="24"/>
              </w:rPr>
              <w:t>экспертов</w:t>
            </w:r>
          </w:p>
        </w:tc>
      </w:tr>
    </w:tbl>
    <w:p>
      <w:pPr>
        <w:pStyle w:val="BodyText"/>
        <w:spacing w:line="360" w:lineRule="auto" w:after="3"/>
        <w:ind w:right="824" w:firstLine="707"/>
      </w:pPr>
      <w:r>
        <w:rPr>
          <w:b/>
        </w:rPr>
        <w:t>Таблица 2.</w:t>
      </w:r>
      <w:r>
        <w:rPr/>
        <w:t>Шкала</w:t>
      </w:r>
      <w:r>
        <w:rPr>
          <w:spacing w:val="-4"/>
        </w:rPr>
        <w:t> </w:t>
      </w:r>
      <w:r>
        <w:rPr/>
        <w:t>оценки</w:t>
      </w:r>
      <w:r>
        <w:rPr>
          <w:spacing w:val="-1"/>
        </w:rPr>
        <w:t> </w:t>
      </w:r>
      <w:r>
        <w:rPr/>
        <w:t>уровней</w:t>
      </w:r>
      <w:r>
        <w:rPr>
          <w:spacing w:val="-2"/>
        </w:rPr>
        <w:t> </w:t>
      </w:r>
      <w:r>
        <w:rPr/>
        <w:t>достоверности</w:t>
      </w:r>
      <w:r>
        <w:rPr>
          <w:spacing w:val="-2"/>
        </w:rPr>
        <w:t> </w:t>
      </w:r>
      <w:r>
        <w:rPr/>
        <w:t>доказательств</w:t>
      </w:r>
      <w:r>
        <w:rPr>
          <w:spacing w:val="-6"/>
        </w:rPr>
        <w:t> </w:t>
      </w:r>
      <w:r>
        <w:rPr/>
        <w:t>(УДД) для</w:t>
      </w:r>
      <w:r>
        <w:rPr>
          <w:spacing w:val="-3"/>
        </w:rPr>
        <w:t> </w:t>
      </w:r>
      <w:r>
        <w:rPr/>
        <w:t>методов профилактики, медицинской реабилитации, в том числе основанных на использовании природных лечебных факторов (профилактических, лечебных, реабилитационных </w:t>
      </w:r>
      <w:r>
        <w:rPr>
          <w:spacing w:val="-2"/>
        </w:rPr>
        <w:t>вмешательств)</w:t>
      </w:r>
    </w:p>
    <w:tbl>
      <w:tblPr>
        <w:tblW w:w="0" w:type="auto"/>
        <w:jc w:val="left"/>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8"/>
        <w:gridCol w:w="8952"/>
      </w:tblGrid>
      <w:tr>
        <w:trPr>
          <w:trHeight w:val="551" w:hRule="atLeast"/>
        </w:trPr>
        <w:tc>
          <w:tcPr>
            <w:tcW w:w="718" w:type="dxa"/>
          </w:tcPr>
          <w:p>
            <w:pPr>
              <w:pStyle w:val="TableParagraph"/>
              <w:spacing w:line="259" w:lineRule="exact" w:before="273"/>
              <w:ind w:left="191"/>
              <w:rPr>
                <w:b/>
                <w:sz w:val="24"/>
              </w:rPr>
            </w:pPr>
            <w:r>
              <w:rPr>
                <w:b/>
                <w:spacing w:val="-5"/>
                <w:sz w:val="24"/>
              </w:rPr>
              <w:t>ДД</w:t>
            </w:r>
          </w:p>
        </w:tc>
        <w:tc>
          <w:tcPr>
            <w:tcW w:w="8952" w:type="dxa"/>
          </w:tcPr>
          <w:p>
            <w:pPr>
              <w:pStyle w:val="TableParagraph"/>
              <w:spacing w:line="273" w:lineRule="exact"/>
              <w:ind w:left="715"/>
              <w:jc w:val="center"/>
              <w:rPr>
                <w:b/>
                <w:sz w:val="24"/>
              </w:rPr>
            </w:pPr>
            <w:r>
              <w:rPr>
                <w:b/>
                <w:spacing w:val="-2"/>
                <w:sz w:val="24"/>
              </w:rPr>
              <w:t>Расшифровка</w:t>
            </w:r>
          </w:p>
        </w:tc>
      </w:tr>
      <w:tr>
        <w:trPr>
          <w:trHeight w:val="275" w:hRule="atLeast"/>
        </w:trPr>
        <w:tc>
          <w:tcPr>
            <w:tcW w:w="718" w:type="dxa"/>
          </w:tcPr>
          <w:p>
            <w:pPr>
              <w:pStyle w:val="TableParagraph"/>
              <w:rPr>
                <w:sz w:val="20"/>
              </w:rPr>
            </w:pPr>
          </w:p>
        </w:tc>
        <w:tc>
          <w:tcPr>
            <w:tcW w:w="8952" w:type="dxa"/>
          </w:tcPr>
          <w:p>
            <w:pPr>
              <w:pStyle w:val="TableParagraph"/>
              <w:spacing w:line="256" w:lineRule="exact"/>
              <w:ind w:left="815"/>
              <w:rPr>
                <w:sz w:val="24"/>
              </w:rPr>
            </w:pPr>
            <w:r>
              <w:rPr>
                <w:sz w:val="24"/>
              </w:rPr>
              <w:t>Систематический</w:t>
            </w:r>
            <w:r>
              <w:rPr>
                <w:spacing w:val="-5"/>
                <w:sz w:val="24"/>
              </w:rPr>
              <w:t> </w:t>
            </w:r>
            <w:r>
              <w:rPr>
                <w:sz w:val="24"/>
              </w:rPr>
              <w:t>обзор</w:t>
            </w:r>
            <w:r>
              <w:rPr>
                <w:spacing w:val="-4"/>
                <w:sz w:val="24"/>
              </w:rPr>
              <w:t> </w:t>
            </w:r>
            <w:r>
              <w:rPr>
                <w:sz w:val="24"/>
              </w:rPr>
              <w:t>РКИ</w:t>
            </w:r>
            <w:r>
              <w:rPr>
                <w:spacing w:val="-3"/>
                <w:sz w:val="24"/>
              </w:rPr>
              <w:t> </w:t>
            </w:r>
            <w:r>
              <w:rPr>
                <w:sz w:val="24"/>
              </w:rPr>
              <w:t>с</w:t>
            </w:r>
            <w:r>
              <w:rPr>
                <w:spacing w:val="-4"/>
                <w:sz w:val="24"/>
              </w:rPr>
              <w:t> </w:t>
            </w:r>
            <w:r>
              <w:rPr>
                <w:sz w:val="24"/>
              </w:rPr>
              <w:t>применением</w:t>
            </w:r>
            <w:r>
              <w:rPr>
                <w:spacing w:val="-3"/>
                <w:sz w:val="24"/>
              </w:rPr>
              <w:t> </w:t>
            </w:r>
            <w:r>
              <w:rPr>
                <w:sz w:val="24"/>
              </w:rPr>
              <w:t>мета-</w:t>
            </w:r>
            <w:r>
              <w:rPr>
                <w:spacing w:val="-2"/>
                <w:sz w:val="24"/>
              </w:rPr>
              <w:t>анализа</w:t>
            </w:r>
          </w:p>
        </w:tc>
      </w:tr>
      <w:tr>
        <w:trPr>
          <w:trHeight w:val="275" w:hRule="atLeast"/>
        </w:trPr>
        <w:tc>
          <w:tcPr>
            <w:tcW w:w="718" w:type="dxa"/>
          </w:tcPr>
          <w:p>
            <w:pPr>
              <w:pStyle w:val="TableParagraph"/>
              <w:rPr>
                <w:sz w:val="20"/>
              </w:rPr>
            </w:pPr>
          </w:p>
        </w:tc>
        <w:tc>
          <w:tcPr>
            <w:tcW w:w="8952" w:type="dxa"/>
          </w:tcPr>
          <w:p>
            <w:pPr>
              <w:pStyle w:val="TableParagraph"/>
              <w:spacing w:line="256" w:lineRule="exact"/>
              <w:ind w:left="815"/>
              <w:rPr>
                <w:sz w:val="24"/>
              </w:rPr>
            </w:pPr>
            <w:r>
              <w:rPr>
                <w:sz w:val="24"/>
              </w:rPr>
              <w:t>Отдельные</w:t>
            </w:r>
            <w:r>
              <w:rPr>
                <w:spacing w:val="6"/>
                <w:sz w:val="24"/>
              </w:rPr>
              <w:t> </w:t>
            </w:r>
            <w:r>
              <w:rPr>
                <w:sz w:val="24"/>
              </w:rPr>
              <w:t>РКИ</w:t>
            </w:r>
            <w:r>
              <w:rPr>
                <w:spacing w:val="8"/>
                <w:sz w:val="24"/>
              </w:rPr>
              <w:t> </w:t>
            </w:r>
            <w:r>
              <w:rPr>
                <w:sz w:val="24"/>
              </w:rPr>
              <w:t>и</w:t>
            </w:r>
            <w:r>
              <w:rPr>
                <w:spacing w:val="9"/>
                <w:sz w:val="24"/>
              </w:rPr>
              <w:t> </w:t>
            </w:r>
            <w:r>
              <w:rPr>
                <w:sz w:val="24"/>
              </w:rPr>
              <w:t>систематические</w:t>
            </w:r>
            <w:r>
              <w:rPr>
                <w:spacing w:val="7"/>
                <w:sz w:val="24"/>
              </w:rPr>
              <w:t> </w:t>
            </w:r>
            <w:r>
              <w:rPr>
                <w:sz w:val="24"/>
              </w:rPr>
              <w:t>обзоры</w:t>
            </w:r>
            <w:r>
              <w:rPr>
                <w:spacing w:val="7"/>
                <w:sz w:val="24"/>
              </w:rPr>
              <w:t> </w:t>
            </w:r>
            <w:r>
              <w:rPr>
                <w:sz w:val="24"/>
              </w:rPr>
              <w:t>исследований</w:t>
            </w:r>
            <w:r>
              <w:rPr>
                <w:spacing w:val="9"/>
                <w:sz w:val="24"/>
              </w:rPr>
              <w:t> </w:t>
            </w:r>
            <w:r>
              <w:rPr>
                <w:sz w:val="24"/>
              </w:rPr>
              <w:t>любого</w:t>
            </w:r>
            <w:r>
              <w:rPr>
                <w:spacing w:val="9"/>
                <w:sz w:val="24"/>
              </w:rPr>
              <w:t> </w:t>
            </w:r>
            <w:r>
              <w:rPr>
                <w:sz w:val="24"/>
              </w:rPr>
              <w:t>дизайна,</w:t>
            </w:r>
            <w:r>
              <w:rPr>
                <w:spacing w:val="8"/>
                <w:sz w:val="24"/>
              </w:rPr>
              <w:t> </w:t>
            </w:r>
            <w:r>
              <w:rPr>
                <w:spacing w:val="-5"/>
                <w:sz w:val="24"/>
              </w:rPr>
              <w:t>за</w:t>
            </w:r>
          </w:p>
        </w:tc>
      </w:tr>
    </w:tbl>
    <w:p>
      <w:pPr>
        <w:spacing w:after="0" w:line="256" w:lineRule="exact"/>
        <w:rPr>
          <w:sz w:val="24"/>
        </w:rPr>
        <w:sectPr>
          <w:pgSz w:w="11910" w:h="16840"/>
          <w:pgMar w:header="0" w:footer="867" w:top="1660" w:bottom="1233" w:left="960" w:right="20"/>
        </w:sectPr>
      </w:pPr>
    </w:p>
    <w:tbl>
      <w:tblPr>
        <w:tblW w:w="0" w:type="auto"/>
        <w:jc w:val="left"/>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8"/>
        <w:gridCol w:w="8952"/>
      </w:tblGrid>
      <w:tr>
        <w:trPr>
          <w:trHeight w:val="275" w:hRule="atLeast"/>
        </w:trPr>
        <w:tc>
          <w:tcPr>
            <w:tcW w:w="718" w:type="dxa"/>
          </w:tcPr>
          <w:p>
            <w:pPr>
              <w:pStyle w:val="TableParagraph"/>
              <w:rPr>
                <w:sz w:val="20"/>
              </w:rPr>
            </w:pPr>
          </w:p>
        </w:tc>
        <w:tc>
          <w:tcPr>
            <w:tcW w:w="8952" w:type="dxa"/>
          </w:tcPr>
          <w:p>
            <w:pPr>
              <w:pStyle w:val="TableParagraph"/>
              <w:spacing w:line="256" w:lineRule="exact"/>
              <w:ind w:left="107"/>
              <w:rPr>
                <w:sz w:val="24"/>
              </w:rPr>
            </w:pPr>
            <w:r>
              <w:rPr>
                <w:sz w:val="24"/>
              </w:rPr>
              <w:t>исключением</w:t>
            </w:r>
            <w:r>
              <w:rPr>
                <w:spacing w:val="-4"/>
                <w:sz w:val="24"/>
              </w:rPr>
              <w:t> </w:t>
            </w:r>
            <w:r>
              <w:rPr>
                <w:sz w:val="24"/>
              </w:rPr>
              <w:t>РКИ,</w:t>
            </w:r>
            <w:r>
              <w:rPr>
                <w:spacing w:val="-4"/>
                <w:sz w:val="24"/>
              </w:rPr>
              <w:t> </w:t>
            </w:r>
            <w:r>
              <w:rPr>
                <w:sz w:val="24"/>
              </w:rPr>
              <w:t>с</w:t>
            </w:r>
            <w:r>
              <w:rPr>
                <w:spacing w:val="-4"/>
                <w:sz w:val="24"/>
              </w:rPr>
              <w:t> </w:t>
            </w:r>
            <w:r>
              <w:rPr>
                <w:sz w:val="24"/>
              </w:rPr>
              <w:t>применением</w:t>
            </w:r>
            <w:r>
              <w:rPr>
                <w:spacing w:val="-4"/>
                <w:sz w:val="24"/>
              </w:rPr>
              <w:t> </w:t>
            </w:r>
            <w:r>
              <w:rPr>
                <w:sz w:val="24"/>
              </w:rPr>
              <w:t>мета-</w:t>
            </w:r>
            <w:r>
              <w:rPr>
                <w:spacing w:val="-2"/>
                <w:sz w:val="24"/>
              </w:rPr>
              <w:t>анализа</w:t>
            </w:r>
          </w:p>
        </w:tc>
      </w:tr>
      <w:tr>
        <w:trPr>
          <w:trHeight w:val="551" w:hRule="atLeast"/>
        </w:trPr>
        <w:tc>
          <w:tcPr>
            <w:tcW w:w="718" w:type="dxa"/>
          </w:tcPr>
          <w:p>
            <w:pPr>
              <w:pStyle w:val="TableParagraph"/>
              <w:rPr>
                <w:sz w:val="24"/>
              </w:rPr>
            </w:pPr>
          </w:p>
        </w:tc>
        <w:tc>
          <w:tcPr>
            <w:tcW w:w="8952" w:type="dxa"/>
          </w:tcPr>
          <w:p>
            <w:pPr>
              <w:pStyle w:val="TableParagraph"/>
              <w:tabs>
                <w:tab w:pos="3403" w:val="left" w:leader="none"/>
                <w:tab w:pos="5168" w:val="left" w:leader="none"/>
                <w:tab w:pos="6849" w:val="left" w:leader="none"/>
                <w:tab w:pos="7187" w:val="left" w:leader="none"/>
                <w:tab w:pos="7758" w:val="left" w:leader="none"/>
              </w:tabs>
              <w:spacing w:line="268" w:lineRule="exact"/>
              <w:ind w:left="815"/>
              <w:rPr>
                <w:sz w:val="24"/>
              </w:rPr>
            </w:pPr>
            <w:r>
              <w:rPr>
                <w:spacing w:val="-2"/>
                <w:sz w:val="24"/>
              </w:rPr>
              <w:t>Нерандомизированные</w:t>
            </w:r>
            <w:r>
              <w:rPr>
                <w:sz w:val="24"/>
              </w:rPr>
              <w:tab/>
            </w:r>
            <w:r>
              <w:rPr>
                <w:spacing w:val="-2"/>
                <w:sz w:val="24"/>
              </w:rPr>
              <w:t>сравнительные</w:t>
            </w:r>
            <w:r>
              <w:rPr>
                <w:sz w:val="24"/>
              </w:rPr>
              <w:tab/>
            </w:r>
            <w:r>
              <w:rPr>
                <w:spacing w:val="-2"/>
                <w:sz w:val="24"/>
              </w:rPr>
              <w:t>исследования,</w:t>
            </w:r>
            <w:r>
              <w:rPr>
                <w:sz w:val="24"/>
              </w:rPr>
              <w:tab/>
            </w:r>
            <w:r>
              <w:rPr>
                <w:spacing w:val="-10"/>
                <w:sz w:val="24"/>
              </w:rPr>
              <w:t>в</w:t>
            </w:r>
            <w:r>
              <w:rPr>
                <w:sz w:val="24"/>
              </w:rPr>
              <w:tab/>
            </w:r>
            <w:r>
              <w:rPr>
                <w:spacing w:val="-4"/>
                <w:sz w:val="24"/>
              </w:rPr>
              <w:t>т.ч.</w:t>
            </w:r>
            <w:r>
              <w:rPr>
                <w:sz w:val="24"/>
              </w:rPr>
              <w:tab/>
            </w:r>
            <w:r>
              <w:rPr>
                <w:spacing w:val="-2"/>
                <w:sz w:val="24"/>
              </w:rPr>
              <w:t>когортные</w:t>
            </w:r>
          </w:p>
          <w:p>
            <w:pPr>
              <w:pStyle w:val="TableParagraph"/>
              <w:spacing w:line="264" w:lineRule="exact"/>
              <w:ind w:left="107"/>
              <w:rPr>
                <w:sz w:val="24"/>
              </w:rPr>
            </w:pPr>
            <w:r>
              <w:rPr>
                <w:spacing w:val="-2"/>
                <w:sz w:val="24"/>
              </w:rPr>
              <w:t>исследования</w:t>
            </w:r>
          </w:p>
        </w:tc>
      </w:tr>
      <w:tr>
        <w:trPr>
          <w:trHeight w:val="551" w:hRule="atLeast"/>
        </w:trPr>
        <w:tc>
          <w:tcPr>
            <w:tcW w:w="718" w:type="dxa"/>
          </w:tcPr>
          <w:p>
            <w:pPr>
              <w:pStyle w:val="TableParagraph"/>
              <w:rPr>
                <w:sz w:val="24"/>
              </w:rPr>
            </w:pPr>
          </w:p>
        </w:tc>
        <w:tc>
          <w:tcPr>
            <w:tcW w:w="8952" w:type="dxa"/>
          </w:tcPr>
          <w:p>
            <w:pPr>
              <w:pStyle w:val="TableParagraph"/>
              <w:spacing w:line="268" w:lineRule="exact"/>
              <w:ind w:left="815"/>
              <w:rPr>
                <w:sz w:val="24"/>
              </w:rPr>
            </w:pPr>
            <w:r>
              <w:rPr>
                <w:sz w:val="24"/>
              </w:rPr>
              <w:t>Несравнительные</w:t>
            </w:r>
            <w:r>
              <w:rPr>
                <w:spacing w:val="54"/>
                <w:sz w:val="24"/>
              </w:rPr>
              <w:t> </w:t>
            </w:r>
            <w:r>
              <w:rPr>
                <w:sz w:val="24"/>
              </w:rPr>
              <w:t>исследования,</w:t>
            </w:r>
            <w:r>
              <w:rPr>
                <w:spacing w:val="57"/>
                <w:sz w:val="24"/>
              </w:rPr>
              <w:t> </w:t>
            </w:r>
            <w:r>
              <w:rPr>
                <w:sz w:val="24"/>
              </w:rPr>
              <w:t>описание</w:t>
            </w:r>
            <w:r>
              <w:rPr>
                <w:spacing w:val="56"/>
                <w:sz w:val="24"/>
              </w:rPr>
              <w:t> </w:t>
            </w:r>
            <w:r>
              <w:rPr>
                <w:sz w:val="24"/>
              </w:rPr>
              <w:t>клинического</w:t>
            </w:r>
            <w:r>
              <w:rPr>
                <w:spacing w:val="57"/>
                <w:sz w:val="24"/>
              </w:rPr>
              <w:t> </w:t>
            </w:r>
            <w:r>
              <w:rPr>
                <w:sz w:val="24"/>
              </w:rPr>
              <w:t>случая</w:t>
            </w:r>
            <w:r>
              <w:rPr>
                <w:spacing w:val="57"/>
                <w:sz w:val="24"/>
              </w:rPr>
              <w:t> </w:t>
            </w:r>
            <w:r>
              <w:rPr>
                <w:sz w:val="24"/>
              </w:rPr>
              <w:t>или</w:t>
            </w:r>
            <w:r>
              <w:rPr>
                <w:spacing w:val="58"/>
                <w:sz w:val="24"/>
              </w:rPr>
              <w:t> </w:t>
            </w:r>
            <w:r>
              <w:rPr>
                <w:spacing w:val="-2"/>
                <w:sz w:val="24"/>
              </w:rPr>
              <w:t>серии</w:t>
            </w:r>
          </w:p>
          <w:p>
            <w:pPr>
              <w:pStyle w:val="TableParagraph"/>
              <w:spacing w:line="264" w:lineRule="exact"/>
              <w:ind w:left="107"/>
              <w:rPr>
                <w:sz w:val="24"/>
              </w:rPr>
            </w:pPr>
            <w:r>
              <w:rPr>
                <w:sz w:val="24"/>
              </w:rPr>
              <w:t>случаев,</w:t>
            </w:r>
            <w:r>
              <w:rPr>
                <w:spacing w:val="-5"/>
                <w:sz w:val="24"/>
              </w:rPr>
              <w:t> </w:t>
            </w:r>
            <w:r>
              <w:rPr>
                <w:sz w:val="24"/>
              </w:rPr>
              <w:t>исследования</w:t>
            </w:r>
            <w:r>
              <w:rPr>
                <w:spacing w:val="-5"/>
                <w:sz w:val="24"/>
              </w:rPr>
              <w:t> </w:t>
            </w:r>
            <w:r>
              <w:rPr>
                <w:sz w:val="24"/>
              </w:rPr>
              <w:t>«случай-</w:t>
            </w:r>
            <w:r>
              <w:rPr>
                <w:spacing w:val="-2"/>
                <w:sz w:val="24"/>
              </w:rPr>
              <w:t>контроль»</w:t>
            </w:r>
          </w:p>
        </w:tc>
      </w:tr>
      <w:tr>
        <w:trPr>
          <w:trHeight w:val="551" w:hRule="atLeast"/>
        </w:trPr>
        <w:tc>
          <w:tcPr>
            <w:tcW w:w="718" w:type="dxa"/>
          </w:tcPr>
          <w:p>
            <w:pPr>
              <w:pStyle w:val="TableParagraph"/>
              <w:rPr>
                <w:sz w:val="24"/>
              </w:rPr>
            </w:pPr>
          </w:p>
        </w:tc>
        <w:tc>
          <w:tcPr>
            <w:tcW w:w="8952" w:type="dxa"/>
          </w:tcPr>
          <w:p>
            <w:pPr>
              <w:pStyle w:val="TableParagraph"/>
              <w:tabs>
                <w:tab w:pos="2026" w:val="left" w:leader="none"/>
                <w:tab w:pos="2926" w:val="left" w:leader="none"/>
                <w:tab w:pos="4581" w:val="left" w:leader="none"/>
                <w:tab w:pos="6028" w:val="left" w:leader="none"/>
                <w:tab w:pos="7303" w:val="left" w:leader="none"/>
              </w:tabs>
              <w:spacing w:line="268" w:lineRule="exact"/>
              <w:ind w:left="815"/>
              <w:rPr>
                <w:sz w:val="24"/>
              </w:rPr>
            </w:pPr>
            <w:r>
              <w:rPr>
                <w:spacing w:val="-2"/>
                <w:sz w:val="24"/>
              </w:rPr>
              <w:t>Имеется</w:t>
            </w:r>
            <w:r>
              <w:rPr>
                <w:sz w:val="24"/>
              </w:rPr>
              <w:tab/>
            </w:r>
            <w:r>
              <w:rPr>
                <w:spacing w:val="-4"/>
                <w:sz w:val="24"/>
              </w:rPr>
              <w:t>лишь</w:t>
            </w:r>
            <w:r>
              <w:rPr>
                <w:sz w:val="24"/>
              </w:rPr>
              <w:tab/>
            </w:r>
            <w:r>
              <w:rPr>
                <w:spacing w:val="-2"/>
                <w:sz w:val="24"/>
              </w:rPr>
              <w:t>обоснование</w:t>
            </w:r>
            <w:r>
              <w:rPr>
                <w:sz w:val="24"/>
              </w:rPr>
              <w:tab/>
            </w:r>
            <w:r>
              <w:rPr>
                <w:spacing w:val="-2"/>
                <w:sz w:val="24"/>
              </w:rPr>
              <w:t>механизма</w:t>
            </w:r>
            <w:r>
              <w:rPr>
                <w:sz w:val="24"/>
              </w:rPr>
              <w:tab/>
            </w:r>
            <w:r>
              <w:rPr>
                <w:spacing w:val="-2"/>
                <w:sz w:val="24"/>
              </w:rPr>
              <w:t>действия</w:t>
            </w:r>
            <w:r>
              <w:rPr>
                <w:sz w:val="24"/>
              </w:rPr>
              <w:tab/>
            </w:r>
            <w:r>
              <w:rPr>
                <w:spacing w:val="-2"/>
                <w:sz w:val="24"/>
              </w:rPr>
              <w:t>вмешательства</w:t>
            </w:r>
          </w:p>
          <w:p>
            <w:pPr>
              <w:pStyle w:val="TableParagraph"/>
              <w:spacing w:line="264" w:lineRule="exact"/>
              <w:ind w:left="107"/>
              <w:rPr>
                <w:sz w:val="24"/>
              </w:rPr>
            </w:pPr>
            <w:r>
              <w:rPr>
                <w:sz w:val="24"/>
              </w:rPr>
              <w:t>(доклинические</w:t>
            </w:r>
            <w:r>
              <w:rPr>
                <w:spacing w:val="-6"/>
                <w:sz w:val="24"/>
              </w:rPr>
              <w:t> </w:t>
            </w:r>
            <w:r>
              <w:rPr>
                <w:sz w:val="24"/>
              </w:rPr>
              <w:t>исследования)</w:t>
            </w:r>
            <w:r>
              <w:rPr>
                <w:spacing w:val="-6"/>
                <w:sz w:val="24"/>
              </w:rPr>
              <w:t> </w:t>
            </w:r>
            <w:r>
              <w:rPr>
                <w:sz w:val="24"/>
              </w:rPr>
              <w:t>или</w:t>
            </w:r>
            <w:r>
              <w:rPr>
                <w:spacing w:val="-4"/>
                <w:sz w:val="24"/>
              </w:rPr>
              <w:t> </w:t>
            </w:r>
            <w:r>
              <w:rPr>
                <w:sz w:val="24"/>
              </w:rPr>
              <w:t>мнение</w:t>
            </w:r>
            <w:r>
              <w:rPr>
                <w:spacing w:val="-5"/>
                <w:sz w:val="24"/>
              </w:rPr>
              <w:t> </w:t>
            </w:r>
            <w:r>
              <w:rPr>
                <w:spacing w:val="-2"/>
                <w:sz w:val="24"/>
              </w:rPr>
              <w:t>экспертов</w:t>
            </w:r>
          </w:p>
        </w:tc>
      </w:tr>
    </w:tbl>
    <w:p>
      <w:pPr>
        <w:pStyle w:val="BodyText"/>
        <w:spacing w:line="360" w:lineRule="auto" w:before="12" w:after="7"/>
        <w:ind w:right="829" w:firstLine="707"/>
      </w:pPr>
      <w:r>
        <w:rPr>
          <w:b/>
        </w:rPr>
        <w:t>Таблица 3. </w:t>
      </w:r>
      <w:r>
        <w:rPr/>
        <w:t>Шкала оценки уровней убедительности рекомендаций(УУР)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0" w:type="auto"/>
        <w:jc w:val="left"/>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63"/>
        <w:gridCol w:w="8209"/>
      </w:tblGrid>
      <w:tr>
        <w:trPr>
          <w:trHeight w:val="551" w:hRule="atLeast"/>
        </w:trPr>
        <w:tc>
          <w:tcPr>
            <w:tcW w:w="1363" w:type="dxa"/>
          </w:tcPr>
          <w:p>
            <w:pPr>
              <w:pStyle w:val="TableParagraph"/>
              <w:spacing w:line="273" w:lineRule="exact"/>
              <w:ind w:left="715"/>
              <w:jc w:val="center"/>
              <w:rPr>
                <w:b/>
                <w:sz w:val="24"/>
              </w:rPr>
            </w:pPr>
            <w:r>
              <w:rPr>
                <w:b/>
                <w:spacing w:val="-5"/>
                <w:sz w:val="24"/>
              </w:rPr>
              <w:t>УУ</w:t>
            </w:r>
          </w:p>
          <w:p>
            <w:pPr>
              <w:pStyle w:val="TableParagraph"/>
              <w:spacing w:line="259" w:lineRule="exact"/>
              <w:ind w:left="7"/>
              <w:jc w:val="center"/>
              <w:rPr>
                <w:b/>
                <w:sz w:val="24"/>
              </w:rPr>
            </w:pPr>
            <w:r>
              <w:rPr>
                <w:b/>
                <w:spacing w:val="-10"/>
                <w:sz w:val="24"/>
              </w:rPr>
              <w:t>Р</w:t>
            </w:r>
          </w:p>
        </w:tc>
        <w:tc>
          <w:tcPr>
            <w:tcW w:w="8209" w:type="dxa"/>
          </w:tcPr>
          <w:p>
            <w:pPr>
              <w:pStyle w:val="TableParagraph"/>
              <w:spacing w:line="273" w:lineRule="exact"/>
              <w:ind w:left="715"/>
              <w:jc w:val="center"/>
              <w:rPr>
                <w:b/>
                <w:sz w:val="24"/>
              </w:rPr>
            </w:pPr>
            <w:r>
              <w:rPr>
                <w:b/>
                <w:spacing w:val="-2"/>
                <w:sz w:val="24"/>
              </w:rPr>
              <w:t>Расшифровка</w:t>
            </w:r>
          </w:p>
        </w:tc>
      </w:tr>
      <w:tr>
        <w:trPr>
          <w:trHeight w:val="1105" w:hRule="atLeast"/>
        </w:trPr>
        <w:tc>
          <w:tcPr>
            <w:tcW w:w="1363" w:type="dxa"/>
          </w:tcPr>
          <w:p>
            <w:pPr>
              <w:pStyle w:val="TableParagraph"/>
              <w:spacing w:line="270" w:lineRule="exact"/>
              <w:ind w:right="229"/>
              <w:jc w:val="right"/>
              <w:rPr>
                <w:sz w:val="24"/>
              </w:rPr>
            </w:pPr>
            <w:r>
              <w:rPr>
                <w:spacing w:val="-10"/>
                <w:sz w:val="24"/>
              </w:rPr>
              <w:t>A</w:t>
            </w:r>
          </w:p>
        </w:tc>
        <w:tc>
          <w:tcPr>
            <w:tcW w:w="8209" w:type="dxa"/>
          </w:tcPr>
          <w:p>
            <w:pPr>
              <w:pStyle w:val="TableParagraph"/>
              <w:ind w:left="107" w:right="98" w:firstLine="708"/>
              <w:jc w:val="both"/>
              <w:rPr>
                <w:sz w:val="24"/>
              </w:rPr>
            </w:pPr>
            <w:r>
              <w:rPr>
                <w:sz w:val="24"/>
              </w:rPr>
              <w:t>Сильная рекомендация (все рассматриваемые критерии эффективности (исходы) являются важными, все исследования имеют высокое</w:t>
            </w:r>
            <w:r>
              <w:rPr>
                <w:spacing w:val="17"/>
                <w:sz w:val="24"/>
              </w:rPr>
              <w:t> </w:t>
            </w:r>
            <w:r>
              <w:rPr>
                <w:sz w:val="24"/>
              </w:rPr>
              <w:t>или</w:t>
            </w:r>
            <w:r>
              <w:rPr>
                <w:spacing w:val="21"/>
                <w:sz w:val="24"/>
              </w:rPr>
              <w:t> </w:t>
            </w:r>
            <w:r>
              <w:rPr>
                <w:sz w:val="24"/>
              </w:rPr>
              <w:t>удовлетворительное</w:t>
            </w:r>
            <w:r>
              <w:rPr>
                <w:spacing w:val="17"/>
                <w:sz w:val="24"/>
              </w:rPr>
              <w:t> </w:t>
            </w:r>
            <w:r>
              <w:rPr>
                <w:sz w:val="24"/>
              </w:rPr>
              <w:t>методологическое</w:t>
            </w:r>
            <w:r>
              <w:rPr>
                <w:spacing w:val="17"/>
                <w:sz w:val="24"/>
              </w:rPr>
              <w:t> </w:t>
            </w:r>
            <w:r>
              <w:rPr>
                <w:sz w:val="24"/>
              </w:rPr>
              <w:t>качество,</w:t>
            </w:r>
            <w:r>
              <w:rPr>
                <w:spacing w:val="17"/>
                <w:sz w:val="24"/>
              </w:rPr>
              <w:t> </w:t>
            </w:r>
            <w:r>
              <w:rPr>
                <w:sz w:val="24"/>
              </w:rPr>
              <w:t>их</w:t>
            </w:r>
            <w:r>
              <w:rPr>
                <w:spacing w:val="20"/>
                <w:sz w:val="24"/>
              </w:rPr>
              <w:t> </w:t>
            </w:r>
            <w:r>
              <w:rPr>
                <w:sz w:val="24"/>
              </w:rPr>
              <w:t>выводы</w:t>
            </w:r>
            <w:r>
              <w:rPr>
                <w:spacing w:val="19"/>
                <w:sz w:val="24"/>
              </w:rPr>
              <w:t> </w:t>
            </w:r>
            <w:r>
              <w:rPr>
                <w:spacing w:val="-5"/>
                <w:sz w:val="24"/>
              </w:rPr>
              <w:t>по</w:t>
            </w:r>
          </w:p>
          <w:p>
            <w:pPr>
              <w:pStyle w:val="TableParagraph"/>
              <w:spacing w:line="264" w:lineRule="exact"/>
              <w:ind w:left="107"/>
              <w:jc w:val="both"/>
              <w:rPr>
                <w:sz w:val="24"/>
              </w:rPr>
            </w:pPr>
            <w:r>
              <w:rPr>
                <w:sz w:val="24"/>
              </w:rPr>
              <w:t>интересующим</w:t>
            </w:r>
            <w:r>
              <w:rPr>
                <w:spacing w:val="-4"/>
                <w:sz w:val="24"/>
              </w:rPr>
              <w:t> </w:t>
            </w:r>
            <w:r>
              <w:rPr>
                <w:sz w:val="24"/>
              </w:rPr>
              <w:t>исходам</w:t>
            </w:r>
            <w:r>
              <w:rPr>
                <w:spacing w:val="-4"/>
                <w:sz w:val="24"/>
              </w:rPr>
              <w:t> </w:t>
            </w:r>
            <w:r>
              <w:rPr>
                <w:sz w:val="24"/>
              </w:rPr>
              <w:t>являются</w:t>
            </w:r>
            <w:r>
              <w:rPr>
                <w:spacing w:val="-2"/>
                <w:sz w:val="24"/>
              </w:rPr>
              <w:t> согласованными)</w:t>
            </w:r>
          </w:p>
        </w:tc>
      </w:tr>
      <w:tr>
        <w:trPr>
          <w:trHeight w:val="1104" w:hRule="atLeast"/>
        </w:trPr>
        <w:tc>
          <w:tcPr>
            <w:tcW w:w="1363" w:type="dxa"/>
          </w:tcPr>
          <w:p>
            <w:pPr>
              <w:pStyle w:val="TableParagraph"/>
              <w:spacing w:line="268" w:lineRule="exact"/>
              <w:ind w:right="236"/>
              <w:jc w:val="right"/>
              <w:rPr>
                <w:sz w:val="24"/>
              </w:rPr>
            </w:pPr>
            <w:r>
              <w:rPr>
                <w:spacing w:val="-10"/>
                <w:sz w:val="24"/>
              </w:rPr>
              <w:t>B</w:t>
            </w:r>
          </w:p>
        </w:tc>
        <w:tc>
          <w:tcPr>
            <w:tcW w:w="8209" w:type="dxa"/>
          </w:tcPr>
          <w:p>
            <w:pPr>
              <w:pStyle w:val="TableParagraph"/>
              <w:ind w:left="107" w:right="98" w:firstLine="708"/>
              <w:jc w:val="both"/>
              <w:rPr>
                <w:sz w:val="24"/>
              </w:rPr>
            </w:pPr>
            <w:r>
              <w:rPr>
                <w:sz w:val="24"/>
              </w:rPr>
              <w:t>Условная рекомендация (не все рассматриваемые критерии эффективности (исходы) являются важными, не все исследования имеют высокое</w:t>
            </w:r>
            <w:r>
              <w:rPr>
                <w:spacing w:val="29"/>
                <w:sz w:val="24"/>
              </w:rPr>
              <w:t>  </w:t>
            </w:r>
            <w:r>
              <w:rPr>
                <w:sz w:val="24"/>
              </w:rPr>
              <w:t>или</w:t>
            </w:r>
            <w:r>
              <w:rPr>
                <w:spacing w:val="32"/>
                <w:sz w:val="24"/>
              </w:rPr>
              <w:t>  </w:t>
            </w:r>
            <w:r>
              <w:rPr>
                <w:sz w:val="24"/>
              </w:rPr>
              <w:t>удовлетворительное</w:t>
            </w:r>
            <w:r>
              <w:rPr>
                <w:spacing w:val="29"/>
                <w:sz w:val="24"/>
              </w:rPr>
              <w:t>  </w:t>
            </w:r>
            <w:r>
              <w:rPr>
                <w:sz w:val="24"/>
              </w:rPr>
              <w:t>методологическое</w:t>
            </w:r>
            <w:r>
              <w:rPr>
                <w:spacing w:val="30"/>
                <w:sz w:val="24"/>
              </w:rPr>
              <w:t>  </w:t>
            </w:r>
            <w:r>
              <w:rPr>
                <w:sz w:val="24"/>
              </w:rPr>
              <w:t>качество</w:t>
            </w:r>
            <w:r>
              <w:rPr>
                <w:spacing w:val="30"/>
                <w:sz w:val="24"/>
              </w:rPr>
              <w:t>  </w:t>
            </w:r>
            <w:r>
              <w:rPr>
                <w:sz w:val="24"/>
              </w:rPr>
              <w:t>и/или</w:t>
            </w:r>
            <w:r>
              <w:rPr>
                <w:spacing w:val="29"/>
                <w:sz w:val="24"/>
              </w:rPr>
              <w:t>  </w:t>
            </w:r>
            <w:r>
              <w:rPr>
                <w:spacing w:val="-5"/>
                <w:sz w:val="24"/>
              </w:rPr>
              <w:t>их</w:t>
            </w:r>
          </w:p>
          <w:p>
            <w:pPr>
              <w:pStyle w:val="TableParagraph"/>
              <w:spacing w:line="264" w:lineRule="exact"/>
              <w:ind w:left="107"/>
              <w:jc w:val="both"/>
              <w:rPr>
                <w:sz w:val="24"/>
              </w:rPr>
            </w:pPr>
            <w:r>
              <w:rPr>
                <w:sz w:val="24"/>
              </w:rPr>
              <w:t>выводы</w:t>
            </w:r>
            <w:r>
              <w:rPr>
                <w:spacing w:val="-4"/>
                <w:sz w:val="24"/>
              </w:rPr>
              <w:t> </w:t>
            </w:r>
            <w:r>
              <w:rPr>
                <w:sz w:val="24"/>
              </w:rPr>
              <w:t>по</w:t>
            </w:r>
            <w:r>
              <w:rPr>
                <w:spacing w:val="-1"/>
                <w:sz w:val="24"/>
              </w:rPr>
              <w:t> </w:t>
            </w:r>
            <w:r>
              <w:rPr>
                <w:sz w:val="24"/>
              </w:rPr>
              <w:t>интересующим</w:t>
            </w:r>
            <w:r>
              <w:rPr>
                <w:spacing w:val="-3"/>
                <w:sz w:val="24"/>
              </w:rPr>
              <w:t> </w:t>
            </w:r>
            <w:r>
              <w:rPr>
                <w:sz w:val="24"/>
              </w:rPr>
              <w:t>исходам</w:t>
            </w:r>
            <w:r>
              <w:rPr>
                <w:spacing w:val="-2"/>
                <w:sz w:val="24"/>
              </w:rPr>
              <w:t> </w:t>
            </w:r>
            <w:r>
              <w:rPr>
                <w:sz w:val="24"/>
              </w:rPr>
              <w:t>не</w:t>
            </w:r>
            <w:r>
              <w:rPr>
                <w:spacing w:val="-2"/>
                <w:sz w:val="24"/>
              </w:rPr>
              <w:t> </w:t>
            </w:r>
            <w:r>
              <w:rPr>
                <w:sz w:val="24"/>
              </w:rPr>
              <w:t>являются</w:t>
            </w:r>
            <w:r>
              <w:rPr>
                <w:spacing w:val="-1"/>
                <w:sz w:val="24"/>
              </w:rPr>
              <w:t> </w:t>
            </w:r>
            <w:r>
              <w:rPr>
                <w:spacing w:val="-2"/>
                <w:sz w:val="24"/>
              </w:rPr>
              <w:t>согласованными)</w:t>
            </w:r>
          </w:p>
        </w:tc>
      </w:tr>
      <w:tr>
        <w:trPr>
          <w:trHeight w:val="1103" w:hRule="atLeast"/>
        </w:trPr>
        <w:tc>
          <w:tcPr>
            <w:tcW w:w="1363" w:type="dxa"/>
          </w:tcPr>
          <w:p>
            <w:pPr>
              <w:pStyle w:val="TableParagraph"/>
              <w:spacing w:line="268" w:lineRule="exact"/>
              <w:ind w:right="236"/>
              <w:jc w:val="right"/>
              <w:rPr>
                <w:sz w:val="24"/>
              </w:rPr>
            </w:pPr>
            <w:r>
              <w:rPr>
                <w:spacing w:val="-10"/>
                <w:sz w:val="24"/>
              </w:rPr>
              <w:t>C</w:t>
            </w:r>
          </w:p>
        </w:tc>
        <w:tc>
          <w:tcPr>
            <w:tcW w:w="8209" w:type="dxa"/>
          </w:tcPr>
          <w:p>
            <w:pPr>
              <w:pStyle w:val="TableParagraph"/>
              <w:ind w:left="107" w:right="98" w:firstLine="708"/>
              <w:jc w:val="both"/>
              <w:rPr>
                <w:sz w:val="24"/>
              </w:rPr>
            </w:pPr>
            <w:r>
              <w:rPr>
                <w:sz w:val="24"/>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w:t>
            </w:r>
            <w:r>
              <w:rPr>
                <w:spacing w:val="1"/>
                <w:sz w:val="24"/>
              </w:rPr>
              <w:t> </w:t>
            </w:r>
            <w:r>
              <w:rPr>
                <w:sz w:val="24"/>
              </w:rPr>
              <w:t>имеют</w:t>
            </w:r>
            <w:r>
              <w:rPr>
                <w:spacing w:val="-1"/>
                <w:sz w:val="24"/>
              </w:rPr>
              <w:t> </w:t>
            </w:r>
            <w:r>
              <w:rPr>
                <w:sz w:val="24"/>
              </w:rPr>
              <w:t>низкое методологическое качество</w:t>
            </w:r>
            <w:r>
              <w:rPr>
                <w:spacing w:val="1"/>
                <w:sz w:val="24"/>
              </w:rPr>
              <w:t> </w:t>
            </w:r>
            <w:r>
              <w:rPr>
                <w:sz w:val="24"/>
              </w:rPr>
              <w:t>и </w:t>
            </w:r>
            <w:r>
              <w:rPr>
                <w:spacing w:val="-5"/>
                <w:sz w:val="24"/>
              </w:rPr>
              <w:t>их</w:t>
            </w:r>
          </w:p>
          <w:p>
            <w:pPr>
              <w:pStyle w:val="TableParagraph"/>
              <w:spacing w:line="264" w:lineRule="exact"/>
              <w:ind w:left="107"/>
              <w:jc w:val="both"/>
              <w:rPr>
                <w:sz w:val="24"/>
              </w:rPr>
            </w:pPr>
            <w:r>
              <w:rPr>
                <w:sz w:val="24"/>
              </w:rPr>
              <w:t>выводы</w:t>
            </w:r>
            <w:r>
              <w:rPr>
                <w:spacing w:val="-4"/>
                <w:sz w:val="24"/>
              </w:rPr>
              <w:t> </w:t>
            </w:r>
            <w:r>
              <w:rPr>
                <w:sz w:val="24"/>
              </w:rPr>
              <w:t>по</w:t>
            </w:r>
            <w:r>
              <w:rPr>
                <w:spacing w:val="-1"/>
                <w:sz w:val="24"/>
              </w:rPr>
              <w:t> </w:t>
            </w:r>
            <w:r>
              <w:rPr>
                <w:sz w:val="24"/>
              </w:rPr>
              <w:t>интересующим</w:t>
            </w:r>
            <w:r>
              <w:rPr>
                <w:spacing w:val="-3"/>
                <w:sz w:val="24"/>
              </w:rPr>
              <w:t> </w:t>
            </w:r>
            <w:r>
              <w:rPr>
                <w:sz w:val="24"/>
              </w:rPr>
              <w:t>исходам</w:t>
            </w:r>
            <w:r>
              <w:rPr>
                <w:spacing w:val="-2"/>
                <w:sz w:val="24"/>
              </w:rPr>
              <w:t> </w:t>
            </w:r>
            <w:r>
              <w:rPr>
                <w:sz w:val="24"/>
              </w:rPr>
              <w:t>не</w:t>
            </w:r>
            <w:r>
              <w:rPr>
                <w:spacing w:val="-2"/>
                <w:sz w:val="24"/>
              </w:rPr>
              <w:t> </w:t>
            </w:r>
            <w:r>
              <w:rPr>
                <w:sz w:val="24"/>
              </w:rPr>
              <w:t>являются</w:t>
            </w:r>
            <w:r>
              <w:rPr>
                <w:spacing w:val="-1"/>
                <w:sz w:val="24"/>
              </w:rPr>
              <w:t> </w:t>
            </w:r>
            <w:r>
              <w:rPr>
                <w:spacing w:val="-2"/>
                <w:sz w:val="24"/>
              </w:rPr>
              <w:t>согласованными)</w:t>
            </w:r>
          </w:p>
        </w:tc>
      </w:tr>
    </w:tbl>
    <w:p>
      <w:pPr>
        <w:pStyle w:val="Heading2"/>
        <w:spacing w:before="1"/>
        <w:ind w:left="1450"/>
      </w:pPr>
      <w:r>
        <w:rPr/>
        <w:t>Порядок</w:t>
      </w:r>
      <w:r>
        <w:rPr>
          <w:spacing w:val="-4"/>
        </w:rPr>
        <w:t> </w:t>
      </w:r>
      <w:r>
        <w:rPr/>
        <w:t>обновления</w:t>
      </w:r>
      <w:r>
        <w:rPr>
          <w:spacing w:val="-7"/>
        </w:rPr>
        <w:t> </w:t>
      </w:r>
      <w:r>
        <w:rPr/>
        <w:t>клинических</w:t>
      </w:r>
      <w:r>
        <w:rPr>
          <w:spacing w:val="-3"/>
        </w:rPr>
        <w:t> </w:t>
      </w:r>
      <w:r>
        <w:rPr>
          <w:spacing w:val="-2"/>
        </w:rPr>
        <w:t>рекомендаций.</w:t>
      </w:r>
    </w:p>
    <w:p>
      <w:pPr>
        <w:pStyle w:val="BodyText"/>
        <w:spacing w:line="360" w:lineRule="auto" w:before="132"/>
        <w:ind w:right="827" w:firstLine="707"/>
      </w:pPr>
      <w:r>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w:t>
      </w:r>
      <w:bookmarkStart w:name="_bookmark27" w:id="28"/>
      <w:bookmarkEnd w:id="28"/>
      <w:r>
        <w:rPr/>
        <w:t>в.</w:t>
      </w:r>
    </w:p>
    <w:p>
      <w:pPr>
        <w:pStyle w:val="Heading1"/>
        <w:spacing w:line="360" w:lineRule="auto" w:before="245"/>
        <w:ind w:right="827"/>
        <w:jc w:val="both"/>
      </w:pPr>
      <w:r>
        <w:rPr/>
        <mc:AlternateContent>
          <mc:Choice Requires="wps">
            <w:drawing>
              <wp:anchor distT="0" distB="0" distL="0" distR="0" allowOverlap="1" layoutInCell="1" locked="0" behindDoc="1" simplePos="0" relativeHeight="486843392">
                <wp:simplePos x="0" y="0"/>
                <wp:positionH relativeFrom="page">
                  <wp:posOffset>1080820</wp:posOffset>
                </wp:positionH>
                <wp:positionV relativeFrom="paragraph">
                  <wp:posOffset>954277</wp:posOffset>
                </wp:positionV>
                <wp:extent cx="5941695" cy="17145"/>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5941695" cy="17145"/>
                        </a:xfrm>
                        <a:custGeom>
                          <a:avLst/>
                          <a:gdLst/>
                          <a:ahLst/>
                          <a:cxnLst/>
                          <a:rect l="l" t="t" r="r" b="b"/>
                          <a:pathLst>
                            <a:path w="5941695" h="17145">
                              <a:moveTo>
                                <a:pt x="5941441" y="0"/>
                              </a:moveTo>
                              <a:lnTo>
                                <a:pt x="0" y="0"/>
                              </a:lnTo>
                              <a:lnTo>
                                <a:pt x="0" y="16763"/>
                              </a:lnTo>
                              <a:lnTo>
                                <a:pt x="5941441" y="16763"/>
                              </a:lnTo>
                              <a:lnTo>
                                <a:pt x="59414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85.103996pt;margin-top:75.139969pt;width:467.83pt;height:1.32pt;mso-position-horizontal-relative:page;mso-position-vertical-relative:paragraph;z-index:-16473088" id="docshape7" filled="true" fillcolor="#000000" stroked="false">
                <v:fill type="solid"/>
                <w10:wrap type="none"/>
              </v:rect>
            </w:pict>
          </mc:Fallback>
        </mc:AlternateContent>
      </w:r>
      <w:r>
        <w:rPr>
          <w:u w:val="single"/>
        </w:rPr>
        <w:t>Приложение А3. Справочные материалы, включая соответствие</w:t>
      </w:r>
      <w:r>
        <w:rPr>
          <w:u w:val="none"/>
        </w:rPr>
        <w:t> </w:t>
      </w:r>
      <w:r>
        <w:rPr>
          <w:u w:val="single"/>
        </w:rPr>
        <w:t>показаний к применению и противопоказаний, способов применения и</w:t>
      </w:r>
      <w:r>
        <w:rPr>
          <w:u w:val="none"/>
        </w:rPr>
        <w:t> доз лекарственных препаратов, инструкции по применению </w:t>
      </w:r>
      <w:r>
        <w:rPr>
          <w:u w:val="single"/>
        </w:rPr>
        <w:t>лекарственного препарата</w:t>
      </w:r>
    </w:p>
    <w:p>
      <w:pPr>
        <w:pStyle w:val="ListParagraph"/>
        <w:numPr>
          <w:ilvl w:val="0"/>
          <w:numId w:val="6"/>
        </w:numPr>
        <w:tabs>
          <w:tab w:pos="2157" w:val="left" w:leader="none"/>
        </w:tabs>
        <w:spacing w:line="273" w:lineRule="exact" w:before="0" w:after="0"/>
        <w:ind w:left="2157" w:right="0" w:hanging="707"/>
        <w:jc w:val="left"/>
        <w:rPr>
          <w:sz w:val="24"/>
        </w:rPr>
      </w:pPr>
      <w:r>
        <w:rPr>
          <w:sz w:val="24"/>
        </w:rPr>
        <w:t>Клинические</w:t>
      </w:r>
      <w:r>
        <w:rPr>
          <w:spacing w:val="-4"/>
          <w:sz w:val="24"/>
        </w:rPr>
        <w:t> </w:t>
      </w:r>
      <w:r>
        <w:rPr>
          <w:sz w:val="24"/>
        </w:rPr>
        <w:t>рекомендации</w:t>
      </w:r>
      <w:r>
        <w:rPr>
          <w:spacing w:val="-3"/>
          <w:sz w:val="24"/>
        </w:rPr>
        <w:t> </w:t>
      </w:r>
      <w:r>
        <w:rPr>
          <w:sz w:val="24"/>
        </w:rPr>
        <w:t>Российского</w:t>
      </w:r>
      <w:r>
        <w:rPr>
          <w:spacing w:val="-3"/>
          <w:sz w:val="24"/>
        </w:rPr>
        <w:t> </w:t>
      </w:r>
      <w:r>
        <w:rPr>
          <w:sz w:val="24"/>
        </w:rPr>
        <w:t>общества </w:t>
      </w:r>
      <w:r>
        <w:rPr>
          <w:spacing w:val="-2"/>
          <w:sz w:val="24"/>
        </w:rPr>
        <w:t>урологов</w:t>
      </w:r>
    </w:p>
    <w:p>
      <w:pPr>
        <w:pStyle w:val="ListParagraph"/>
        <w:numPr>
          <w:ilvl w:val="0"/>
          <w:numId w:val="6"/>
        </w:numPr>
        <w:tabs>
          <w:tab w:pos="2157" w:val="left" w:leader="none"/>
        </w:tabs>
        <w:spacing w:line="362" w:lineRule="auto" w:before="137" w:after="0"/>
        <w:ind w:left="1450" w:right="1424" w:firstLine="0"/>
        <w:jc w:val="left"/>
        <w:rPr>
          <w:sz w:val="24"/>
        </w:rPr>
      </w:pPr>
      <w:r>
        <w:rPr>
          <w:sz w:val="24"/>
        </w:rPr>
        <w:t>Приказ</w:t>
      </w:r>
      <w:r>
        <w:rPr>
          <w:spacing w:val="-4"/>
          <w:sz w:val="24"/>
        </w:rPr>
        <w:t> </w:t>
      </w:r>
      <w:r>
        <w:rPr>
          <w:sz w:val="24"/>
        </w:rPr>
        <w:t>Министерства</w:t>
      </w:r>
      <w:r>
        <w:rPr>
          <w:spacing w:val="-6"/>
          <w:sz w:val="24"/>
        </w:rPr>
        <w:t> </w:t>
      </w:r>
      <w:r>
        <w:rPr>
          <w:sz w:val="24"/>
        </w:rPr>
        <w:t>труда</w:t>
      </w:r>
      <w:r>
        <w:rPr>
          <w:spacing w:val="-5"/>
          <w:sz w:val="24"/>
        </w:rPr>
        <w:t> </w:t>
      </w:r>
      <w:r>
        <w:rPr>
          <w:sz w:val="24"/>
        </w:rPr>
        <w:t>и</w:t>
      </w:r>
      <w:r>
        <w:rPr>
          <w:spacing w:val="-4"/>
          <w:sz w:val="24"/>
        </w:rPr>
        <w:t> </w:t>
      </w:r>
      <w:r>
        <w:rPr>
          <w:sz w:val="24"/>
        </w:rPr>
        <w:t>социальной</w:t>
      </w:r>
      <w:r>
        <w:rPr>
          <w:spacing w:val="-4"/>
          <w:sz w:val="24"/>
        </w:rPr>
        <w:t> </w:t>
      </w:r>
      <w:r>
        <w:rPr>
          <w:sz w:val="24"/>
        </w:rPr>
        <w:t>защиты</w:t>
      </w:r>
      <w:r>
        <w:rPr>
          <w:spacing w:val="-4"/>
          <w:sz w:val="24"/>
        </w:rPr>
        <w:t> </w:t>
      </w:r>
      <w:r>
        <w:rPr>
          <w:sz w:val="24"/>
        </w:rPr>
        <w:t>РФ</w:t>
      </w:r>
      <w:r>
        <w:rPr>
          <w:spacing w:val="-4"/>
          <w:sz w:val="24"/>
        </w:rPr>
        <w:t> </w:t>
      </w:r>
      <w:r>
        <w:rPr>
          <w:sz w:val="24"/>
        </w:rPr>
        <w:t>от</w:t>
      </w:r>
      <w:r>
        <w:rPr>
          <w:spacing w:val="-4"/>
          <w:sz w:val="24"/>
        </w:rPr>
        <w:t> </w:t>
      </w:r>
      <w:r>
        <w:rPr>
          <w:sz w:val="24"/>
        </w:rPr>
        <w:t>14</w:t>
      </w:r>
      <w:r>
        <w:rPr>
          <w:spacing w:val="-4"/>
          <w:sz w:val="24"/>
        </w:rPr>
        <w:t> </w:t>
      </w:r>
      <w:r>
        <w:rPr>
          <w:sz w:val="24"/>
        </w:rPr>
        <w:t>марта</w:t>
      </w:r>
      <w:r>
        <w:rPr>
          <w:spacing w:val="-4"/>
          <w:sz w:val="24"/>
        </w:rPr>
        <w:t> </w:t>
      </w:r>
      <w:r>
        <w:rPr>
          <w:sz w:val="24"/>
        </w:rPr>
        <w:t>2018 г.2018 N 137н "Об утверждении профессионального стандарта "Врач-</w:t>
      </w:r>
    </w:p>
    <w:p>
      <w:pPr>
        <w:pStyle w:val="BodyText"/>
        <w:spacing w:line="271" w:lineRule="exact"/>
        <w:ind w:left="1450"/>
        <w:jc w:val="left"/>
      </w:pPr>
      <w:r>
        <w:rPr/>
        <w:t>уролог"</w:t>
      </w:r>
      <w:r>
        <w:rPr>
          <w:spacing w:val="-5"/>
        </w:rPr>
        <w:t> </w:t>
      </w:r>
      <w:r>
        <w:rPr/>
        <w:t>(с</w:t>
      </w:r>
      <w:r>
        <w:rPr>
          <w:spacing w:val="-3"/>
        </w:rPr>
        <w:t> </w:t>
      </w:r>
      <w:r>
        <w:rPr/>
        <w:t>изменениями</w:t>
      </w:r>
      <w:r>
        <w:rPr>
          <w:spacing w:val="-2"/>
        </w:rPr>
        <w:t> </w:t>
      </w:r>
      <w:r>
        <w:rPr/>
        <w:t>и</w:t>
      </w:r>
      <w:r>
        <w:rPr>
          <w:spacing w:val="-2"/>
        </w:rPr>
        <w:t> дополнениями)</w:t>
      </w:r>
    </w:p>
    <w:p>
      <w:pPr>
        <w:spacing w:after="0" w:line="271" w:lineRule="exact"/>
        <w:jc w:val="left"/>
        <w:sectPr>
          <w:type w:val="continuous"/>
          <w:pgSz w:w="11910" w:h="16840"/>
          <w:pgMar w:header="0" w:footer="867" w:top="1720" w:bottom="1060" w:left="960" w:right="20"/>
        </w:sectPr>
      </w:pPr>
    </w:p>
    <w:p>
      <w:pPr>
        <w:pStyle w:val="ListParagraph"/>
        <w:numPr>
          <w:ilvl w:val="0"/>
          <w:numId w:val="6"/>
        </w:numPr>
        <w:tabs>
          <w:tab w:pos="2157" w:val="left" w:leader="none"/>
        </w:tabs>
        <w:spacing w:line="240" w:lineRule="auto" w:before="70" w:after="0"/>
        <w:ind w:left="2157" w:right="0" w:hanging="707"/>
        <w:jc w:val="left"/>
        <w:rPr>
          <w:sz w:val="24"/>
        </w:rPr>
      </w:pPr>
      <w:r>
        <w:rPr>
          <w:sz w:val="24"/>
        </w:rPr>
        <w:t>Клинические</w:t>
      </w:r>
      <w:r>
        <w:rPr>
          <w:spacing w:val="-8"/>
          <w:sz w:val="24"/>
        </w:rPr>
        <w:t> </w:t>
      </w:r>
      <w:r>
        <w:rPr>
          <w:sz w:val="24"/>
        </w:rPr>
        <w:t>рекомендации</w:t>
      </w:r>
      <w:r>
        <w:rPr>
          <w:spacing w:val="-4"/>
          <w:sz w:val="24"/>
        </w:rPr>
        <w:t> </w:t>
      </w:r>
      <w:r>
        <w:rPr>
          <w:sz w:val="24"/>
        </w:rPr>
        <w:t>Европейского</w:t>
      </w:r>
      <w:r>
        <w:rPr>
          <w:spacing w:val="-4"/>
          <w:sz w:val="24"/>
        </w:rPr>
        <w:t> </w:t>
      </w:r>
      <w:r>
        <w:rPr>
          <w:sz w:val="24"/>
        </w:rPr>
        <w:t>общества</w:t>
      </w:r>
      <w:r>
        <w:rPr>
          <w:spacing w:val="-1"/>
          <w:sz w:val="24"/>
        </w:rPr>
        <w:t> </w:t>
      </w:r>
      <w:r>
        <w:rPr>
          <w:spacing w:val="-2"/>
          <w:sz w:val="24"/>
        </w:rPr>
        <w:t>у</w:t>
      </w:r>
      <w:bookmarkStart w:name="_bookmark28" w:id="29"/>
      <w:bookmarkEnd w:id="29"/>
      <w:r>
        <w:rPr>
          <w:spacing w:val="-2"/>
          <w:sz w:val="24"/>
        </w:rPr>
        <w:t>рологов</w:t>
      </w:r>
    </w:p>
    <w:p>
      <w:pPr>
        <w:pStyle w:val="BodyText"/>
        <w:ind w:left="0"/>
        <w:jc w:val="left"/>
      </w:pPr>
    </w:p>
    <w:p>
      <w:pPr>
        <w:pStyle w:val="BodyText"/>
        <w:ind w:left="0"/>
        <w:jc w:val="left"/>
      </w:pPr>
    </w:p>
    <w:p>
      <w:pPr>
        <w:pStyle w:val="BodyText"/>
        <w:spacing w:before="35"/>
        <w:ind w:left="0"/>
        <w:jc w:val="left"/>
      </w:pPr>
    </w:p>
    <w:p>
      <w:pPr>
        <w:pStyle w:val="Heading1"/>
      </w:pPr>
      <w:r>
        <w:rPr>
          <w:u w:val="single"/>
        </w:rPr>
        <w:t>Приложение</w:t>
      </w:r>
      <w:r>
        <w:rPr>
          <w:spacing w:val="-7"/>
          <w:u w:val="single"/>
        </w:rPr>
        <w:t> </w:t>
      </w:r>
      <w:r>
        <w:rPr>
          <w:u w:val="single"/>
        </w:rPr>
        <w:t>Б.</w:t>
      </w:r>
      <w:r>
        <w:rPr>
          <w:spacing w:val="-8"/>
          <w:u w:val="single"/>
        </w:rPr>
        <w:t> </w:t>
      </w:r>
      <w:r>
        <w:rPr>
          <w:u w:val="single"/>
        </w:rPr>
        <w:t>Алгоритмы</w:t>
      </w:r>
      <w:r>
        <w:rPr>
          <w:spacing w:val="-6"/>
          <w:u w:val="single"/>
        </w:rPr>
        <w:t> </w:t>
      </w:r>
      <w:r>
        <w:rPr>
          <w:u w:val="single"/>
        </w:rPr>
        <w:t>действий</w:t>
      </w:r>
      <w:r>
        <w:rPr>
          <w:spacing w:val="-11"/>
          <w:u w:val="single"/>
        </w:rPr>
        <w:t> </w:t>
      </w:r>
      <w:r>
        <w:rPr>
          <w:spacing w:val="-2"/>
          <w:u w:val="single"/>
        </w:rPr>
        <w:t>врача</w:t>
      </w:r>
    </w:p>
    <w:p>
      <w:pPr>
        <w:pStyle w:val="BodyText"/>
        <w:spacing w:before="10"/>
        <w:ind w:left="0"/>
        <w:jc w:val="left"/>
        <w:rPr>
          <w:b/>
          <w:sz w:val="11"/>
        </w:rPr>
      </w:pPr>
      <w:r>
        <w:rPr/>
        <w:drawing>
          <wp:anchor distT="0" distB="0" distL="0" distR="0" allowOverlap="1" layoutInCell="1" locked="0" behindDoc="1" simplePos="0" relativeHeight="487589888">
            <wp:simplePos x="0" y="0"/>
            <wp:positionH relativeFrom="page">
              <wp:posOffset>1793893</wp:posOffset>
            </wp:positionH>
            <wp:positionV relativeFrom="paragraph">
              <wp:posOffset>102057</wp:posOffset>
            </wp:positionV>
            <wp:extent cx="5616146" cy="5959602"/>
            <wp:effectExtent l="0" t="0" r="0" b="0"/>
            <wp:wrapTopAndBottom/>
            <wp:docPr id="12" name="Image 12"/>
            <wp:cNvGraphicFramePr>
              <a:graphicFrameLocks/>
            </wp:cNvGraphicFramePr>
            <a:graphic>
              <a:graphicData uri="http://schemas.openxmlformats.org/drawingml/2006/picture">
                <pic:pic>
                  <pic:nvPicPr>
                    <pic:cNvPr id="12" name="Image 12"/>
                    <pic:cNvPicPr/>
                  </pic:nvPicPr>
                  <pic:blipFill>
                    <a:blip r:embed="rId10" cstate="print"/>
                    <a:stretch>
                      <a:fillRect/>
                    </a:stretch>
                  </pic:blipFill>
                  <pic:spPr>
                    <a:xfrm>
                      <a:off x="0" y="0"/>
                      <a:ext cx="5616146" cy="5959602"/>
                    </a:xfrm>
                    <a:prstGeom prst="rect">
                      <a:avLst/>
                    </a:prstGeom>
                  </pic:spPr>
                </pic:pic>
              </a:graphicData>
            </a:graphic>
          </wp:anchor>
        </w:drawing>
      </w:r>
    </w:p>
    <w:p>
      <w:pPr>
        <w:spacing w:after="0"/>
        <w:jc w:val="left"/>
        <w:rPr>
          <w:sz w:val="11"/>
        </w:rPr>
        <w:sectPr>
          <w:pgSz w:w="11910" w:h="16840"/>
          <w:pgMar w:header="0" w:footer="867" w:top="1660" w:bottom="1060" w:left="960" w:right="20"/>
        </w:sectPr>
      </w:pPr>
    </w:p>
    <w:p>
      <w:pPr>
        <w:spacing w:before="74"/>
        <w:ind w:left="621" w:right="0" w:firstLine="0"/>
        <w:jc w:val="center"/>
        <w:rPr>
          <w:b/>
          <w:sz w:val="28"/>
        </w:rPr>
      </w:pPr>
      <w:bookmarkStart w:name="_bookmark29" w:id="30"/>
      <w:bookmarkEnd w:id="30"/>
      <w:r>
        <w:rPr/>
      </w:r>
      <w:r>
        <w:rPr>
          <w:b/>
          <w:sz w:val="28"/>
        </w:rPr>
        <w:t>Приложение</w:t>
      </w:r>
      <w:r>
        <w:rPr>
          <w:b/>
          <w:spacing w:val="-5"/>
          <w:sz w:val="28"/>
        </w:rPr>
        <w:t> </w:t>
      </w:r>
      <w:r>
        <w:rPr>
          <w:b/>
          <w:sz w:val="28"/>
        </w:rPr>
        <w:t>В.</w:t>
      </w:r>
      <w:r>
        <w:rPr>
          <w:b/>
          <w:spacing w:val="-5"/>
          <w:sz w:val="28"/>
        </w:rPr>
        <w:t> </w:t>
      </w:r>
      <w:r>
        <w:rPr>
          <w:b/>
          <w:sz w:val="28"/>
        </w:rPr>
        <w:t>Информация</w:t>
      </w:r>
      <w:r>
        <w:rPr>
          <w:b/>
          <w:spacing w:val="-6"/>
          <w:sz w:val="28"/>
        </w:rPr>
        <w:t> </w:t>
      </w:r>
      <w:r>
        <w:rPr>
          <w:b/>
          <w:sz w:val="28"/>
        </w:rPr>
        <w:t>для</w:t>
      </w:r>
      <w:r>
        <w:rPr>
          <w:b/>
          <w:spacing w:val="-5"/>
          <w:sz w:val="28"/>
        </w:rPr>
        <w:t> </w:t>
      </w:r>
      <w:r>
        <w:rPr>
          <w:b/>
          <w:spacing w:val="-2"/>
          <w:sz w:val="28"/>
        </w:rPr>
        <w:t>пациента</w:t>
      </w:r>
    </w:p>
    <w:p>
      <w:pPr>
        <w:pStyle w:val="BodyText"/>
        <w:spacing w:before="113"/>
        <w:ind w:left="0"/>
        <w:jc w:val="left"/>
        <w:rPr>
          <w:b/>
          <w:sz w:val="28"/>
        </w:rPr>
      </w:pPr>
    </w:p>
    <w:p>
      <w:pPr>
        <w:pStyle w:val="BodyText"/>
        <w:spacing w:line="288" w:lineRule="auto"/>
        <w:ind w:right="824" w:firstLine="707"/>
      </w:pPr>
      <w:r>
        <w:rPr/>
        <w:t>Болезнь Пейрони – заболевание полового члена, при котором развивается искривление полового члена. Точную причину заболевания зачастую не удается установить. При этом заболевании происходит перерождение участка нормальной ткани белочной оболочки (ткань, окружающая кавернозные тела – части полового члена, ответственные за развитие эрекции) в рубцовую ткань (так называемая «бляшка»). Измененный участок нарушает нормальную функцию белочной оболочки и может приводить к развитию искривления. При развитии заболевания также может отмечаться боль в области бляшки, с целью уменьшения которой могут предлагаться различные методы лечения – прием нестероидных противовоспалительных и противоревматических препаратов, препаратов-ингибиторов фосфодиэстеразы 5-го типа (препараты для лечения эректильной дисфункции), а также физические методы воздействия – дистанционная ударно-волновая терапия или тракционная терапия (вытяжение полового члена). Половая жизнь не противопоказана при данном заболевании.</w:t>
      </w:r>
    </w:p>
    <w:p>
      <w:pPr>
        <w:pStyle w:val="BodyText"/>
        <w:spacing w:before="3"/>
        <w:ind w:left="0"/>
        <w:jc w:val="left"/>
      </w:pPr>
    </w:p>
    <w:p>
      <w:pPr>
        <w:pStyle w:val="BodyText"/>
        <w:spacing w:line="288" w:lineRule="auto" w:before="1"/>
        <w:ind w:right="827" w:firstLine="707"/>
      </w:pPr>
      <w:r>
        <w:rPr/>
        <w:t>Затем наступает постепенная стабилизация заболевания, которая характеризуется прекращением</w:t>
      </w:r>
      <w:r>
        <w:rPr>
          <w:spacing w:val="-2"/>
        </w:rPr>
        <w:t> </w:t>
      </w:r>
      <w:r>
        <w:rPr/>
        <w:t>развития</w:t>
      </w:r>
      <w:r>
        <w:rPr>
          <w:spacing w:val="-1"/>
        </w:rPr>
        <w:t> </w:t>
      </w:r>
      <w:r>
        <w:rPr/>
        <w:t>(уменьшения</w:t>
      </w:r>
      <w:r>
        <w:rPr>
          <w:spacing w:val="-3"/>
        </w:rPr>
        <w:t> </w:t>
      </w:r>
      <w:r>
        <w:rPr/>
        <w:t>или усиления)</w:t>
      </w:r>
      <w:r>
        <w:rPr>
          <w:spacing w:val="-2"/>
        </w:rPr>
        <w:t> </w:t>
      </w:r>
      <w:r>
        <w:rPr/>
        <w:t>симптомов.</w:t>
      </w:r>
      <w:r>
        <w:rPr>
          <w:spacing w:val="-1"/>
        </w:rPr>
        <w:t> </w:t>
      </w:r>
      <w:r>
        <w:rPr/>
        <w:t>Если после</w:t>
      </w:r>
      <w:r>
        <w:rPr>
          <w:spacing w:val="-2"/>
        </w:rPr>
        <w:t> </w:t>
      </w:r>
      <w:r>
        <w:rPr/>
        <w:t>стабилизации заболевания наличие искривления полового члена мешает проведению половой жизни (вызывает боль во время полового акта или не позволяет провести полноценный половой акт с проникновением полового члена во влагалище) может проводиться оперативное лечение. Большинство методов консервативной терапии не показали эффективности при болезни Пейрони, а</w:t>
      </w:r>
      <w:r>
        <w:rPr>
          <w:spacing w:val="-1"/>
        </w:rPr>
        <w:t> </w:t>
      </w:r>
      <w:r>
        <w:rPr/>
        <w:t>имеющие</w:t>
      </w:r>
      <w:r>
        <w:rPr>
          <w:spacing w:val="-1"/>
        </w:rPr>
        <w:t> </w:t>
      </w:r>
      <w:r>
        <w:rPr/>
        <w:t>эффективность препараты требуют проведения длительного курса лечения и не дают гарантии избавления от симптомов заболевания.</w:t>
      </w:r>
    </w:p>
    <w:p>
      <w:pPr>
        <w:pStyle w:val="BodyText"/>
        <w:spacing w:before="5"/>
        <w:ind w:left="0"/>
        <w:jc w:val="left"/>
      </w:pPr>
    </w:p>
    <w:p>
      <w:pPr>
        <w:pStyle w:val="BodyText"/>
        <w:spacing w:line="288" w:lineRule="auto"/>
        <w:ind w:right="831" w:firstLine="707"/>
      </w:pPr>
      <w:r>
        <w:rPr/>
        <w:t>Перед оперативным лечением проводится определение эректильной функции и характера искривления. С этой целью врач может попросить выполнить три фотографии полового члена во время эрекции – по одной спереди, сверху и сбоку. Эти фотографии необходимы для оценки конфигурации искривления и определения оперативного вмешательства. Также возможно выполнение исследования с введением в половой член вещества, вызывающего эрекцию. Это применяется в тех случаях, когда выполнение фотографий или достижение эрекции по каким-либо причинам невозможно.</w:t>
      </w:r>
    </w:p>
    <w:p>
      <w:pPr>
        <w:pStyle w:val="BodyText"/>
        <w:spacing w:before="3"/>
        <w:ind w:left="0"/>
        <w:jc w:val="left"/>
      </w:pPr>
    </w:p>
    <w:p>
      <w:pPr>
        <w:pStyle w:val="BodyText"/>
        <w:spacing w:line="288" w:lineRule="auto"/>
        <w:ind w:right="826" w:firstLine="707"/>
      </w:pPr>
      <w:r>
        <w:rPr/>
        <w:t>В зависимости от степени искривления и сохранности эректильной функции проводится оперативное лечение. Наиболее безопасным и эффективным методом лечения считается пликационная корпоропластика, при которой на белочную оболочку накладывается несколько нерассасывающихся швов. Зачастую во время данной операции выполняется обрезание крайней плоти для уменьшения частоты послеоперационных осложнений. После операции может отмечаться уменьшение длины полового члена, степень которого коррелирует со степенью искривления, а также ощущение узлов под кожей полового члена.</w:t>
      </w:r>
    </w:p>
    <w:p>
      <w:pPr>
        <w:spacing w:after="0" w:line="288" w:lineRule="auto"/>
        <w:sectPr>
          <w:pgSz w:w="11910" w:h="16840"/>
          <w:pgMar w:header="0" w:footer="867" w:top="1660" w:bottom="1060" w:left="960" w:right="20"/>
        </w:sectPr>
      </w:pPr>
    </w:p>
    <w:p>
      <w:pPr>
        <w:pStyle w:val="BodyText"/>
        <w:spacing w:line="288" w:lineRule="auto" w:before="68"/>
        <w:ind w:right="833" w:firstLine="707"/>
      </w:pPr>
      <w:r>
        <w:rPr/>
        <w:t>При сохранной эрекции и сложной деформации возможно выполнение операции с использованием «заплатки» из слизистой щеки, трупной сердечной сумки (перикарда), вены и т.п. Такая методика, однако, может приводить к развитию или усугублению эректильной дисфункции.</w:t>
      </w:r>
    </w:p>
    <w:p>
      <w:pPr>
        <w:pStyle w:val="BodyText"/>
        <w:spacing w:before="2"/>
        <w:ind w:left="0"/>
        <w:jc w:val="left"/>
      </w:pPr>
    </w:p>
    <w:p>
      <w:pPr>
        <w:pStyle w:val="BodyText"/>
        <w:spacing w:line="288" w:lineRule="auto" w:before="1"/>
        <w:ind w:right="831" w:firstLine="707"/>
      </w:pPr>
      <w:r>
        <w:rPr/>
        <w:t>Наконец, при сложной деформации и эректильной дисфункции обычно выполняется установка протеза полового члена. Существуют гидравлические и полужесткие протезы полового члена, которые обладают одинаковой эффективностью в достижении эрекции.</w:t>
      </w:r>
    </w:p>
    <w:p>
      <w:pPr>
        <w:pStyle w:val="BodyText"/>
        <w:spacing w:before="5"/>
        <w:ind w:left="0"/>
        <w:jc w:val="left"/>
      </w:pPr>
    </w:p>
    <w:p>
      <w:pPr>
        <w:pStyle w:val="BodyText"/>
        <w:spacing w:line="288" w:lineRule="auto"/>
        <w:ind w:right="829" w:firstLine="707"/>
      </w:pPr>
      <w:r>
        <w:rPr/>
        <w:t>После операции в зависимости от выбранного вмешательства может назначаться прием препаратов, улучшающих эрекцию, использование устройств для вытягивания полового члена и препаратов, уменьшающих боль</w:t>
      </w:r>
      <w:bookmarkStart w:name="_bookmark30" w:id="31"/>
      <w:bookmarkEnd w:id="31"/>
      <w:r>
        <w:rPr/>
        <w:t>.</w:t>
      </w:r>
    </w:p>
    <w:p>
      <w:pPr>
        <w:pStyle w:val="BodyText"/>
        <w:spacing w:before="8"/>
        <w:ind w:left="0"/>
        <w:jc w:val="left"/>
      </w:pPr>
    </w:p>
    <w:p>
      <w:pPr>
        <w:pStyle w:val="Heading1"/>
        <w:spacing w:line="360" w:lineRule="auto"/>
        <w:ind w:right="826"/>
        <w:jc w:val="both"/>
      </w:pPr>
      <w:r>
        <w:rPr>
          <w:u w:val="single"/>
        </w:rPr>
        <w:t>Приложение Г1-ГN. Шкалы оценки, вопросники и другие оценочные</w:t>
      </w:r>
      <w:r>
        <w:rPr>
          <w:u w:val="none"/>
        </w:rPr>
        <w:t> </w:t>
      </w:r>
      <w:r>
        <w:rPr>
          <w:u w:val="single"/>
        </w:rPr>
        <w:t>инструменты состояния пациента, приведенные в клинических</w:t>
      </w:r>
      <w:r>
        <w:rPr>
          <w:u w:val="none"/>
        </w:rPr>
        <w:t> </w:t>
      </w:r>
      <w:r>
        <w:rPr>
          <w:spacing w:val="-2"/>
          <w:u w:val="single"/>
        </w:rPr>
        <w:t>рекомендациях</w:t>
      </w:r>
    </w:p>
    <w:p>
      <w:pPr>
        <w:pStyle w:val="BodyText"/>
        <w:spacing w:line="362" w:lineRule="auto"/>
        <w:ind w:right="827" w:firstLine="707"/>
      </w:pPr>
      <w:r>
        <w:rPr/>
        <w:t>Опросник «Международный индекс эректильной функции»/«International Index of Erectile Function» [62,83,84]</w:t>
      </w:r>
    </w:p>
    <w:p>
      <w:pPr>
        <w:pStyle w:val="BodyText"/>
        <w:spacing w:line="360" w:lineRule="auto"/>
        <w:ind w:left="1450" w:right="2295"/>
      </w:pPr>
      <w:r>
        <w:rPr/>
        <w:t>Назначение:</w:t>
      </w:r>
      <w:r>
        <w:rPr>
          <w:spacing w:val="-8"/>
        </w:rPr>
        <w:t> </w:t>
      </w:r>
      <w:r>
        <w:rPr/>
        <w:t>оценка</w:t>
      </w:r>
      <w:r>
        <w:rPr>
          <w:spacing w:val="-9"/>
        </w:rPr>
        <w:t> </w:t>
      </w:r>
      <w:r>
        <w:rPr/>
        <w:t>степени</w:t>
      </w:r>
      <w:r>
        <w:rPr>
          <w:spacing w:val="-8"/>
        </w:rPr>
        <w:t> </w:t>
      </w:r>
      <w:r>
        <w:rPr/>
        <w:t>выраженности</w:t>
      </w:r>
      <w:r>
        <w:rPr>
          <w:spacing w:val="-8"/>
        </w:rPr>
        <w:t> </w:t>
      </w:r>
      <w:r>
        <w:rPr/>
        <w:t>эректильной</w:t>
      </w:r>
      <w:r>
        <w:rPr>
          <w:spacing w:val="-8"/>
        </w:rPr>
        <w:t> </w:t>
      </w:r>
      <w:r>
        <w:rPr/>
        <w:t>дисфункции. Пожалуйста, отметьте только один ответ.</w:t>
      </w:r>
    </w:p>
    <w:tbl>
      <w:tblPr>
        <w:tblW w:w="0" w:type="auto"/>
        <w:jc w:val="left"/>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60"/>
        <w:gridCol w:w="1419"/>
        <w:gridCol w:w="992"/>
        <w:gridCol w:w="1277"/>
        <w:gridCol w:w="1275"/>
        <w:gridCol w:w="1277"/>
        <w:gridCol w:w="1136"/>
      </w:tblGrid>
      <w:tr>
        <w:trPr>
          <w:trHeight w:val="1861" w:hRule="atLeast"/>
        </w:trPr>
        <w:tc>
          <w:tcPr>
            <w:tcW w:w="2660" w:type="dxa"/>
          </w:tcPr>
          <w:p>
            <w:pPr>
              <w:pStyle w:val="TableParagraph"/>
              <w:spacing w:line="360" w:lineRule="auto"/>
              <w:ind w:left="107" w:right="95" w:firstLine="707"/>
              <w:jc w:val="both"/>
              <w:rPr>
                <w:sz w:val="18"/>
              </w:rPr>
            </w:pPr>
            <w:r>
              <w:rPr>
                <w:sz w:val="18"/>
              </w:rPr>
              <w:t>1. За последние 4 недели как часто Вам</w:t>
            </w:r>
            <w:r>
              <w:rPr>
                <w:spacing w:val="40"/>
                <w:sz w:val="18"/>
              </w:rPr>
              <w:t> </w:t>
            </w:r>
            <w:r>
              <w:rPr>
                <w:sz w:val="18"/>
              </w:rPr>
              <w:t>удавалось</w:t>
            </w:r>
            <w:r>
              <w:rPr>
                <w:spacing w:val="-4"/>
                <w:sz w:val="18"/>
              </w:rPr>
              <w:t> </w:t>
            </w:r>
            <w:r>
              <w:rPr>
                <w:sz w:val="18"/>
              </w:rPr>
              <w:t>достичь</w:t>
            </w:r>
            <w:r>
              <w:rPr>
                <w:spacing w:val="-4"/>
                <w:sz w:val="18"/>
              </w:rPr>
              <w:t> </w:t>
            </w:r>
            <w:r>
              <w:rPr>
                <w:sz w:val="18"/>
              </w:rPr>
              <w:t>эрекции</w:t>
            </w:r>
            <w:r>
              <w:rPr>
                <w:spacing w:val="-4"/>
                <w:sz w:val="18"/>
              </w:rPr>
              <w:t> </w:t>
            </w:r>
            <w:r>
              <w:rPr>
                <w:sz w:val="18"/>
              </w:rPr>
              <w:t>при сексуальной активности</w:t>
            </w:r>
            <w:r>
              <w:rPr>
                <w:sz w:val="18"/>
                <w:vertAlign w:val="superscript"/>
              </w:rPr>
              <w:t>1</w:t>
            </w:r>
            <w:r>
              <w:rPr>
                <w:sz w:val="18"/>
                <w:vertAlign w:val="baseline"/>
              </w:rPr>
              <w:t>?</w:t>
            </w:r>
          </w:p>
        </w:tc>
        <w:tc>
          <w:tcPr>
            <w:tcW w:w="1419" w:type="dxa"/>
          </w:tcPr>
          <w:p>
            <w:pPr>
              <w:pStyle w:val="TableParagraph"/>
              <w:spacing w:line="202" w:lineRule="exact"/>
              <w:ind w:left="815"/>
              <w:rPr>
                <w:sz w:val="18"/>
              </w:rPr>
            </w:pPr>
            <w:r>
              <w:rPr>
                <w:spacing w:val="-5"/>
                <w:sz w:val="18"/>
              </w:rPr>
              <w:t>0-</w:t>
            </w:r>
          </w:p>
          <w:p>
            <w:pPr>
              <w:pStyle w:val="TableParagraph"/>
              <w:spacing w:line="360" w:lineRule="auto" w:before="105"/>
              <w:ind w:left="107"/>
              <w:rPr>
                <w:sz w:val="18"/>
              </w:rPr>
            </w:pPr>
            <w:r>
              <w:rPr>
                <w:spacing w:val="-2"/>
                <w:sz w:val="18"/>
              </w:rPr>
              <w:t>Сексуальной </w:t>
            </w:r>
            <w:r>
              <w:rPr>
                <w:sz w:val="18"/>
              </w:rPr>
              <w:t>активности</w:t>
            </w:r>
            <w:r>
              <w:rPr>
                <w:spacing w:val="71"/>
                <w:sz w:val="18"/>
              </w:rPr>
              <w:t> </w:t>
            </w:r>
            <w:r>
              <w:rPr>
                <w:sz w:val="18"/>
              </w:rPr>
              <w:t>не </w:t>
            </w:r>
            <w:r>
              <w:rPr>
                <w:spacing w:val="-4"/>
                <w:sz w:val="18"/>
              </w:rPr>
              <w:t>было</w:t>
            </w:r>
          </w:p>
        </w:tc>
        <w:tc>
          <w:tcPr>
            <w:tcW w:w="992" w:type="dxa"/>
          </w:tcPr>
          <w:p>
            <w:pPr>
              <w:pStyle w:val="TableParagraph"/>
              <w:spacing w:line="202" w:lineRule="exact"/>
              <w:ind w:left="812"/>
              <w:rPr>
                <w:sz w:val="18"/>
              </w:rPr>
            </w:pPr>
            <w:r>
              <w:rPr>
                <w:spacing w:val="-10"/>
                <w:sz w:val="18"/>
              </w:rPr>
              <w:t>1</w:t>
            </w:r>
          </w:p>
          <w:p>
            <w:pPr>
              <w:pStyle w:val="TableParagraph"/>
              <w:spacing w:line="360" w:lineRule="auto" w:before="105"/>
              <w:ind w:left="104" w:right="256"/>
              <w:rPr>
                <w:sz w:val="18"/>
              </w:rPr>
            </w:pPr>
            <w:r>
              <w:rPr>
                <w:spacing w:val="-2"/>
                <w:sz w:val="18"/>
              </w:rPr>
              <w:t>-Почти никогда </w:t>
            </w:r>
            <w:r>
              <w:rPr>
                <w:spacing w:val="-4"/>
                <w:sz w:val="18"/>
              </w:rPr>
              <w:t>или </w:t>
            </w:r>
            <w:r>
              <w:rPr>
                <w:spacing w:val="-2"/>
                <w:sz w:val="18"/>
              </w:rPr>
              <w:t>никогда</w:t>
            </w:r>
          </w:p>
        </w:tc>
        <w:tc>
          <w:tcPr>
            <w:tcW w:w="1277" w:type="dxa"/>
          </w:tcPr>
          <w:p>
            <w:pPr>
              <w:pStyle w:val="TableParagraph"/>
              <w:spacing w:line="202" w:lineRule="exact"/>
              <w:ind w:left="814"/>
              <w:rPr>
                <w:sz w:val="18"/>
              </w:rPr>
            </w:pPr>
            <w:r>
              <w:rPr>
                <w:spacing w:val="-5"/>
                <w:sz w:val="18"/>
              </w:rPr>
              <w:t>2-</w:t>
            </w:r>
          </w:p>
          <w:p>
            <w:pPr>
              <w:pStyle w:val="TableParagraph"/>
              <w:spacing w:line="360" w:lineRule="auto" w:before="105"/>
              <w:ind w:left="106" w:right="504"/>
              <w:rPr>
                <w:sz w:val="18"/>
              </w:rPr>
            </w:pPr>
            <w:r>
              <w:rPr>
                <w:spacing w:val="-2"/>
                <w:sz w:val="18"/>
              </w:rPr>
              <w:t>Изредка (меньше</w:t>
            </w:r>
          </w:p>
          <w:p>
            <w:pPr>
              <w:pStyle w:val="TableParagraph"/>
              <w:spacing w:line="362" w:lineRule="auto"/>
              <w:ind w:left="106" w:right="392"/>
              <w:rPr>
                <w:sz w:val="18"/>
              </w:rPr>
            </w:pPr>
            <w:r>
              <w:rPr>
                <w:spacing w:val="-2"/>
                <w:sz w:val="18"/>
              </w:rPr>
              <w:t>половины случаев)</w:t>
            </w:r>
          </w:p>
        </w:tc>
        <w:tc>
          <w:tcPr>
            <w:tcW w:w="1275" w:type="dxa"/>
          </w:tcPr>
          <w:p>
            <w:pPr>
              <w:pStyle w:val="TableParagraph"/>
              <w:spacing w:line="202" w:lineRule="exact"/>
              <w:ind w:left="814"/>
              <w:rPr>
                <w:sz w:val="18"/>
              </w:rPr>
            </w:pPr>
            <w:r>
              <w:rPr>
                <w:spacing w:val="-5"/>
                <w:sz w:val="18"/>
              </w:rPr>
              <w:t>3-</w:t>
            </w:r>
          </w:p>
          <w:p>
            <w:pPr>
              <w:pStyle w:val="TableParagraph"/>
              <w:spacing w:before="105"/>
              <w:ind w:left="106"/>
              <w:rPr>
                <w:sz w:val="18"/>
              </w:rPr>
            </w:pPr>
            <w:r>
              <w:rPr>
                <w:spacing w:val="-2"/>
                <w:sz w:val="18"/>
              </w:rPr>
              <w:t>Иногда</w:t>
            </w:r>
          </w:p>
          <w:p>
            <w:pPr>
              <w:pStyle w:val="TableParagraph"/>
              <w:spacing w:line="360" w:lineRule="auto" w:before="102"/>
              <w:ind w:left="106"/>
              <w:rPr>
                <w:sz w:val="18"/>
              </w:rPr>
            </w:pPr>
            <w:r>
              <w:rPr>
                <w:sz w:val="18"/>
              </w:rPr>
              <w:t>(примерно</w:t>
            </w:r>
            <w:r>
              <w:rPr>
                <w:spacing w:val="80"/>
                <w:sz w:val="18"/>
              </w:rPr>
              <w:t> </w:t>
            </w:r>
            <w:r>
              <w:rPr>
                <w:sz w:val="18"/>
              </w:rPr>
              <w:t>в </w:t>
            </w:r>
            <w:r>
              <w:rPr>
                <w:spacing w:val="-2"/>
                <w:sz w:val="18"/>
              </w:rPr>
              <w:t>половине случаев)</w:t>
            </w:r>
          </w:p>
        </w:tc>
        <w:tc>
          <w:tcPr>
            <w:tcW w:w="1277" w:type="dxa"/>
          </w:tcPr>
          <w:p>
            <w:pPr>
              <w:pStyle w:val="TableParagraph"/>
              <w:spacing w:line="202" w:lineRule="exact"/>
              <w:ind w:left="814"/>
              <w:rPr>
                <w:sz w:val="18"/>
              </w:rPr>
            </w:pPr>
            <w:r>
              <w:rPr>
                <w:spacing w:val="-5"/>
                <w:sz w:val="18"/>
              </w:rPr>
              <w:t>4-</w:t>
            </w:r>
          </w:p>
          <w:p>
            <w:pPr>
              <w:pStyle w:val="TableParagraph"/>
              <w:spacing w:before="105"/>
              <w:ind w:left="106"/>
              <w:rPr>
                <w:sz w:val="18"/>
              </w:rPr>
            </w:pPr>
            <w:r>
              <w:rPr>
                <w:spacing w:val="-2"/>
                <w:sz w:val="18"/>
              </w:rPr>
              <w:t>Часто</w:t>
            </w:r>
          </w:p>
          <w:p>
            <w:pPr>
              <w:pStyle w:val="TableParagraph"/>
              <w:spacing w:line="360" w:lineRule="auto" w:before="102"/>
              <w:ind w:left="106" w:right="97"/>
              <w:rPr>
                <w:sz w:val="18"/>
              </w:rPr>
            </w:pPr>
            <w:r>
              <w:rPr>
                <w:spacing w:val="-2"/>
                <w:sz w:val="18"/>
              </w:rPr>
              <w:t>(гораздо </w:t>
            </w:r>
            <w:r>
              <w:rPr>
                <w:sz w:val="18"/>
              </w:rPr>
              <w:t>чаще,</w:t>
            </w:r>
            <w:r>
              <w:rPr>
                <w:spacing w:val="40"/>
                <w:sz w:val="18"/>
              </w:rPr>
              <w:t> </w:t>
            </w:r>
            <w:r>
              <w:rPr>
                <w:sz w:val="18"/>
              </w:rPr>
              <w:t>чем</w:t>
            </w:r>
            <w:r>
              <w:rPr>
                <w:spacing w:val="40"/>
                <w:sz w:val="18"/>
              </w:rPr>
              <w:t> </w:t>
            </w:r>
            <w:r>
              <w:rPr>
                <w:sz w:val="18"/>
              </w:rPr>
              <w:t>в </w:t>
            </w:r>
            <w:r>
              <w:rPr>
                <w:spacing w:val="-2"/>
                <w:sz w:val="18"/>
              </w:rPr>
              <w:t>половине</w:t>
            </w:r>
          </w:p>
          <w:p>
            <w:pPr>
              <w:pStyle w:val="TableParagraph"/>
              <w:spacing w:line="207" w:lineRule="exact"/>
              <w:ind w:left="106"/>
              <w:rPr>
                <w:sz w:val="18"/>
              </w:rPr>
            </w:pPr>
            <w:r>
              <w:rPr>
                <w:spacing w:val="-2"/>
                <w:sz w:val="18"/>
              </w:rPr>
              <w:t>случаев)</w:t>
            </w:r>
          </w:p>
        </w:tc>
        <w:tc>
          <w:tcPr>
            <w:tcW w:w="1136" w:type="dxa"/>
          </w:tcPr>
          <w:p>
            <w:pPr>
              <w:pStyle w:val="TableParagraph"/>
              <w:spacing w:line="202" w:lineRule="exact"/>
              <w:ind w:left="814"/>
              <w:rPr>
                <w:sz w:val="18"/>
              </w:rPr>
            </w:pPr>
            <w:r>
              <w:rPr>
                <w:spacing w:val="-5"/>
                <w:sz w:val="18"/>
              </w:rPr>
              <w:t>5-</w:t>
            </w:r>
          </w:p>
          <w:p>
            <w:pPr>
              <w:pStyle w:val="TableParagraph"/>
              <w:spacing w:line="360" w:lineRule="auto" w:before="105"/>
              <w:ind w:left="106" w:right="74"/>
              <w:rPr>
                <w:sz w:val="18"/>
              </w:rPr>
            </w:pPr>
            <w:r>
              <w:rPr>
                <w:spacing w:val="-2"/>
                <w:sz w:val="18"/>
              </w:rPr>
              <w:t>Почти </w:t>
            </w:r>
            <w:r>
              <w:rPr>
                <w:sz w:val="18"/>
              </w:rPr>
              <w:t>всегда</w:t>
            </w:r>
            <w:r>
              <w:rPr>
                <w:spacing w:val="61"/>
                <w:sz w:val="18"/>
              </w:rPr>
              <w:t> </w:t>
            </w:r>
            <w:r>
              <w:rPr>
                <w:sz w:val="18"/>
              </w:rPr>
              <w:t>или </w:t>
            </w:r>
            <w:r>
              <w:rPr>
                <w:spacing w:val="-2"/>
                <w:sz w:val="18"/>
              </w:rPr>
              <w:t>всегда</w:t>
            </w:r>
          </w:p>
        </w:tc>
      </w:tr>
      <w:tr>
        <w:trPr>
          <w:trHeight w:val="2174" w:hRule="atLeast"/>
        </w:trPr>
        <w:tc>
          <w:tcPr>
            <w:tcW w:w="2660" w:type="dxa"/>
          </w:tcPr>
          <w:p>
            <w:pPr>
              <w:pStyle w:val="TableParagraph"/>
              <w:spacing w:line="360" w:lineRule="auto"/>
              <w:ind w:left="107" w:right="95" w:firstLine="707"/>
              <w:jc w:val="both"/>
              <w:rPr>
                <w:sz w:val="18"/>
              </w:rPr>
            </w:pPr>
            <w:r>
              <w:rPr>
                <w:sz w:val="18"/>
              </w:rPr>
              <w:t>2. За последние 4 недели в тех случаях, когда</w:t>
            </w:r>
            <w:r>
              <w:rPr>
                <w:spacing w:val="80"/>
                <w:sz w:val="18"/>
              </w:rPr>
              <w:t> </w:t>
            </w:r>
            <w:r>
              <w:rPr>
                <w:sz w:val="18"/>
              </w:rPr>
              <w:t>при</w:t>
            </w:r>
            <w:r>
              <w:rPr>
                <w:spacing w:val="-11"/>
                <w:sz w:val="18"/>
              </w:rPr>
              <w:t> </w:t>
            </w:r>
            <w:r>
              <w:rPr>
                <w:sz w:val="18"/>
              </w:rPr>
              <w:t>сексуальной</w:t>
            </w:r>
            <w:r>
              <w:rPr>
                <w:spacing w:val="-11"/>
                <w:sz w:val="18"/>
              </w:rPr>
              <w:t> </w:t>
            </w:r>
            <w:r>
              <w:rPr>
                <w:sz w:val="18"/>
              </w:rPr>
              <w:t>стимуляции</w:t>
            </w:r>
            <w:r>
              <w:rPr>
                <w:sz w:val="18"/>
                <w:vertAlign w:val="superscript"/>
              </w:rPr>
              <w:t>2</w:t>
            </w:r>
            <w:r>
              <w:rPr>
                <w:spacing w:val="-11"/>
                <w:sz w:val="18"/>
                <w:vertAlign w:val="baseline"/>
              </w:rPr>
              <w:t> </w:t>
            </w:r>
            <w:r>
              <w:rPr>
                <w:sz w:val="18"/>
                <w:vertAlign w:val="baseline"/>
              </w:rPr>
              <w:t>у Вас возникала эрекция, как часто она была достаточной или</w:t>
            </w:r>
            <w:r>
              <w:rPr>
                <w:spacing w:val="48"/>
                <w:sz w:val="18"/>
                <w:vertAlign w:val="baseline"/>
              </w:rPr>
              <w:t>  </w:t>
            </w:r>
            <w:r>
              <w:rPr>
                <w:sz w:val="18"/>
                <w:vertAlign w:val="baseline"/>
              </w:rPr>
              <w:t>сильной</w:t>
            </w:r>
            <w:r>
              <w:rPr>
                <w:spacing w:val="48"/>
                <w:sz w:val="18"/>
                <w:vertAlign w:val="baseline"/>
              </w:rPr>
              <w:t>  </w:t>
            </w:r>
            <w:r>
              <w:rPr>
                <w:sz w:val="18"/>
                <w:vertAlign w:val="baseline"/>
              </w:rPr>
              <w:t>для</w:t>
            </w:r>
            <w:r>
              <w:rPr>
                <w:spacing w:val="49"/>
                <w:sz w:val="18"/>
                <w:vertAlign w:val="baseline"/>
              </w:rPr>
              <w:t>  </w:t>
            </w:r>
            <w:r>
              <w:rPr>
                <w:spacing w:val="-2"/>
                <w:sz w:val="18"/>
                <w:vertAlign w:val="baseline"/>
              </w:rPr>
              <w:t>введения</w:t>
            </w:r>
          </w:p>
          <w:p>
            <w:pPr>
              <w:pStyle w:val="TableParagraph"/>
              <w:ind w:left="107"/>
              <w:jc w:val="both"/>
              <w:rPr>
                <w:sz w:val="18"/>
              </w:rPr>
            </w:pPr>
            <w:r>
              <w:rPr>
                <w:sz w:val="18"/>
              </w:rPr>
              <w:t>полового</w:t>
            </w:r>
            <w:r>
              <w:rPr>
                <w:spacing w:val="-3"/>
                <w:sz w:val="18"/>
              </w:rPr>
              <w:t> </w:t>
            </w:r>
            <w:r>
              <w:rPr>
                <w:sz w:val="18"/>
              </w:rPr>
              <w:t>члена</w:t>
            </w:r>
            <w:r>
              <w:rPr>
                <w:spacing w:val="-3"/>
                <w:sz w:val="18"/>
              </w:rPr>
              <w:t> </w:t>
            </w:r>
            <w:r>
              <w:rPr>
                <w:sz w:val="18"/>
              </w:rPr>
              <w:t>во </w:t>
            </w:r>
            <w:r>
              <w:rPr>
                <w:spacing w:val="-2"/>
                <w:sz w:val="18"/>
              </w:rPr>
              <w:t>влагалище?</w:t>
            </w:r>
          </w:p>
        </w:tc>
        <w:tc>
          <w:tcPr>
            <w:tcW w:w="1419" w:type="dxa"/>
          </w:tcPr>
          <w:p>
            <w:pPr>
              <w:pStyle w:val="TableParagraph"/>
              <w:spacing w:line="204" w:lineRule="exact"/>
              <w:ind w:left="815"/>
              <w:rPr>
                <w:sz w:val="18"/>
              </w:rPr>
            </w:pPr>
            <w:r>
              <w:rPr>
                <w:spacing w:val="-5"/>
                <w:sz w:val="18"/>
              </w:rPr>
              <w:t>0-</w:t>
            </w:r>
          </w:p>
          <w:p>
            <w:pPr>
              <w:pStyle w:val="TableParagraph"/>
              <w:spacing w:line="360" w:lineRule="auto" w:before="103"/>
              <w:ind w:left="107"/>
              <w:rPr>
                <w:sz w:val="18"/>
              </w:rPr>
            </w:pPr>
            <w:r>
              <w:rPr>
                <w:spacing w:val="-2"/>
                <w:sz w:val="18"/>
              </w:rPr>
              <w:t>Сексуальной </w:t>
            </w:r>
            <w:r>
              <w:rPr>
                <w:sz w:val="18"/>
              </w:rPr>
              <w:t>активности</w:t>
            </w:r>
            <w:r>
              <w:rPr>
                <w:spacing w:val="71"/>
                <w:sz w:val="18"/>
              </w:rPr>
              <w:t> </w:t>
            </w:r>
            <w:r>
              <w:rPr>
                <w:sz w:val="18"/>
              </w:rPr>
              <w:t>не </w:t>
            </w:r>
            <w:r>
              <w:rPr>
                <w:spacing w:val="-4"/>
                <w:sz w:val="18"/>
              </w:rPr>
              <w:t>было</w:t>
            </w:r>
          </w:p>
        </w:tc>
        <w:tc>
          <w:tcPr>
            <w:tcW w:w="992" w:type="dxa"/>
          </w:tcPr>
          <w:p>
            <w:pPr>
              <w:pStyle w:val="TableParagraph"/>
              <w:spacing w:line="204" w:lineRule="exact"/>
              <w:ind w:left="812"/>
              <w:rPr>
                <w:sz w:val="18"/>
              </w:rPr>
            </w:pPr>
            <w:r>
              <w:rPr>
                <w:spacing w:val="-10"/>
                <w:sz w:val="18"/>
              </w:rPr>
              <w:t>1</w:t>
            </w:r>
          </w:p>
          <w:p>
            <w:pPr>
              <w:pStyle w:val="TableParagraph"/>
              <w:spacing w:line="360" w:lineRule="auto" w:before="103"/>
              <w:ind w:left="104" w:right="256"/>
              <w:rPr>
                <w:sz w:val="18"/>
              </w:rPr>
            </w:pPr>
            <w:r>
              <w:rPr>
                <w:spacing w:val="-2"/>
                <w:sz w:val="18"/>
              </w:rPr>
              <w:t>-Почти никогда </w:t>
            </w:r>
            <w:r>
              <w:rPr>
                <w:spacing w:val="-4"/>
                <w:sz w:val="18"/>
              </w:rPr>
              <w:t>или </w:t>
            </w:r>
            <w:r>
              <w:rPr>
                <w:spacing w:val="-2"/>
                <w:sz w:val="18"/>
              </w:rPr>
              <w:t>никогда</w:t>
            </w:r>
          </w:p>
        </w:tc>
        <w:tc>
          <w:tcPr>
            <w:tcW w:w="1277" w:type="dxa"/>
          </w:tcPr>
          <w:p>
            <w:pPr>
              <w:pStyle w:val="TableParagraph"/>
              <w:spacing w:line="204" w:lineRule="exact"/>
              <w:ind w:left="814"/>
              <w:rPr>
                <w:sz w:val="18"/>
              </w:rPr>
            </w:pPr>
            <w:r>
              <w:rPr>
                <w:spacing w:val="-5"/>
                <w:sz w:val="18"/>
              </w:rPr>
              <w:t>2-</w:t>
            </w:r>
          </w:p>
          <w:p>
            <w:pPr>
              <w:pStyle w:val="TableParagraph"/>
              <w:spacing w:line="360" w:lineRule="auto" w:before="103"/>
              <w:ind w:left="106" w:right="504"/>
              <w:rPr>
                <w:sz w:val="18"/>
              </w:rPr>
            </w:pPr>
            <w:r>
              <w:rPr>
                <w:spacing w:val="-2"/>
                <w:sz w:val="18"/>
              </w:rPr>
              <w:t>Изредка (меньше</w:t>
            </w:r>
          </w:p>
          <w:p>
            <w:pPr>
              <w:pStyle w:val="TableParagraph"/>
              <w:spacing w:line="360" w:lineRule="auto" w:before="1"/>
              <w:ind w:left="106" w:right="392"/>
              <w:rPr>
                <w:sz w:val="18"/>
              </w:rPr>
            </w:pPr>
            <w:r>
              <w:rPr>
                <w:spacing w:val="-2"/>
                <w:sz w:val="18"/>
              </w:rPr>
              <w:t>половины случаев)</w:t>
            </w:r>
          </w:p>
        </w:tc>
        <w:tc>
          <w:tcPr>
            <w:tcW w:w="1275" w:type="dxa"/>
          </w:tcPr>
          <w:p>
            <w:pPr>
              <w:pStyle w:val="TableParagraph"/>
              <w:spacing w:line="204" w:lineRule="exact"/>
              <w:ind w:left="814"/>
              <w:rPr>
                <w:sz w:val="18"/>
              </w:rPr>
            </w:pPr>
            <w:r>
              <w:rPr>
                <w:spacing w:val="-5"/>
                <w:sz w:val="18"/>
              </w:rPr>
              <w:t>3-</w:t>
            </w:r>
          </w:p>
          <w:p>
            <w:pPr>
              <w:pStyle w:val="TableParagraph"/>
              <w:spacing w:before="103"/>
              <w:ind w:left="106"/>
              <w:rPr>
                <w:sz w:val="18"/>
              </w:rPr>
            </w:pPr>
            <w:r>
              <w:rPr>
                <w:spacing w:val="-2"/>
                <w:sz w:val="18"/>
              </w:rPr>
              <w:t>Иногда</w:t>
            </w:r>
          </w:p>
          <w:p>
            <w:pPr>
              <w:pStyle w:val="TableParagraph"/>
              <w:spacing w:line="360" w:lineRule="auto" w:before="103"/>
              <w:ind w:left="106"/>
              <w:rPr>
                <w:sz w:val="18"/>
              </w:rPr>
            </w:pPr>
            <w:r>
              <w:rPr>
                <w:sz w:val="18"/>
              </w:rPr>
              <w:t>(примерно</w:t>
            </w:r>
            <w:r>
              <w:rPr>
                <w:spacing w:val="80"/>
                <w:sz w:val="18"/>
              </w:rPr>
              <w:t> </w:t>
            </w:r>
            <w:r>
              <w:rPr>
                <w:sz w:val="18"/>
              </w:rPr>
              <w:t>в </w:t>
            </w:r>
            <w:r>
              <w:rPr>
                <w:spacing w:val="-2"/>
                <w:sz w:val="18"/>
              </w:rPr>
              <w:t>половине случаев)</w:t>
            </w:r>
          </w:p>
        </w:tc>
        <w:tc>
          <w:tcPr>
            <w:tcW w:w="1277" w:type="dxa"/>
          </w:tcPr>
          <w:p>
            <w:pPr>
              <w:pStyle w:val="TableParagraph"/>
              <w:spacing w:line="204" w:lineRule="exact"/>
              <w:ind w:left="814"/>
              <w:rPr>
                <w:sz w:val="18"/>
              </w:rPr>
            </w:pPr>
            <w:r>
              <w:rPr>
                <w:spacing w:val="-5"/>
                <w:sz w:val="18"/>
              </w:rPr>
              <w:t>4-</w:t>
            </w:r>
          </w:p>
          <w:p>
            <w:pPr>
              <w:pStyle w:val="TableParagraph"/>
              <w:spacing w:line="360" w:lineRule="auto" w:before="103"/>
              <w:ind w:left="106" w:right="97"/>
              <w:rPr>
                <w:sz w:val="18"/>
              </w:rPr>
            </w:pPr>
            <w:r>
              <w:rPr>
                <w:spacing w:val="-2"/>
                <w:sz w:val="18"/>
              </w:rPr>
              <w:t>Часто (гораздо </w:t>
            </w:r>
            <w:r>
              <w:rPr>
                <w:sz w:val="18"/>
              </w:rPr>
              <w:t>чаще,</w:t>
            </w:r>
            <w:r>
              <w:rPr>
                <w:spacing w:val="40"/>
                <w:sz w:val="18"/>
              </w:rPr>
              <w:t> </w:t>
            </w:r>
            <w:r>
              <w:rPr>
                <w:sz w:val="18"/>
              </w:rPr>
              <w:t>чем</w:t>
            </w:r>
            <w:r>
              <w:rPr>
                <w:spacing w:val="40"/>
                <w:sz w:val="18"/>
              </w:rPr>
              <w:t> </w:t>
            </w:r>
            <w:r>
              <w:rPr>
                <w:sz w:val="18"/>
              </w:rPr>
              <w:t>в </w:t>
            </w:r>
            <w:r>
              <w:rPr>
                <w:spacing w:val="-2"/>
                <w:sz w:val="18"/>
              </w:rPr>
              <w:t>половине случаев)</w:t>
            </w:r>
          </w:p>
        </w:tc>
        <w:tc>
          <w:tcPr>
            <w:tcW w:w="1136" w:type="dxa"/>
          </w:tcPr>
          <w:p>
            <w:pPr>
              <w:pStyle w:val="TableParagraph"/>
              <w:spacing w:line="204" w:lineRule="exact"/>
              <w:ind w:left="814"/>
              <w:rPr>
                <w:sz w:val="18"/>
              </w:rPr>
            </w:pPr>
            <w:r>
              <w:rPr>
                <w:spacing w:val="-5"/>
                <w:sz w:val="18"/>
              </w:rPr>
              <w:t>5-</w:t>
            </w:r>
          </w:p>
          <w:p>
            <w:pPr>
              <w:pStyle w:val="TableParagraph"/>
              <w:spacing w:line="360" w:lineRule="auto" w:before="103"/>
              <w:ind w:left="106" w:right="74"/>
              <w:rPr>
                <w:sz w:val="18"/>
              </w:rPr>
            </w:pPr>
            <w:r>
              <w:rPr>
                <w:spacing w:val="-2"/>
                <w:sz w:val="18"/>
              </w:rPr>
              <w:t>Почти </w:t>
            </w:r>
            <w:r>
              <w:rPr>
                <w:sz w:val="18"/>
              </w:rPr>
              <w:t>всегда</w:t>
            </w:r>
            <w:r>
              <w:rPr>
                <w:spacing w:val="61"/>
                <w:sz w:val="18"/>
              </w:rPr>
              <w:t> </w:t>
            </w:r>
            <w:r>
              <w:rPr>
                <w:sz w:val="18"/>
              </w:rPr>
              <w:t>или </w:t>
            </w:r>
            <w:r>
              <w:rPr>
                <w:spacing w:val="-2"/>
                <w:sz w:val="18"/>
              </w:rPr>
              <w:t>всегда</w:t>
            </w:r>
          </w:p>
        </w:tc>
      </w:tr>
      <w:tr>
        <w:trPr>
          <w:trHeight w:val="1862" w:hRule="atLeast"/>
        </w:trPr>
        <w:tc>
          <w:tcPr>
            <w:tcW w:w="2660" w:type="dxa"/>
          </w:tcPr>
          <w:p>
            <w:pPr>
              <w:pStyle w:val="TableParagraph"/>
              <w:spacing w:line="202" w:lineRule="exact"/>
              <w:ind w:left="815"/>
              <w:jc w:val="both"/>
              <w:rPr>
                <w:sz w:val="18"/>
              </w:rPr>
            </w:pPr>
            <w:r>
              <w:rPr>
                <w:sz w:val="18"/>
              </w:rPr>
              <w:t>3.</w:t>
            </w:r>
            <w:r>
              <w:rPr>
                <w:spacing w:val="44"/>
                <w:sz w:val="18"/>
              </w:rPr>
              <w:t>  </w:t>
            </w:r>
            <w:r>
              <w:rPr>
                <w:sz w:val="18"/>
              </w:rPr>
              <w:t>За</w:t>
            </w:r>
            <w:r>
              <w:rPr>
                <w:spacing w:val="43"/>
                <w:sz w:val="18"/>
              </w:rPr>
              <w:t>  </w:t>
            </w:r>
            <w:r>
              <w:rPr>
                <w:sz w:val="18"/>
              </w:rPr>
              <w:t>последние</w:t>
            </w:r>
            <w:r>
              <w:rPr>
                <w:spacing w:val="44"/>
                <w:sz w:val="18"/>
              </w:rPr>
              <w:t>  </w:t>
            </w:r>
            <w:r>
              <w:rPr>
                <w:spacing w:val="-10"/>
                <w:sz w:val="18"/>
              </w:rPr>
              <w:t>4</w:t>
            </w:r>
          </w:p>
          <w:p>
            <w:pPr>
              <w:pStyle w:val="TableParagraph"/>
              <w:tabs>
                <w:tab w:pos="1127" w:val="left" w:leader="none"/>
                <w:tab w:pos="1899" w:val="left" w:leader="none"/>
              </w:tabs>
              <w:spacing w:line="360" w:lineRule="auto" w:before="105"/>
              <w:ind w:left="107" w:right="97"/>
              <w:jc w:val="both"/>
              <w:rPr>
                <w:sz w:val="18"/>
              </w:rPr>
            </w:pPr>
            <w:r>
              <w:rPr>
                <w:spacing w:val="-2"/>
                <w:sz w:val="18"/>
              </w:rPr>
              <w:t>недели</w:t>
            </w:r>
            <w:r>
              <w:rPr>
                <w:sz w:val="18"/>
              </w:rPr>
              <w:tab/>
            </w:r>
            <w:r>
              <w:rPr>
                <w:spacing w:val="-4"/>
                <w:sz w:val="18"/>
              </w:rPr>
              <w:t>при</w:t>
            </w:r>
            <w:r>
              <w:rPr>
                <w:sz w:val="18"/>
              </w:rPr>
              <w:tab/>
            </w:r>
            <w:r>
              <w:rPr>
                <w:spacing w:val="-2"/>
                <w:sz w:val="18"/>
              </w:rPr>
              <w:t>попытке </w:t>
            </w:r>
            <w:r>
              <w:rPr>
                <w:sz w:val="18"/>
              </w:rPr>
              <w:t>совершения полового акта</w:t>
            </w:r>
            <w:r>
              <w:rPr>
                <w:sz w:val="18"/>
                <w:vertAlign w:val="superscript"/>
              </w:rPr>
              <w:t>3</w:t>
            </w:r>
            <w:r>
              <w:rPr>
                <w:sz w:val="18"/>
                <w:vertAlign w:val="baseline"/>
              </w:rPr>
              <w:t> как часто Вам удавалось ввести половой член во влагалище?</w:t>
            </w:r>
          </w:p>
        </w:tc>
        <w:tc>
          <w:tcPr>
            <w:tcW w:w="1419" w:type="dxa"/>
          </w:tcPr>
          <w:p>
            <w:pPr>
              <w:pStyle w:val="TableParagraph"/>
              <w:spacing w:line="202" w:lineRule="exact"/>
              <w:ind w:left="815"/>
              <w:rPr>
                <w:sz w:val="18"/>
              </w:rPr>
            </w:pPr>
            <w:r>
              <w:rPr>
                <w:sz w:val="18"/>
              </w:rPr>
              <w:t>0-</w:t>
            </w:r>
            <w:r>
              <w:rPr>
                <w:spacing w:val="-5"/>
                <w:sz w:val="18"/>
              </w:rPr>
              <w:t>Не</w:t>
            </w:r>
          </w:p>
          <w:p>
            <w:pPr>
              <w:pStyle w:val="TableParagraph"/>
              <w:spacing w:line="360" w:lineRule="auto" w:before="105"/>
              <w:ind w:left="107" w:right="365"/>
              <w:rPr>
                <w:sz w:val="18"/>
              </w:rPr>
            </w:pPr>
            <w:r>
              <w:rPr>
                <w:spacing w:val="-2"/>
                <w:sz w:val="18"/>
              </w:rPr>
              <w:t>пытался совершить </w:t>
            </w:r>
            <w:r>
              <w:rPr>
                <w:sz w:val="18"/>
              </w:rPr>
              <w:t>половой</w:t>
            </w:r>
            <w:r>
              <w:rPr>
                <w:spacing w:val="-12"/>
                <w:sz w:val="18"/>
              </w:rPr>
              <w:t> </w:t>
            </w:r>
            <w:r>
              <w:rPr>
                <w:sz w:val="18"/>
              </w:rPr>
              <w:t>акт</w:t>
            </w:r>
          </w:p>
        </w:tc>
        <w:tc>
          <w:tcPr>
            <w:tcW w:w="992" w:type="dxa"/>
          </w:tcPr>
          <w:p>
            <w:pPr>
              <w:pStyle w:val="TableParagraph"/>
              <w:spacing w:line="202" w:lineRule="exact"/>
              <w:ind w:left="812"/>
              <w:rPr>
                <w:sz w:val="18"/>
              </w:rPr>
            </w:pPr>
            <w:r>
              <w:rPr>
                <w:spacing w:val="-10"/>
                <w:sz w:val="18"/>
              </w:rPr>
              <w:t>1</w:t>
            </w:r>
          </w:p>
          <w:p>
            <w:pPr>
              <w:pStyle w:val="TableParagraph"/>
              <w:spacing w:line="360" w:lineRule="auto" w:before="105"/>
              <w:ind w:left="104" w:right="256"/>
              <w:rPr>
                <w:sz w:val="18"/>
              </w:rPr>
            </w:pPr>
            <w:r>
              <w:rPr>
                <w:spacing w:val="-2"/>
                <w:sz w:val="18"/>
              </w:rPr>
              <w:t>-Почти никогда </w:t>
            </w:r>
            <w:r>
              <w:rPr>
                <w:spacing w:val="-4"/>
                <w:sz w:val="18"/>
              </w:rPr>
              <w:t>или </w:t>
            </w:r>
            <w:r>
              <w:rPr>
                <w:spacing w:val="-2"/>
                <w:sz w:val="18"/>
              </w:rPr>
              <w:t>никогда</w:t>
            </w:r>
          </w:p>
        </w:tc>
        <w:tc>
          <w:tcPr>
            <w:tcW w:w="1277" w:type="dxa"/>
          </w:tcPr>
          <w:p>
            <w:pPr>
              <w:pStyle w:val="TableParagraph"/>
              <w:spacing w:line="202" w:lineRule="exact"/>
              <w:ind w:left="814"/>
              <w:rPr>
                <w:sz w:val="18"/>
              </w:rPr>
            </w:pPr>
            <w:r>
              <w:rPr>
                <w:spacing w:val="-5"/>
                <w:sz w:val="18"/>
              </w:rPr>
              <w:t>2-</w:t>
            </w:r>
          </w:p>
          <w:p>
            <w:pPr>
              <w:pStyle w:val="TableParagraph"/>
              <w:spacing w:line="360" w:lineRule="auto" w:before="105"/>
              <w:ind w:left="106" w:right="504"/>
              <w:rPr>
                <w:sz w:val="18"/>
              </w:rPr>
            </w:pPr>
            <w:r>
              <w:rPr>
                <w:spacing w:val="-2"/>
                <w:sz w:val="18"/>
              </w:rPr>
              <w:t>Изредка (меньше</w:t>
            </w:r>
          </w:p>
          <w:p>
            <w:pPr>
              <w:pStyle w:val="TableParagraph"/>
              <w:spacing w:line="362" w:lineRule="auto"/>
              <w:ind w:left="106" w:right="392"/>
              <w:rPr>
                <w:sz w:val="18"/>
              </w:rPr>
            </w:pPr>
            <w:r>
              <w:rPr>
                <w:spacing w:val="-2"/>
                <w:sz w:val="18"/>
              </w:rPr>
              <w:t>половины случаев)</w:t>
            </w:r>
          </w:p>
        </w:tc>
        <w:tc>
          <w:tcPr>
            <w:tcW w:w="1275" w:type="dxa"/>
          </w:tcPr>
          <w:p>
            <w:pPr>
              <w:pStyle w:val="TableParagraph"/>
              <w:spacing w:line="202" w:lineRule="exact"/>
              <w:ind w:left="814"/>
              <w:rPr>
                <w:sz w:val="18"/>
              </w:rPr>
            </w:pPr>
            <w:r>
              <w:rPr>
                <w:spacing w:val="-5"/>
                <w:sz w:val="18"/>
              </w:rPr>
              <w:t>3-</w:t>
            </w:r>
          </w:p>
          <w:p>
            <w:pPr>
              <w:pStyle w:val="TableParagraph"/>
              <w:spacing w:before="105"/>
              <w:ind w:left="106"/>
              <w:rPr>
                <w:sz w:val="18"/>
              </w:rPr>
            </w:pPr>
            <w:r>
              <w:rPr>
                <w:spacing w:val="-2"/>
                <w:sz w:val="18"/>
              </w:rPr>
              <w:t>Иногда</w:t>
            </w:r>
          </w:p>
          <w:p>
            <w:pPr>
              <w:pStyle w:val="TableParagraph"/>
              <w:spacing w:line="360" w:lineRule="auto" w:before="102"/>
              <w:ind w:left="106"/>
              <w:rPr>
                <w:sz w:val="18"/>
              </w:rPr>
            </w:pPr>
            <w:r>
              <w:rPr>
                <w:sz w:val="18"/>
              </w:rPr>
              <w:t>(примерно</w:t>
            </w:r>
            <w:r>
              <w:rPr>
                <w:spacing w:val="80"/>
                <w:sz w:val="18"/>
              </w:rPr>
              <w:t> </w:t>
            </w:r>
            <w:r>
              <w:rPr>
                <w:sz w:val="18"/>
              </w:rPr>
              <w:t>в </w:t>
            </w:r>
            <w:r>
              <w:rPr>
                <w:spacing w:val="-2"/>
                <w:sz w:val="18"/>
              </w:rPr>
              <w:t>половине случаев)</w:t>
            </w:r>
          </w:p>
        </w:tc>
        <w:tc>
          <w:tcPr>
            <w:tcW w:w="1277" w:type="dxa"/>
          </w:tcPr>
          <w:p>
            <w:pPr>
              <w:pStyle w:val="TableParagraph"/>
              <w:spacing w:line="202" w:lineRule="exact"/>
              <w:ind w:left="814"/>
              <w:rPr>
                <w:sz w:val="18"/>
              </w:rPr>
            </w:pPr>
            <w:r>
              <w:rPr>
                <w:spacing w:val="-5"/>
                <w:sz w:val="18"/>
              </w:rPr>
              <w:t>4-</w:t>
            </w:r>
          </w:p>
          <w:p>
            <w:pPr>
              <w:pStyle w:val="TableParagraph"/>
              <w:spacing w:line="360" w:lineRule="auto" w:before="105"/>
              <w:ind w:left="106" w:right="97"/>
              <w:rPr>
                <w:sz w:val="18"/>
              </w:rPr>
            </w:pPr>
            <w:r>
              <w:rPr>
                <w:spacing w:val="-2"/>
                <w:sz w:val="18"/>
              </w:rPr>
              <w:t>Часто (гораздо </w:t>
            </w:r>
            <w:r>
              <w:rPr>
                <w:sz w:val="18"/>
              </w:rPr>
              <w:t>чаще,</w:t>
            </w:r>
            <w:r>
              <w:rPr>
                <w:spacing w:val="40"/>
                <w:sz w:val="18"/>
              </w:rPr>
              <w:t> </w:t>
            </w:r>
            <w:r>
              <w:rPr>
                <w:sz w:val="18"/>
              </w:rPr>
              <w:t>чем</w:t>
            </w:r>
            <w:r>
              <w:rPr>
                <w:spacing w:val="40"/>
                <w:sz w:val="18"/>
              </w:rPr>
              <w:t> </w:t>
            </w:r>
            <w:r>
              <w:rPr>
                <w:sz w:val="18"/>
              </w:rPr>
              <w:t>в </w:t>
            </w:r>
            <w:r>
              <w:rPr>
                <w:spacing w:val="-2"/>
                <w:sz w:val="18"/>
              </w:rPr>
              <w:t>половине</w:t>
            </w:r>
          </w:p>
          <w:p>
            <w:pPr>
              <w:pStyle w:val="TableParagraph"/>
              <w:spacing w:line="206" w:lineRule="exact"/>
              <w:ind w:left="106"/>
              <w:rPr>
                <w:sz w:val="18"/>
              </w:rPr>
            </w:pPr>
            <w:r>
              <w:rPr>
                <w:spacing w:val="-2"/>
                <w:sz w:val="18"/>
              </w:rPr>
              <w:t>случаев)</w:t>
            </w:r>
          </w:p>
        </w:tc>
        <w:tc>
          <w:tcPr>
            <w:tcW w:w="1136" w:type="dxa"/>
          </w:tcPr>
          <w:p>
            <w:pPr>
              <w:pStyle w:val="TableParagraph"/>
              <w:spacing w:line="202" w:lineRule="exact"/>
              <w:ind w:left="814"/>
              <w:rPr>
                <w:sz w:val="18"/>
              </w:rPr>
            </w:pPr>
            <w:r>
              <w:rPr>
                <w:spacing w:val="-5"/>
                <w:sz w:val="18"/>
              </w:rPr>
              <w:t>5-</w:t>
            </w:r>
          </w:p>
          <w:p>
            <w:pPr>
              <w:pStyle w:val="TableParagraph"/>
              <w:spacing w:line="360" w:lineRule="auto" w:before="105"/>
              <w:ind w:left="106" w:right="74"/>
              <w:rPr>
                <w:sz w:val="18"/>
              </w:rPr>
            </w:pPr>
            <w:r>
              <w:rPr>
                <w:spacing w:val="-2"/>
                <w:sz w:val="18"/>
              </w:rPr>
              <w:t>Почти </w:t>
            </w:r>
            <w:r>
              <w:rPr>
                <w:sz w:val="18"/>
              </w:rPr>
              <w:t>всегда</w:t>
            </w:r>
            <w:r>
              <w:rPr>
                <w:spacing w:val="61"/>
                <w:sz w:val="18"/>
              </w:rPr>
              <w:t> </w:t>
            </w:r>
            <w:r>
              <w:rPr>
                <w:sz w:val="18"/>
              </w:rPr>
              <w:t>или </w:t>
            </w:r>
            <w:r>
              <w:rPr>
                <w:spacing w:val="-2"/>
                <w:sz w:val="18"/>
              </w:rPr>
              <w:t>всегда</w:t>
            </w:r>
          </w:p>
        </w:tc>
      </w:tr>
      <w:tr>
        <w:trPr>
          <w:trHeight w:val="311" w:hRule="atLeast"/>
        </w:trPr>
        <w:tc>
          <w:tcPr>
            <w:tcW w:w="2660" w:type="dxa"/>
          </w:tcPr>
          <w:p>
            <w:pPr>
              <w:pStyle w:val="TableParagraph"/>
              <w:spacing w:line="204" w:lineRule="exact"/>
              <w:ind w:left="815"/>
              <w:rPr>
                <w:sz w:val="18"/>
              </w:rPr>
            </w:pPr>
            <w:r>
              <w:rPr>
                <w:sz w:val="18"/>
              </w:rPr>
              <w:t>4.</w:t>
            </w:r>
            <w:r>
              <w:rPr>
                <w:spacing w:val="44"/>
                <w:sz w:val="18"/>
              </w:rPr>
              <w:t>  </w:t>
            </w:r>
            <w:r>
              <w:rPr>
                <w:sz w:val="18"/>
              </w:rPr>
              <w:t>За</w:t>
            </w:r>
            <w:r>
              <w:rPr>
                <w:spacing w:val="43"/>
                <w:sz w:val="18"/>
              </w:rPr>
              <w:t>  </w:t>
            </w:r>
            <w:r>
              <w:rPr>
                <w:sz w:val="18"/>
              </w:rPr>
              <w:t>последние</w:t>
            </w:r>
            <w:r>
              <w:rPr>
                <w:spacing w:val="44"/>
                <w:sz w:val="18"/>
              </w:rPr>
              <w:t>  </w:t>
            </w:r>
            <w:r>
              <w:rPr>
                <w:spacing w:val="-10"/>
                <w:sz w:val="18"/>
              </w:rPr>
              <w:t>4</w:t>
            </w:r>
          </w:p>
        </w:tc>
        <w:tc>
          <w:tcPr>
            <w:tcW w:w="1419" w:type="dxa"/>
          </w:tcPr>
          <w:p>
            <w:pPr>
              <w:pStyle w:val="TableParagraph"/>
              <w:spacing w:line="204" w:lineRule="exact"/>
              <w:ind w:left="815"/>
              <w:rPr>
                <w:sz w:val="18"/>
              </w:rPr>
            </w:pPr>
            <w:r>
              <w:rPr>
                <w:sz w:val="18"/>
              </w:rPr>
              <w:t>0-</w:t>
            </w:r>
            <w:r>
              <w:rPr>
                <w:spacing w:val="-5"/>
                <w:sz w:val="18"/>
              </w:rPr>
              <w:t>Не</w:t>
            </w:r>
          </w:p>
        </w:tc>
        <w:tc>
          <w:tcPr>
            <w:tcW w:w="992" w:type="dxa"/>
          </w:tcPr>
          <w:p>
            <w:pPr>
              <w:pStyle w:val="TableParagraph"/>
              <w:spacing w:line="204" w:lineRule="exact"/>
              <w:ind w:right="77"/>
              <w:jc w:val="right"/>
              <w:rPr>
                <w:sz w:val="18"/>
              </w:rPr>
            </w:pPr>
            <w:r>
              <w:rPr>
                <w:spacing w:val="-10"/>
                <w:sz w:val="18"/>
              </w:rPr>
              <w:t>1</w:t>
            </w:r>
          </w:p>
        </w:tc>
        <w:tc>
          <w:tcPr>
            <w:tcW w:w="1277" w:type="dxa"/>
          </w:tcPr>
          <w:p>
            <w:pPr>
              <w:pStyle w:val="TableParagraph"/>
              <w:spacing w:line="204" w:lineRule="exact"/>
              <w:ind w:left="814"/>
              <w:rPr>
                <w:sz w:val="18"/>
              </w:rPr>
            </w:pPr>
            <w:r>
              <w:rPr>
                <w:spacing w:val="-5"/>
                <w:sz w:val="18"/>
              </w:rPr>
              <w:t>2-</w:t>
            </w:r>
          </w:p>
        </w:tc>
        <w:tc>
          <w:tcPr>
            <w:tcW w:w="1275" w:type="dxa"/>
          </w:tcPr>
          <w:p>
            <w:pPr>
              <w:pStyle w:val="TableParagraph"/>
              <w:spacing w:line="204" w:lineRule="exact"/>
              <w:ind w:left="814"/>
              <w:rPr>
                <w:sz w:val="18"/>
              </w:rPr>
            </w:pPr>
            <w:r>
              <w:rPr>
                <w:spacing w:val="-5"/>
                <w:sz w:val="18"/>
              </w:rPr>
              <w:t>3-</w:t>
            </w:r>
          </w:p>
        </w:tc>
        <w:tc>
          <w:tcPr>
            <w:tcW w:w="1277" w:type="dxa"/>
          </w:tcPr>
          <w:p>
            <w:pPr>
              <w:pStyle w:val="TableParagraph"/>
              <w:spacing w:line="204" w:lineRule="exact"/>
              <w:ind w:left="814"/>
              <w:rPr>
                <w:sz w:val="18"/>
              </w:rPr>
            </w:pPr>
            <w:r>
              <w:rPr>
                <w:spacing w:val="-5"/>
                <w:sz w:val="18"/>
              </w:rPr>
              <w:t>4-</w:t>
            </w:r>
          </w:p>
        </w:tc>
        <w:tc>
          <w:tcPr>
            <w:tcW w:w="1136" w:type="dxa"/>
          </w:tcPr>
          <w:p>
            <w:pPr>
              <w:pStyle w:val="TableParagraph"/>
              <w:spacing w:line="204" w:lineRule="exact"/>
              <w:ind w:right="158"/>
              <w:jc w:val="right"/>
              <w:rPr>
                <w:sz w:val="18"/>
              </w:rPr>
            </w:pPr>
            <w:r>
              <w:rPr>
                <w:spacing w:val="-5"/>
                <w:sz w:val="18"/>
              </w:rPr>
              <w:t>5-</w:t>
            </w:r>
          </w:p>
        </w:tc>
      </w:tr>
    </w:tbl>
    <w:p>
      <w:pPr>
        <w:spacing w:after="0" w:line="204" w:lineRule="exact"/>
        <w:jc w:val="right"/>
        <w:rPr>
          <w:sz w:val="18"/>
        </w:rPr>
        <w:sectPr>
          <w:pgSz w:w="11910" w:h="16840"/>
          <w:pgMar w:header="0" w:footer="867" w:top="1660" w:bottom="1060" w:left="960" w:right="20"/>
        </w:sectPr>
      </w:pPr>
    </w:p>
    <w:tbl>
      <w:tblPr>
        <w:tblW w:w="0" w:type="auto"/>
        <w:jc w:val="left"/>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60"/>
        <w:gridCol w:w="1419"/>
        <w:gridCol w:w="992"/>
        <w:gridCol w:w="1277"/>
        <w:gridCol w:w="1275"/>
        <w:gridCol w:w="1277"/>
        <w:gridCol w:w="1136"/>
      </w:tblGrid>
      <w:tr>
        <w:trPr>
          <w:trHeight w:val="1552" w:hRule="atLeast"/>
        </w:trPr>
        <w:tc>
          <w:tcPr>
            <w:tcW w:w="2660" w:type="dxa"/>
          </w:tcPr>
          <w:p>
            <w:pPr>
              <w:pStyle w:val="TableParagraph"/>
              <w:spacing w:line="360" w:lineRule="auto"/>
              <w:ind w:left="107" w:right="98"/>
              <w:jc w:val="both"/>
              <w:rPr>
                <w:sz w:val="18"/>
              </w:rPr>
            </w:pPr>
            <w:r>
              <w:rPr>
                <w:sz w:val="18"/>
              </w:rPr>
              <w:t>недели при половом акте как часто Вам</w:t>
            </w:r>
            <w:r>
              <w:rPr>
                <w:spacing w:val="-1"/>
                <w:sz w:val="18"/>
              </w:rPr>
              <w:t> </w:t>
            </w:r>
            <w:r>
              <w:rPr>
                <w:sz w:val="18"/>
              </w:rPr>
              <w:t>удавалось</w:t>
            </w:r>
            <w:r>
              <w:rPr>
                <w:spacing w:val="-2"/>
                <w:sz w:val="18"/>
              </w:rPr>
              <w:t> </w:t>
            </w:r>
            <w:r>
              <w:rPr>
                <w:sz w:val="18"/>
              </w:rPr>
              <w:t>сохранять эрекцию после введения полового члена во влагалище?</w:t>
            </w:r>
          </w:p>
        </w:tc>
        <w:tc>
          <w:tcPr>
            <w:tcW w:w="1419" w:type="dxa"/>
          </w:tcPr>
          <w:p>
            <w:pPr>
              <w:pStyle w:val="TableParagraph"/>
              <w:spacing w:line="360" w:lineRule="auto"/>
              <w:ind w:left="107" w:right="365"/>
              <w:rPr>
                <w:sz w:val="18"/>
              </w:rPr>
            </w:pPr>
            <w:r>
              <w:rPr>
                <w:spacing w:val="-2"/>
                <w:sz w:val="18"/>
              </w:rPr>
              <w:t>пытался совершить </w:t>
            </w:r>
            <w:r>
              <w:rPr>
                <w:sz w:val="18"/>
              </w:rPr>
              <w:t>половой</w:t>
            </w:r>
            <w:r>
              <w:rPr>
                <w:spacing w:val="-12"/>
                <w:sz w:val="18"/>
              </w:rPr>
              <w:t> </w:t>
            </w:r>
            <w:r>
              <w:rPr>
                <w:sz w:val="18"/>
              </w:rPr>
              <w:t>акт</w:t>
            </w:r>
          </w:p>
        </w:tc>
        <w:tc>
          <w:tcPr>
            <w:tcW w:w="992" w:type="dxa"/>
          </w:tcPr>
          <w:p>
            <w:pPr>
              <w:pStyle w:val="TableParagraph"/>
              <w:spacing w:line="360" w:lineRule="auto"/>
              <w:ind w:left="104" w:right="256"/>
              <w:rPr>
                <w:sz w:val="18"/>
              </w:rPr>
            </w:pPr>
            <w:r>
              <w:rPr>
                <w:spacing w:val="-2"/>
                <w:sz w:val="18"/>
              </w:rPr>
              <w:t>-Почти никогда </w:t>
            </w:r>
            <w:r>
              <w:rPr>
                <w:spacing w:val="-4"/>
                <w:sz w:val="18"/>
              </w:rPr>
              <w:t>или </w:t>
            </w:r>
            <w:r>
              <w:rPr>
                <w:spacing w:val="-2"/>
                <w:sz w:val="18"/>
              </w:rPr>
              <w:t>никогда</w:t>
            </w:r>
          </w:p>
        </w:tc>
        <w:tc>
          <w:tcPr>
            <w:tcW w:w="1277" w:type="dxa"/>
          </w:tcPr>
          <w:p>
            <w:pPr>
              <w:pStyle w:val="TableParagraph"/>
              <w:spacing w:line="360" w:lineRule="auto"/>
              <w:ind w:left="106" w:right="504"/>
              <w:rPr>
                <w:sz w:val="18"/>
              </w:rPr>
            </w:pPr>
            <w:r>
              <w:rPr>
                <w:spacing w:val="-2"/>
                <w:sz w:val="18"/>
              </w:rPr>
              <w:t>Изредка (меньше</w:t>
            </w:r>
          </w:p>
          <w:p>
            <w:pPr>
              <w:pStyle w:val="TableParagraph"/>
              <w:spacing w:line="362" w:lineRule="auto"/>
              <w:ind w:left="106" w:right="392"/>
              <w:rPr>
                <w:sz w:val="18"/>
              </w:rPr>
            </w:pPr>
            <w:r>
              <w:rPr>
                <w:spacing w:val="-2"/>
                <w:sz w:val="18"/>
              </w:rPr>
              <w:t>половины случаев)</w:t>
            </w:r>
          </w:p>
        </w:tc>
        <w:tc>
          <w:tcPr>
            <w:tcW w:w="1275" w:type="dxa"/>
          </w:tcPr>
          <w:p>
            <w:pPr>
              <w:pStyle w:val="TableParagraph"/>
              <w:spacing w:line="202" w:lineRule="exact"/>
              <w:ind w:left="106"/>
              <w:rPr>
                <w:sz w:val="18"/>
              </w:rPr>
            </w:pPr>
            <w:r>
              <w:rPr>
                <w:spacing w:val="-2"/>
                <w:sz w:val="18"/>
              </w:rPr>
              <w:t>Иногда</w:t>
            </w:r>
          </w:p>
          <w:p>
            <w:pPr>
              <w:pStyle w:val="TableParagraph"/>
              <w:spacing w:line="360" w:lineRule="auto" w:before="102"/>
              <w:ind w:left="106"/>
              <w:rPr>
                <w:sz w:val="18"/>
              </w:rPr>
            </w:pPr>
            <w:r>
              <w:rPr>
                <w:sz w:val="18"/>
              </w:rPr>
              <w:t>(примерно</w:t>
            </w:r>
            <w:r>
              <w:rPr>
                <w:spacing w:val="80"/>
                <w:sz w:val="18"/>
              </w:rPr>
              <w:t> </w:t>
            </w:r>
            <w:r>
              <w:rPr>
                <w:sz w:val="18"/>
              </w:rPr>
              <w:t>в </w:t>
            </w:r>
            <w:r>
              <w:rPr>
                <w:spacing w:val="-2"/>
                <w:sz w:val="18"/>
              </w:rPr>
              <w:t>половине случаев)</w:t>
            </w:r>
          </w:p>
        </w:tc>
        <w:tc>
          <w:tcPr>
            <w:tcW w:w="1277" w:type="dxa"/>
          </w:tcPr>
          <w:p>
            <w:pPr>
              <w:pStyle w:val="TableParagraph"/>
              <w:spacing w:line="360" w:lineRule="auto"/>
              <w:ind w:left="106" w:right="97"/>
              <w:rPr>
                <w:sz w:val="18"/>
              </w:rPr>
            </w:pPr>
            <w:r>
              <w:rPr>
                <w:spacing w:val="-2"/>
                <w:sz w:val="18"/>
              </w:rPr>
              <w:t>Часто (гораздо </w:t>
            </w:r>
            <w:r>
              <w:rPr>
                <w:sz w:val="18"/>
              </w:rPr>
              <w:t>чаще,</w:t>
            </w:r>
            <w:r>
              <w:rPr>
                <w:spacing w:val="40"/>
                <w:sz w:val="18"/>
              </w:rPr>
              <w:t> </w:t>
            </w:r>
            <w:r>
              <w:rPr>
                <w:sz w:val="18"/>
              </w:rPr>
              <w:t>чем</w:t>
            </w:r>
            <w:r>
              <w:rPr>
                <w:spacing w:val="40"/>
                <w:sz w:val="18"/>
              </w:rPr>
              <w:t> </w:t>
            </w:r>
            <w:r>
              <w:rPr>
                <w:sz w:val="18"/>
              </w:rPr>
              <w:t>в </w:t>
            </w:r>
            <w:r>
              <w:rPr>
                <w:spacing w:val="-2"/>
                <w:sz w:val="18"/>
              </w:rPr>
              <w:t>половине</w:t>
            </w:r>
          </w:p>
          <w:p>
            <w:pPr>
              <w:pStyle w:val="TableParagraph"/>
              <w:spacing w:line="206" w:lineRule="exact"/>
              <w:ind w:left="106"/>
              <w:rPr>
                <w:sz w:val="18"/>
              </w:rPr>
            </w:pPr>
            <w:r>
              <w:rPr>
                <w:spacing w:val="-2"/>
                <w:sz w:val="18"/>
              </w:rPr>
              <w:t>случаев)</w:t>
            </w:r>
          </w:p>
        </w:tc>
        <w:tc>
          <w:tcPr>
            <w:tcW w:w="1136" w:type="dxa"/>
          </w:tcPr>
          <w:p>
            <w:pPr>
              <w:pStyle w:val="TableParagraph"/>
              <w:spacing w:line="360" w:lineRule="auto"/>
              <w:ind w:left="106" w:right="74"/>
              <w:rPr>
                <w:sz w:val="18"/>
              </w:rPr>
            </w:pPr>
            <w:r>
              <w:rPr>
                <w:spacing w:val="-2"/>
                <w:sz w:val="18"/>
              </w:rPr>
              <w:t>Почти </w:t>
            </w:r>
            <w:r>
              <w:rPr>
                <w:sz w:val="18"/>
              </w:rPr>
              <w:t>всегда</w:t>
            </w:r>
            <w:r>
              <w:rPr>
                <w:spacing w:val="61"/>
                <w:sz w:val="18"/>
              </w:rPr>
              <w:t> </w:t>
            </w:r>
            <w:r>
              <w:rPr>
                <w:sz w:val="18"/>
              </w:rPr>
              <w:t>или </w:t>
            </w:r>
            <w:r>
              <w:rPr>
                <w:spacing w:val="-2"/>
                <w:sz w:val="18"/>
              </w:rPr>
              <w:t>всегда</w:t>
            </w:r>
          </w:p>
        </w:tc>
      </w:tr>
      <w:tr>
        <w:trPr>
          <w:trHeight w:val="1552" w:hRule="atLeast"/>
        </w:trPr>
        <w:tc>
          <w:tcPr>
            <w:tcW w:w="2660" w:type="dxa"/>
          </w:tcPr>
          <w:p>
            <w:pPr>
              <w:pStyle w:val="TableParagraph"/>
              <w:spacing w:line="360" w:lineRule="auto"/>
              <w:ind w:left="107" w:right="98" w:firstLine="707"/>
              <w:jc w:val="both"/>
              <w:rPr>
                <w:sz w:val="18"/>
              </w:rPr>
            </w:pPr>
            <w:r>
              <w:rPr>
                <w:sz w:val="18"/>
              </w:rPr>
              <w:t>5. За последние 4 недели при половом акте было ли Вам трудно сохранить эрекцию</w:t>
            </w:r>
            <w:r>
              <w:rPr>
                <w:spacing w:val="70"/>
                <w:sz w:val="18"/>
              </w:rPr>
              <w:t>   </w:t>
            </w:r>
            <w:r>
              <w:rPr>
                <w:sz w:val="18"/>
              </w:rPr>
              <w:t>до</w:t>
            </w:r>
            <w:r>
              <w:rPr>
                <w:spacing w:val="71"/>
                <w:sz w:val="18"/>
              </w:rPr>
              <w:t>   </w:t>
            </w:r>
            <w:r>
              <w:rPr>
                <w:spacing w:val="-2"/>
                <w:sz w:val="18"/>
              </w:rPr>
              <w:t>завершения</w:t>
            </w:r>
          </w:p>
          <w:p>
            <w:pPr>
              <w:pStyle w:val="TableParagraph"/>
              <w:spacing w:line="206" w:lineRule="exact"/>
              <w:ind w:left="107"/>
              <w:jc w:val="both"/>
              <w:rPr>
                <w:sz w:val="18"/>
              </w:rPr>
            </w:pPr>
            <w:r>
              <w:rPr>
                <w:sz w:val="18"/>
              </w:rPr>
              <w:t>полового </w:t>
            </w:r>
            <w:r>
              <w:rPr>
                <w:spacing w:val="-2"/>
                <w:sz w:val="18"/>
              </w:rPr>
              <w:t>акта?</w:t>
            </w:r>
          </w:p>
        </w:tc>
        <w:tc>
          <w:tcPr>
            <w:tcW w:w="1419" w:type="dxa"/>
          </w:tcPr>
          <w:p>
            <w:pPr>
              <w:pStyle w:val="TableParagraph"/>
              <w:spacing w:line="202" w:lineRule="exact"/>
              <w:ind w:left="815"/>
              <w:rPr>
                <w:sz w:val="18"/>
              </w:rPr>
            </w:pPr>
            <w:r>
              <w:rPr>
                <w:sz w:val="18"/>
              </w:rPr>
              <w:t>0-</w:t>
            </w:r>
            <w:r>
              <w:rPr>
                <w:spacing w:val="-5"/>
                <w:sz w:val="18"/>
              </w:rPr>
              <w:t>Не</w:t>
            </w:r>
          </w:p>
          <w:p>
            <w:pPr>
              <w:pStyle w:val="TableParagraph"/>
              <w:spacing w:line="360" w:lineRule="auto" w:before="102"/>
              <w:ind w:left="107" w:right="365"/>
              <w:rPr>
                <w:sz w:val="18"/>
              </w:rPr>
            </w:pPr>
            <w:r>
              <w:rPr>
                <w:spacing w:val="-2"/>
                <w:sz w:val="18"/>
              </w:rPr>
              <w:t>пытался совершить </w:t>
            </w:r>
            <w:r>
              <w:rPr>
                <w:sz w:val="18"/>
              </w:rPr>
              <w:t>половой</w:t>
            </w:r>
            <w:r>
              <w:rPr>
                <w:spacing w:val="-12"/>
                <w:sz w:val="18"/>
              </w:rPr>
              <w:t> </w:t>
            </w:r>
            <w:r>
              <w:rPr>
                <w:sz w:val="18"/>
              </w:rPr>
              <w:t>акт</w:t>
            </w:r>
          </w:p>
        </w:tc>
        <w:tc>
          <w:tcPr>
            <w:tcW w:w="992" w:type="dxa"/>
          </w:tcPr>
          <w:p>
            <w:pPr>
              <w:pStyle w:val="TableParagraph"/>
              <w:spacing w:line="202" w:lineRule="exact"/>
              <w:ind w:left="812"/>
              <w:rPr>
                <w:sz w:val="18"/>
              </w:rPr>
            </w:pPr>
            <w:r>
              <w:rPr>
                <w:spacing w:val="-10"/>
                <w:sz w:val="18"/>
              </w:rPr>
              <w:t>1</w:t>
            </w:r>
          </w:p>
          <w:p>
            <w:pPr>
              <w:pStyle w:val="TableParagraph"/>
              <w:spacing w:before="102"/>
              <w:ind w:left="104"/>
              <w:rPr>
                <w:sz w:val="18"/>
              </w:rPr>
            </w:pPr>
            <w:r>
              <w:rPr>
                <w:spacing w:val="-10"/>
                <w:sz w:val="18"/>
              </w:rPr>
              <w:t>-</w:t>
            </w:r>
          </w:p>
          <w:p>
            <w:pPr>
              <w:pStyle w:val="TableParagraph"/>
              <w:spacing w:before="103"/>
              <w:ind w:left="104"/>
              <w:rPr>
                <w:sz w:val="18"/>
              </w:rPr>
            </w:pPr>
            <w:r>
              <w:rPr>
                <w:spacing w:val="-2"/>
                <w:sz w:val="18"/>
              </w:rPr>
              <w:t>Исключи</w:t>
            </w:r>
          </w:p>
          <w:p>
            <w:pPr>
              <w:pStyle w:val="TableParagraph"/>
              <w:spacing w:line="310" w:lineRule="atLeast" w:before="2"/>
              <w:ind w:left="104" w:right="333"/>
              <w:rPr>
                <w:sz w:val="18"/>
              </w:rPr>
            </w:pPr>
            <w:r>
              <w:rPr>
                <w:spacing w:val="-2"/>
                <w:sz w:val="18"/>
              </w:rPr>
              <w:t>тельно трудно</w:t>
            </w:r>
          </w:p>
        </w:tc>
        <w:tc>
          <w:tcPr>
            <w:tcW w:w="1277" w:type="dxa"/>
          </w:tcPr>
          <w:p>
            <w:pPr>
              <w:pStyle w:val="TableParagraph"/>
              <w:spacing w:line="202" w:lineRule="exact"/>
              <w:ind w:left="814"/>
              <w:rPr>
                <w:sz w:val="18"/>
              </w:rPr>
            </w:pPr>
            <w:r>
              <w:rPr>
                <w:spacing w:val="-5"/>
                <w:sz w:val="18"/>
              </w:rPr>
              <w:t>2-</w:t>
            </w:r>
          </w:p>
          <w:p>
            <w:pPr>
              <w:pStyle w:val="TableParagraph"/>
              <w:spacing w:line="360" w:lineRule="auto" w:before="102"/>
              <w:ind w:left="106" w:right="616"/>
              <w:rPr>
                <w:sz w:val="18"/>
              </w:rPr>
            </w:pPr>
            <w:r>
              <w:rPr>
                <w:spacing w:val="-2"/>
                <w:sz w:val="18"/>
              </w:rPr>
              <w:t>Очень трудно</w:t>
            </w:r>
          </w:p>
        </w:tc>
        <w:tc>
          <w:tcPr>
            <w:tcW w:w="1275" w:type="dxa"/>
          </w:tcPr>
          <w:p>
            <w:pPr>
              <w:pStyle w:val="TableParagraph"/>
              <w:spacing w:line="202" w:lineRule="exact"/>
              <w:ind w:left="814"/>
              <w:rPr>
                <w:sz w:val="18"/>
              </w:rPr>
            </w:pPr>
            <w:r>
              <w:rPr>
                <w:spacing w:val="-5"/>
                <w:sz w:val="18"/>
              </w:rPr>
              <w:t>3-</w:t>
            </w:r>
          </w:p>
          <w:p>
            <w:pPr>
              <w:pStyle w:val="TableParagraph"/>
              <w:spacing w:before="102"/>
              <w:ind w:left="106"/>
              <w:rPr>
                <w:sz w:val="18"/>
              </w:rPr>
            </w:pPr>
            <w:r>
              <w:rPr>
                <w:spacing w:val="-2"/>
                <w:sz w:val="18"/>
              </w:rPr>
              <w:t>Трудно</w:t>
            </w:r>
          </w:p>
        </w:tc>
        <w:tc>
          <w:tcPr>
            <w:tcW w:w="1277" w:type="dxa"/>
          </w:tcPr>
          <w:p>
            <w:pPr>
              <w:pStyle w:val="TableParagraph"/>
              <w:spacing w:line="202" w:lineRule="exact"/>
              <w:ind w:left="814"/>
              <w:rPr>
                <w:sz w:val="18"/>
              </w:rPr>
            </w:pPr>
            <w:r>
              <w:rPr>
                <w:spacing w:val="-5"/>
                <w:sz w:val="18"/>
              </w:rPr>
              <w:t>4-</w:t>
            </w:r>
          </w:p>
          <w:p>
            <w:pPr>
              <w:pStyle w:val="TableParagraph"/>
              <w:tabs>
                <w:tab w:pos="727" w:val="left" w:leader="none"/>
              </w:tabs>
              <w:spacing w:line="360" w:lineRule="auto" w:before="102"/>
              <w:ind w:left="106" w:right="97"/>
              <w:rPr>
                <w:sz w:val="18"/>
              </w:rPr>
            </w:pPr>
            <w:r>
              <w:rPr>
                <w:spacing w:val="-6"/>
                <w:sz w:val="18"/>
              </w:rPr>
              <w:t>Не</w:t>
            </w:r>
            <w:r>
              <w:rPr>
                <w:sz w:val="18"/>
              </w:rPr>
              <w:tab/>
            </w:r>
            <w:r>
              <w:rPr>
                <w:spacing w:val="-2"/>
                <w:sz w:val="18"/>
              </w:rPr>
              <w:t>очень трудно</w:t>
            </w:r>
          </w:p>
        </w:tc>
        <w:tc>
          <w:tcPr>
            <w:tcW w:w="1136" w:type="dxa"/>
          </w:tcPr>
          <w:p>
            <w:pPr>
              <w:pStyle w:val="TableParagraph"/>
              <w:spacing w:line="202" w:lineRule="exact"/>
              <w:ind w:left="814"/>
              <w:rPr>
                <w:sz w:val="18"/>
              </w:rPr>
            </w:pPr>
            <w:r>
              <w:rPr>
                <w:spacing w:val="-5"/>
                <w:sz w:val="18"/>
              </w:rPr>
              <w:t>5-</w:t>
            </w:r>
          </w:p>
          <w:p>
            <w:pPr>
              <w:pStyle w:val="TableParagraph"/>
              <w:spacing w:line="360" w:lineRule="auto" w:before="102"/>
              <w:ind w:left="106"/>
              <w:rPr>
                <w:sz w:val="18"/>
              </w:rPr>
            </w:pPr>
            <w:r>
              <w:rPr>
                <w:sz w:val="18"/>
              </w:rPr>
              <w:t>Совсем</w:t>
            </w:r>
            <w:r>
              <w:rPr>
                <w:spacing w:val="80"/>
                <w:sz w:val="18"/>
              </w:rPr>
              <w:t> </w:t>
            </w:r>
            <w:r>
              <w:rPr>
                <w:sz w:val="18"/>
              </w:rPr>
              <w:t>не </w:t>
            </w:r>
            <w:r>
              <w:rPr>
                <w:spacing w:val="-2"/>
                <w:sz w:val="18"/>
              </w:rPr>
              <w:t>трудно</w:t>
            </w:r>
          </w:p>
        </w:tc>
      </w:tr>
      <w:tr>
        <w:trPr>
          <w:trHeight w:val="1965" w:hRule="atLeast"/>
        </w:trPr>
        <w:tc>
          <w:tcPr>
            <w:tcW w:w="2660" w:type="dxa"/>
          </w:tcPr>
          <w:p>
            <w:pPr>
              <w:pStyle w:val="TableParagraph"/>
              <w:tabs>
                <w:tab w:pos="1729" w:val="left" w:leader="none"/>
              </w:tabs>
              <w:spacing w:line="360" w:lineRule="auto"/>
              <w:ind w:left="107" w:right="97" w:firstLine="707"/>
              <w:jc w:val="both"/>
              <w:rPr>
                <w:sz w:val="18"/>
              </w:rPr>
            </w:pPr>
            <w:r>
              <w:rPr>
                <w:sz w:val="18"/>
              </w:rPr>
              <w:t>6. За последние 4 недели сколько Вы сделали попыток (успешных и </w:t>
            </w:r>
            <w:r>
              <w:rPr>
                <w:spacing w:val="-2"/>
                <w:sz w:val="18"/>
              </w:rPr>
              <w:t>безуспешных)</w:t>
            </w:r>
            <w:r>
              <w:rPr>
                <w:sz w:val="18"/>
              </w:rPr>
              <w:tab/>
            </w:r>
            <w:r>
              <w:rPr>
                <w:spacing w:val="-2"/>
                <w:sz w:val="18"/>
              </w:rPr>
              <w:t>совершит</w:t>
            </w:r>
            <w:r>
              <w:rPr>
                <w:spacing w:val="-2"/>
                <w:sz w:val="18"/>
              </w:rPr>
              <w:t>ь</w:t>
            </w:r>
            <w:r>
              <w:rPr>
                <w:spacing w:val="-2"/>
                <w:sz w:val="18"/>
              </w:rPr>
              <w:t> </w:t>
            </w:r>
            <w:r>
              <w:rPr>
                <w:sz w:val="18"/>
              </w:rPr>
              <w:t>половой акт?</w:t>
            </w:r>
          </w:p>
        </w:tc>
        <w:tc>
          <w:tcPr>
            <w:tcW w:w="1419" w:type="dxa"/>
          </w:tcPr>
          <w:p>
            <w:pPr>
              <w:pStyle w:val="TableParagraph"/>
              <w:spacing w:line="202" w:lineRule="exact"/>
              <w:ind w:left="815"/>
              <w:rPr>
                <w:sz w:val="18"/>
              </w:rPr>
            </w:pPr>
            <w:r>
              <w:rPr>
                <w:sz w:val="18"/>
              </w:rPr>
              <w:t>0-</w:t>
            </w:r>
            <w:r>
              <w:rPr>
                <w:spacing w:val="-5"/>
                <w:sz w:val="18"/>
              </w:rPr>
              <w:t>Не</w:t>
            </w:r>
          </w:p>
          <w:p>
            <w:pPr>
              <w:pStyle w:val="TableParagraph"/>
              <w:spacing w:line="360" w:lineRule="auto" w:before="102"/>
              <w:ind w:left="107" w:right="365"/>
              <w:rPr>
                <w:sz w:val="18"/>
              </w:rPr>
            </w:pPr>
            <w:r>
              <w:rPr>
                <w:spacing w:val="-2"/>
                <w:sz w:val="18"/>
              </w:rPr>
              <w:t>пытался совершить </w:t>
            </w:r>
            <w:r>
              <w:rPr>
                <w:sz w:val="18"/>
              </w:rPr>
              <w:t>половой</w:t>
            </w:r>
            <w:r>
              <w:rPr>
                <w:spacing w:val="-12"/>
                <w:sz w:val="18"/>
              </w:rPr>
              <w:t> </w:t>
            </w:r>
            <w:r>
              <w:rPr>
                <w:sz w:val="18"/>
              </w:rPr>
              <w:t>акт</w:t>
            </w:r>
          </w:p>
        </w:tc>
        <w:tc>
          <w:tcPr>
            <w:tcW w:w="992" w:type="dxa"/>
          </w:tcPr>
          <w:p>
            <w:pPr>
              <w:pStyle w:val="TableParagraph"/>
              <w:spacing w:line="202" w:lineRule="exact"/>
              <w:ind w:left="812"/>
              <w:rPr>
                <w:sz w:val="18"/>
              </w:rPr>
            </w:pPr>
            <w:r>
              <w:rPr>
                <w:spacing w:val="-10"/>
                <w:sz w:val="18"/>
              </w:rPr>
              <w:t>1</w:t>
            </w:r>
          </w:p>
          <w:p>
            <w:pPr>
              <w:pStyle w:val="TableParagraph"/>
              <w:tabs>
                <w:tab w:pos="641" w:val="left" w:leader="none"/>
              </w:tabs>
              <w:spacing w:before="102"/>
              <w:ind w:left="104"/>
              <w:rPr>
                <w:sz w:val="18"/>
              </w:rPr>
            </w:pPr>
            <w:r>
              <w:rPr>
                <w:spacing w:val="-10"/>
                <w:sz w:val="18"/>
              </w:rPr>
              <w:t>:</w:t>
            </w:r>
            <w:r>
              <w:rPr>
                <w:sz w:val="18"/>
              </w:rPr>
              <w:tab/>
            </w:r>
            <w:r>
              <w:rPr>
                <w:spacing w:val="-2"/>
                <w:sz w:val="18"/>
              </w:rPr>
              <w:t>1-</w:t>
            </w:r>
            <w:r>
              <w:rPr>
                <w:spacing w:val="-10"/>
                <w:sz w:val="18"/>
              </w:rPr>
              <w:t>2</w:t>
            </w:r>
          </w:p>
          <w:p>
            <w:pPr>
              <w:pStyle w:val="TableParagraph"/>
              <w:spacing w:before="103"/>
              <w:ind w:left="104"/>
              <w:rPr>
                <w:sz w:val="18"/>
              </w:rPr>
            </w:pPr>
            <w:r>
              <w:rPr>
                <w:spacing w:val="-2"/>
                <w:sz w:val="18"/>
              </w:rPr>
              <w:t>попытки</w:t>
            </w:r>
          </w:p>
        </w:tc>
        <w:tc>
          <w:tcPr>
            <w:tcW w:w="1277" w:type="dxa"/>
          </w:tcPr>
          <w:p>
            <w:pPr>
              <w:pStyle w:val="TableParagraph"/>
              <w:spacing w:line="202" w:lineRule="exact"/>
              <w:ind w:left="814"/>
              <w:rPr>
                <w:sz w:val="18"/>
              </w:rPr>
            </w:pPr>
            <w:r>
              <w:rPr>
                <w:sz w:val="18"/>
              </w:rPr>
              <w:t>2:</w:t>
            </w:r>
            <w:r>
              <w:rPr>
                <w:spacing w:val="16"/>
                <w:sz w:val="18"/>
              </w:rPr>
              <w:t> </w:t>
            </w:r>
            <w:r>
              <w:rPr>
                <w:spacing w:val="-5"/>
                <w:sz w:val="18"/>
              </w:rPr>
              <w:t>3-</w:t>
            </w:r>
          </w:p>
          <w:p>
            <w:pPr>
              <w:pStyle w:val="TableParagraph"/>
              <w:spacing w:before="102"/>
              <w:ind w:left="106"/>
              <w:rPr>
                <w:sz w:val="18"/>
              </w:rPr>
            </w:pPr>
            <w:r>
              <w:rPr>
                <w:sz w:val="18"/>
              </w:rPr>
              <w:t>4</w:t>
            </w:r>
            <w:r>
              <w:rPr>
                <w:spacing w:val="1"/>
                <w:sz w:val="18"/>
              </w:rPr>
              <w:t> </w:t>
            </w:r>
            <w:r>
              <w:rPr>
                <w:spacing w:val="-2"/>
                <w:sz w:val="18"/>
              </w:rPr>
              <w:t>попытки</w:t>
            </w:r>
          </w:p>
        </w:tc>
        <w:tc>
          <w:tcPr>
            <w:tcW w:w="1275" w:type="dxa"/>
          </w:tcPr>
          <w:p>
            <w:pPr>
              <w:pStyle w:val="TableParagraph"/>
              <w:spacing w:line="202" w:lineRule="exact"/>
              <w:ind w:left="814"/>
              <w:rPr>
                <w:sz w:val="18"/>
              </w:rPr>
            </w:pPr>
            <w:r>
              <w:rPr>
                <w:sz w:val="18"/>
              </w:rPr>
              <w:t>3:</w:t>
            </w:r>
            <w:r>
              <w:rPr>
                <w:spacing w:val="16"/>
                <w:sz w:val="18"/>
              </w:rPr>
              <w:t> </w:t>
            </w:r>
            <w:r>
              <w:rPr>
                <w:spacing w:val="-5"/>
                <w:sz w:val="18"/>
              </w:rPr>
              <w:t>5-</w:t>
            </w:r>
          </w:p>
          <w:p>
            <w:pPr>
              <w:pStyle w:val="TableParagraph"/>
              <w:spacing w:before="102"/>
              <w:ind w:left="106"/>
              <w:rPr>
                <w:sz w:val="18"/>
              </w:rPr>
            </w:pPr>
            <w:r>
              <w:rPr>
                <w:sz w:val="18"/>
              </w:rPr>
              <w:t>6</w:t>
            </w:r>
            <w:r>
              <w:rPr>
                <w:spacing w:val="1"/>
                <w:sz w:val="18"/>
              </w:rPr>
              <w:t> </w:t>
            </w:r>
            <w:r>
              <w:rPr>
                <w:spacing w:val="-2"/>
                <w:sz w:val="18"/>
              </w:rPr>
              <w:t>попыток</w:t>
            </w:r>
          </w:p>
        </w:tc>
        <w:tc>
          <w:tcPr>
            <w:tcW w:w="1277" w:type="dxa"/>
          </w:tcPr>
          <w:p>
            <w:pPr>
              <w:pStyle w:val="TableParagraph"/>
              <w:spacing w:line="202" w:lineRule="exact"/>
              <w:ind w:left="814"/>
              <w:rPr>
                <w:sz w:val="18"/>
              </w:rPr>
            </w:pPr>
            <w:r>
              <w:rPr>
                <w:sz w:val="18"/>
              </w:rPr>
              <w:t>4:</w:t>
            </w:r>
            <w:r>
              <w:rPr>
                <w:spacing w:val="16"/>
                <w:sz w:val="18"/>
              </w:rPr>
              <w:t> </w:t>
            </w:r>
            <w:r>
              <w:rPr>
                <w:spacing w:val="-5"/>
                <w:sz w:val="18"/>
              </w:rPr>
              <w:t>7-</w:t>
            </w:r>
          </w:p>
          <w:p>
            <w:pPr>
              <w:pStyle w:val="TableParagraph"/>
              <w:spacing w:before="102"/>
              <w:ind w:left="106"/>
              <w:rPr>
                <w:sz w:val="18"/>
              </w:rPr>
            </w:pPr>
            <w:r>
              <w:rPr>
                <w:sz w:val="18"/>
              </w:rPr>
              <w:t>10</w:t>
            </w:r>
            <w:r>
              <w:rPr>
                <w:spacing w:val="2"/>
                <w:sz w:val="18"/>
              </w:rPr>
              <w:t> </w:t>
            </w:r>
            <w:r>
              <w:rPr>
                <w:spacing w:val="-2"/>
                <w:sz w:val="18"/>
              </w:rPr>
              <w:t>попыток</w:t>
            </w:r>
          </w:p>
        </w:tc>
        <w:tc>
          <w:tcPr>
            <w:tcW w:w="1136" w:type="dxa"/>
          </w:tcPr>
          <w:p>
            <w:pPr>
              <w:pStyle w:val="TableParagraph"/>
              <w:spacing w:line="202" w:lineRule="exact"/>
              <w:ind w:left="814"/>
              <w:rPr>
                <w:sz w:val="18"/>
              </w:rPr>
            </w:pPr>
            <w:r>
              <w:rPr>
                <w:spacing w:val="-5"/>
                <w:sz w:val="18"/>
              </w:rPr>
              <w:t>5:</w:t>
            </w:r>
          </w:p>
          <w:p>
            <w:pPr>
              <w:pStyle w:val="TableParagraph"/>
              <w:spacing w:line="360" w:lineRule="auto" w:before="102"/>
              <w:ind w:left="106"/>
              <w:rPr>
                <w:sz w:val="18"/>
              </w:rPr>
            </w:pPr>
            <w:r>
              <w:rPr>
                <w:sz w:val="18"/>
              </w:rPr>
              <w:t>11</w:t>
            </w:r>
            <w:r>
              <w:rPr>
                <w:spacing w:val="40"/>
                <w:sz w:val="18"/>
              </w:rPr>
              <w:t> </w:t>
            </w:r>
            <w:r>
              <w:rPr>
                <w:sz w:val="18"/>
              </w:rPr>
              <w:t>и</w:t>
            </w:r>
            <w:r>
              <w:rPr>
                <w:spacing w:val="41"/>
                <w:sz w:val="18"/>
              </w:rPr>
              <w:t> </w:t>
            </w:r>
            <w:r>
              <w:rPr>
                <w:sz w:val="18"/>
              </w:rPr>
              <w:t>боле</w:t>
            </w:r>
            <w:r>
              <w:rPr>
                <w:sz w:val="18"/>
              </w:rPr>
              <w:t>е </w:t>
            </w:r>
            <w:r>
              <w:rPr>
                <w:spacing w:val="-2"/>
                <w:sz w:val="18"/>
              </w:rPr>
              <w:t>попыток</w:t>
            </w:r>
          </w:p>
        </w:tc>
      </w:tr>
      <w:tr>
        <w:trPr>
          <w:trHeight w:val="1862" w:hRule="atLeast"/>
        </w:trPr>
        <w:tc>
          <w:tcPr>
            <w:tcW w:w="2660" w:type="dxa"/>
          </w:tcPr>
          <w:p>
            <w:pPr>
              <w:pStyle w:val="TableParagraph"/>
              <w:spacing w:line="360" w:lineRule="auto"/>
              <w:ind w:left="107" w:right="97" w:firstLine="707"/>
              <w:jc w:val="both"/>
              <w:rPr>
                <w:sz w:val="18"/>
              </w:rPr>
            </w:pPr>
            <w:r>
              <w:rPr>
                <w:sz w:val="18"/>
              </w:rPr>
              <w:t>7. За последние 4 недели при попытках совершить половой акт как часто</w:t>
            </w:r>
            <w:r>
              <w:rPr>
                <w:spacing w:val="-2"/>
                <w:sz w:val="18"/>
              </w:rPr>
              <w:t> </w:t>
            </w:r>
            <w:r>
              <w:rPr>
                <w:sz w:val="18"/>
              </w:rPr>
              <w:t>Вы</w:t>
            </w:r>
            <w:r>
              <w:rPr>
                <w:spacing w:val="-2"/>
                <w:sz w:val="18"/>
              </w:rPr>
              <w:t> </w:t>
            </w:r>
            <w:r>
              <w:rPr>
                <w:sz w:val="18"/>
              </w:rPr>
              <w:t>были </w:t>
            </w:r>
            <w:r>
              <w:rPr>
                <w:spacing w:val="-2"/>
                <w:sz w:val="18"/>
              </w:rPr>
              <w:t>удовлетворены?</w:t>
            </w:r>
          </w:p>
        </w:tc>
        <w:tc>
          <w:tcPr>
            <w:tcW w:w="1419" w:type="dxa"/>
          </w:tcPr>
          <w:p>
            <w:pPr>
              <w:pStyle w:val="TableParagraph"/>
              <w:spacing w:line="202" w:lineRule="exact"/>
              <w:ind w:left="815"/>
              <w:rPr>
                <w:sz w:val="18"/>
              </w:rPr>
            </w:pPr>
            <w:r>
              <w:rPr>
                <w:sz w:val="18"/>
              </w:rPr>
              <w:t>0-</w:t>
            </w:r>
            <w:r>
              <w:rPr>
                <w:spacing w:val="-5"/>
                <w:sz w:val="18"/>
              </w:rPr>
              <w:t>Не</w:t>
            </w:r>
          </w:p>
          <w:p>
            <w:pPr>
              <w:pStyle w:val="TableParagraph"/>
              <w:spacing w:line="360" w:lineRule="auto" w:before="105"/>
              <w:ind w:left="107" w:right="365"/>
              <w:rPr>
                <w:sz w:val="18"/>
              </w:rPr>
            </w:pPr>
            <w:r>
              <w:rPr>
                <w:spacing w:val="-2"/>
                <w:sz w:val="18"/>
              </w:rPr>
              <w:t>пытался совершить </w:t>
            </w:r>
            <w:r>
              <w:rPr>
                <w:sz w:val="18"/>
              </w:rPr>
              <w:t>половой</w:t>
            </w:r>
            <w:r>
              <w:rPr>
                <w:spacing w:val="-12"/>
                <w:sz w:val="18"/>
              </w:rPr>
              <w:t> </w:t>
            </w:r>
            <w:r>
              <w:rPr>
                <w:sz w:val="18"/>
              </w:rPr>
              <w:t>акт</w:t>
            </w:r>
          </w:p>
        </w:tc>
        <w:tc>
          <w:tcPr>
            <w:tcW w:w="992" w:type="dxa"/>
          </w:tcPr>
          <w:p>
            <w:pPr>
              <w:pStyle w:val="TableParagraph"/>
              <w:spacing w:line="202" w:lineRule="exact"/>
              <w:ind w:left="812"/>
              <w:rPr>
                <w:sz w:val="18"/>
              </w:rPr>
            </w:pPr>
            <w:r>
              <w:rPr>
                <w:spacing w:val="-10"/>
                <w:sz w:val="18"/>
              </w:rPr>
              <w:t>1</w:t>
            </w:r>
          </w:p>
          <w:p>
            <w:pPr>
              <w:pStyle w:val="TableParagraph"/>
              <w:spacing w:line="360" w:lineRule="auto" w:before="105"/>
              <w:ind w:left="104" w:right="256"/>
              <w:rPr>
                <w:sz w:val="18"/>
              </w:rPr>
            </w:pPr>
            <w:r>
              <w:rPr>
                <w:spacing w:val="-2"/>
                <w:sz w:val="18"/>
              </w:rPr>
              <w:t>-Почти никогда </w:t>
            </w:r>
            <w:r>
              <w:rPr>
                <w:spacing w:val="-4"/>
                <w:sz w:val="18"/>
              </w:rPr>
              <w:t>или </w:t>
            </w:r>
            <w:r>
              <w:rPr>
                <w:spacing w:val="-2"/>
                <w:sz w:val="18"/>
              </w:rPr>
              <w:t>никогда</w:t>
            </w:r>
          </w:p>
        </w:tc>
        <w:tc>
          <w:tcPr>
            <w:tcW w:w="1277" w:type="dxa"/>
          </w:tcPr>
          <w:p>
            <w:pPr>
              <w:pStyle w:val="TableParagraph"/>
              <w:spacing w:line="202" w:lineRule="exact"/>
              <w:ind w:left="814"/>
              <w:rPr>
                <w:sz w:val="18"/>
              </w:rPr>
            </w:pPr>
            <w:r>
              <w:rPr>
                <w:spacing w:val="-5"/>
                <w:sz w:val="18"/>
              </w:rPr>
              <w:t>2-</w:t>
            </w:r>
          </w:p>
          <w:p>
            <w:pPr>
              <w:pStyle w:val="TableParagraph"/>
              <w:spacing w:line="360" w:lineRule="auto" w:before="105"/>
              <w:ind w:left="106" w:right="504"/>
              <w:rPr>
                <w:sz w:val="18"/>
              </w:rPr>
            </w:pPr>
            <w:r>
              <w:rPr>
                <w:spacing w:val="-2"/>
                <w:sz w:val="18"/>
              </w:rPr>
              <w:t>Изредка (меньше</w:t>
            </w:r>
          </w:p>
          <w:p>
            <w:pPr>
              <w:pStyle w:val="TableParagraph"/>
              <w:spacing w:line="362" w:lineRule="auto"/>
              <w:ind w:left="106" w:right="392"/>
              <w:rPr>
                <w:sz w:val="18"/>
              </w:rPr>
            </w:pPr>
            <w:r>
              <w:rPr>
                <w:spacing w:val="-2"/>
                <w:sz w:val="18"/>
              </w:rPr>
              <w:t>половины случаев)</w:t>
            </w:r>
          </w:p>
        </w:tc>
        <w:tc>
          <w:tcPr>
            <w:tcW w:w="1275" w:type="dxa"/>
          </w:tcPr>
          <w:p>
            <w:pPr>
              <w:pStyle w:val="TableParagraph"/>
              <w:spacing w:line="202" w:lineRule="exact"/>
              <w:ind w:left="814"/>
              <w:rPr>
                <w:sz w:val="18"/>
              </w:rPr>
            </w:pPr>
            <w:r>
              <w:rPr>
                <w:spacing w:val="-5"/>
                <w:sz w:val="18"/>
              </w:rPr>
              <w:t>3-</w:t>
            </w:r>
          </w:p>
          <w:p>
            <w:pPr>
              <w:pStyle w:val="TableParagraph"/>
              <w:spacing w:before="105"/>
              <w:ind w:left="106"/>
              <w:rPr>
                <w:sz w:val="18"/>
              </w:rPr>
            </w:pPr>
            <w:r>
              <w:rPr>
                <w:spacing w:val="-2"/>
                <w:sz w:val="18"/>
              </w:rPr>
              <w:t>Иногда</w:t>
            </w:r>
          </w:p>
          <w:p>
            <w:pPr>
              <w:pStyle w:val="TableParagraph"/>
              <w:spacing w:line="360" w:lineRule="auto" w:before="102"/>
              <w:ind w:left="106"/>
              <w:rPr>
                <w:sz w:val="18"/>
              </w:rPr>
            </w:pPr>
            <w:r>
              <w:rPr>
                <w:sz w:val="18"/>
              </w:rPr>
              <w:t>(примерно</w:t>
            </w:r>
            <w:r>
              <w:rPr>
                <w:spacing w:val="80"/>
                <w:sz w:val="18"/>
              </w:rPr>
              <w:t> </w:t>
            </w:r>
            <w:r>
              <w:rPr>
                <w:sz w:val="18"/>
              </w:rPr>
              <w:t>в </w:t>
            </w:r>
            <w:r>
              <w:rPr>
                <w:spacing w:val="-2"/>
                <w:sz w:val="18"/>
              </w:rPr>
              <w:t>половине случаев)</w:t>
            </w:r>
          </w:p>
        </w:tc>
        <w:tc>
          <w:tcPr>
            <w:tcW w:w="1277" w:type="dxa"/>
          </w:tcPr>
          <w:p>
            <w:pPr>
              <w:pStyle w:val="TableParagraph"/>
              <w:spacing w:line="202" w:lineRule="exact"/>
              <w:ind w:left="814"/>
              <w:rPr>
                <w:sz w:val="18"/>
              </w:rPr>
            </w:pPr>
            <w:r>
              <w:rPr>
                <w:spacing w:val="-5"/>
                <w:sz w:val="18"/>
              </w:rPr>
              <w:t>4-</w:t>
            </w:r>
          </w:p>
          <w:p>
            <w:pPr>
              <w:pStyle w:val="TableParagraph"/>
              <w:spacing w:line="360" w:lineRule="auto" w:before="105"/>
              <w:ind w:left="106" w:right="97"/>
              <w:rPr>
                <w:sz w:val="18"/>
              </w:rPr>
            </w:pPr>
            <w:r>
              <w:rPr>
                <w:spacing w:val="-2"/>
                <w:sz w:val="18"/>
              </w:rPr>
              <w:t>Часто (гораздо </w:t>
            </w:r>
            <w:r>
              <w:rPr>
                <w:sz w:val="18"/>
              </w:rPr>
              <w:t>чаще,</w:t>
            </w:r>
            <w:r>
              <w:rPr>
                <w:spacing w:val="40"/>
                <w:sz w:val="18"/>
              </w:rPr>
              <w:t> </w:t>
            </w:r>
            <w:r>
              <w:rPr>
                <w:sz w:val="18"/>
              </w:rPr>
              <w:t>чем</w:t>
            </w:r>
            <w:r>
              <w:rPr>
                <w:spacing w:val="40"/>
                <w:sz w:val="18"/>
              </w:rPr>
              <w:t> </w:t>
            </w:r>
            <w:r>
              <w:rPr>
                <w:sz w:val="18"/>
              </w:rPr>
              <w:t>в </w:t>
            </w:r>
            <w:r>
              <w:rPr>
                <w:spacing w:val="-2"/>
                <w:sz w:val="18"/>
              </w:rPr>
              <w:t>половине</w:t>
            </w:r>
          </w:p>
          <w:p>
            <w:pPr>
              <w:pStyle w:val="TableParagraph"/>
              <w:spacing w:line="206" w:lineRule="exact"/>
              <w:ind w:left="106"/>
              <w:rPr>
                <w:sz w:val="18"/>
              </w:rPr>
            </w:pPr>
            <w:r>
              <w:rPr>
                <w:spacing w:val="-2"/>
                <w:sz w:val="18"/>
              </w:rPr>
              <w:t>случаев)</w:t>
            </w:r>
          </w:p>
        </w:tc>
        <w:tc>
          <w:tcPr>
            <w:tcW w:w="1136" w:type="dxa"/>
          </w:tcPr>
          <w:p>
            <w:pPr>
              <w:pStyle w:val="TableParagraph"/>
              <w:spacing w:line="202" w:lineRule="exact"/>
              <w:ind w:left="814"/>
              <w:rPr>
                <w:sz w:val="18"/>
              </w:rPr>
            </w:pPr>
            <w:r>
              <w:rPr>
                <w:spacing w:val="-5"/>
                <w:sz w:val="18"/>
              </w:rPr>
              <w:t>5-</w:t>
            </w:r>
          </w:p>
          <w:p>
            <w:pPr>
              <w:pStyle w:val="TableParagraph"/>
              <w:spacing w:line="360" w:lineRule="auto" w:before="105"/>
              <w:ind w:left="106" w:right="74"/>
              <w:rPr>
                <w:sz w:val="18"/>
              </w:rPr>
            </w:pPr>
            <w:r>
              <w:rPr>
                <w:spacing w:val="-2"/>
                <w:sz w:val="18"/>
              </w:rPr>
              <w:t>Почти </w:t>
            </w:r>
            <w:r>
              <w:rPr>
                <w:sz w:val="18"/>
              </w:rPr>
              <w:t>всегда</w:t>
            </w:r>
            <w:r>
              <w:rPr>
                <w:spacing w:val="61"/>
                <w:sz w:val="18"/>
              </w:rPr>
              <w:t> </w:t>
            </w:r>
            <w:r>
              <w:rPr>
                <w:sz w:val="18"/>
              </w:rPr>
              <w:t>или </w:t>
            </w:r>
            <w:r>
              <w:rPr>
                <w:spacing w:val="-2"/>
                <w:sz w:val="18"/>
              </w:rPr>
              <w:t>всегда</w:t>
            </w:r>
          </w:p>
        </w:tc>
      </w:tr>
      <w:tr>
        <w:trPr>
          <w:trHeight w:val="1552" w:hRule="atLeast"/>
        </w:trPr>
        <w:tc>
          <w:tcPr>
            <w:tcW w:w="2660" w:type="dxa"/>
          </w:tcPr>
          <w:p>
            <w:pPr>
              <w:pStyle w:val="TableParagraph"/>
              <w:spacing w:line="360" w:lineRule="auto"/>
              <w:ind w:left="107" w:right="97" w:firstLine="707"/>
              <w:jc w:val="both"/>
              <w:rPr>
                <w:sz w:val="18"/>
              </w:rPr>
            </w:pPr>
            <w:r>
              <w:rPr>
                <w:sz w:val="18"/>
              </w:rPr>
              <w:t>8. За последние 4 недели насколько сильное удовольствие Вы получали от полового акта?</w:t>
            </w:r>
          </w:p>
        </w:tc>
        <w:tc>
          <w:tcPr>
            <w:tcW w:w="1419" w:type="dxa"/>
          </w:tcPr>
          <w:p>
            <w:pPr>
              <w:pStyle w:val="TableParagraph"/>
              <w:spacing w:line="204" w:lineRule="exact"/>
              <w:ind w:left="815"/>
              <w:rPr>
                <w:sz w:val="18"/>
              </w:rPr>
            </w:pPr>
            <w:r>
              <w:rPr>
                <w:sz w:val="18"/>
              </w:rPr>
              <w:t>0-</w:t>
            </w:r>
            <w:r>
              <w:rPr>
                <w:spacing w:val="-5"/>
                <w:sz w:val="18"/>
              </w:rPr>
              <w:t>Не</w:t>
            </w:r>
          </w:p>
          <w:p>
            <w:pPr>
              <w:pStyle w:val="TableParagraph"/>
              <w:spacing w:line="360" w:lineRule="auto" w:before="102"/>
              <w:ind w:left="107"/>
              <w:rPr>
                <w:sz w:val="18"/>
              </w:rPr>
            </w:pPr>
            <w:r>
              <w:rPr>
                <w:sz w:val="18"/>
              </w:rPr>
              <w:t>было</w:t>
            </w:r>
            <w:r>
              <w:rPr>
                <w:spacing w:val="61"/>
                <w:sz w:val="18"/>
              </w:rPr>
              <w:t> </w:t>
            </w:r>
            <w:r>
              <w:rPr>
                <w:sz w:val="18"/>
              </w:rPr>
              <w:t>половых </w:t>
            </w:r>
            <w:r>
              <w:rPr>
                <w:spacing w:val="-2"/>
                <w:sz w:val="18"/>
              </w:rPr>
              <w:t>актов</w:t>
            </w:r>
          </w:p>
        </w:tc>
        <w:tc>
          <w:tcPr>
            <w:tcW w:w="992" w:type="dxa"/>
          </w:tcPr>
          <w:p>
            <w:pPr>
              <w:pStyle w:val="TableParagraph"/>
              <w:spacing w:line="204" w:lineRule="exact"/>
              <w:ind w:right="77"/>
              <w:jc w:val="right"/>
              <w:rPr>
                <w:sz w:val="18"/>
              </w:rPr>
            </w:pPr>
            <w:r>
              <w:rPr>
                <w:spacing w:val="-10"/>
                <w:sz w:val="18"/>
              </w:rPr>
              <w:t>1</w:t>
            </w:r>
          </w:p>
          <w:p>
            <w:pPr>
              <w:pStyle w:val="TableParagraph"/>
              <w:spacing w:line="360" w:lineRule="auto" w:before="102"/>
              <w:ind w:left="104" w:right="175"/>
              <w:rPr>
                <w:sz w:val="18"/>
              </w:rPr>
            </w:pPr>
            <w:r>
              <w:rPr>
                <w:spacing w:val="-4"/>
                <w:sz w:val="18"/>
              </w:rPr>
              <w:t>-Не </w:t>
            </w:r>
            <w:r>
              <w:rPr>
                <w:spacing w:val="-2"/>
                <w:sz w:val="18"/>
              </w:rPr>
              <w:t>получал удовольс</w:t>
            </w:r>
          </w:p>
          <w:p>
            <w:pPr>
              <w:pStyle w:val="TableParagraph"/>
              <w:spacing w:line="207" w:lineRule="exact"/>
              <w:ind w:left="104"/>
              <w:rPr>
                <w:sz w:val="18"/>
              </w:rPr>
            </w:pPr>
            <w:r>
              <w:rPr>
                <w:spacing w:val="-4"/>
                <w:sz w:val="18"/>
              </w:rPr>
              <w:t>твия</w:t>
            </w:r>
          </w:p>
        </w:tc>
        <w:tc>
          <w:tcPr>
            <w:tcW w:w="1277" w:type="dxa"/>
          </w:tcPr>
          <w:p>
            <w:pPr>
              <w:pStyle w:val="TableParagraph"/>
              <w:spacing w:line="204" w:lineRule="exact"/>
              <w:ind w:left="814"/>
              <w:rPr>
                <w:sz w:val="18"/>
              </w:rPr>
            </w:pPr>
            <w:r>
              <w:rPr>
                <w:spacing w:val="-5"/>
                <w:sz w:val="18"/>
              </w:rPr>
              <w:t>2-</w:t>
            </w:r>
          </w:p>
          <w:p>
            <w:pPr>
              <w:pStyle w:val="TableParagraph"/>
              <w:spacing w:line="360" w:lineRule="auto" w:before="102"/>
              <w:ind w:left="106"/>
              <w:rPr>
                <w:sz w:val="18"/>
              </w:rPr>
            </w:pPr>
            <w:r>
              <w:rPr>
                <w:spacing w:val="-2"/>
                <w:sz w:val="18"/>
              </w:rPr>
              <w:t>Небольшое удовольствие</w:t>
            </w:r>
          </w:p>
        </w:tc>
        <w:tc>
          <w:tcPr>
            <w:tcW w:w="1275" w:type="dxa"/>
          </w:tcPr>
          <w:p>
            <w:pPr>
              <w:pStyle w:val="TableParagraph"/>
              <w:spacing w:line="204" w:lineRule="exact"/>
              <w:ind w:left="814"/>
              <w:rPr>
                <w:sz w:val="18"/>
              </w:rPr>
            </w:pPr>
            <w:r>
              <w:rPr>
                <w:spacing w:val="-5"/>
                <w:sz w:val="18"/>
              </w:rPr>
              <w:t>3-</w:t>
            </w:r>
          </w:p>
          <w:p>
            <w:pPr>
              <w:pStyle w:val="TableParagraph"/>
              <w:spacing w:line="360" w:lineRule="auto" w:before="102"/>
              <w:ind w:left="106"/>
              <w:rPr>
                <w:sz w:val="18"/>
              </w:rPr>
            </w:pPr>
            <w:r>
              <w:rPr>
                <w:spacing w:val="-2"/>
                <w:sz w:val="18"/>
              </w:rPr>
              <w:t>Среднее удовольствие</w:t>
            </w:r>
          </w:p>
        </w:tc>
        <w:tc>
          <w:tcPr>
            <w:tcW w:w="1277" w:type="dxa"/>
          </w:tcPr>
          <w:p>
            <w:pPr>
              <w:pStyle w:val="TableParagraph"/>
              <w:spacing w:line="204" w:lineRule="exact"/>
              <w:ind w:left="814"/>
              <w:rPr>
                <w:sz w:val="18"/>
              </w:rPr>
            </w:pPr>
            <w:r>
              <w:rPr>
                <w:spacing w:val="-5"/>
                <w:sz w:val="18"/>
              </w:rPr>
              <w:t>4-</w:t>
            </w:r>
          </w:p>
          <w:p>
            <w:pPr>
              <w:pStyle w:val="TableParagraph"/>
              <w:spacing w:line="360" w:lineRule="auto" w:before="102"/>
              <w:ind w:left="106" w:right="402"/>
              <w:rPr>
                <w:sz w:val="18"/>
              </w:rPr>
            </w:pPr>
            <w:r>
              <w:rPr>
                <w:spacing w:val="-2"/>
                <w:sz w:val="18"/>
              </w:rPr>
              <w:t>Большое удовольс- </w:t>
            </w:r>
            <w:r>
              <w:rPr>
                <w:spacing w:val="-4"/>
                <w:sz w:val="18"/>
              </w:rPr>
              <w:t>твие</w:t>
            </w:r>
          </w:p>
        </w:tc>
        <w:tc>
          <w:tcPr>
            <w:tcW w:w="1136" w:type="dxa"/>
          </w:tcPr>
          <w:p>
            <w:pPr>
              <w:pStyle w:val="TableParagraph"/>
              <w:spacing w:line="204" w:lineRule="exact"/>
              <w:ind w:left="814"/>
              <w:rPr>
                <w:sz w:val="18"/>
              </w:rPr>
            </w:pPr>
            <w:r>
              <w:rPr>
                <w:spacing w:val="-5"/>
                <w:sz w:val="18"/>
              </w:rPr>
              <w:t>5-</w:t>
            </w:r>
          </w:p>
          <w:p>
            <w:pPr>
              <w:pStyle w:val="TableParagraph"/>
              <w:spacing w:line="360" w:lineRule="auto" w:before="102"/>
              <w:ind w:left="106" w:right="157"/>
              <w:rPr>
                <w:sz w:val="18"/>
              </w:rPr>
            </w:pPr>
            <w:r>
              <w:rPr>
                <w:spacing w:val="-2"/>
                <w:sz w:val="18"/>
              </w:rPr>
              <w:t>Очень большое удовольств</w:t>
            </w:r>
          </w:p>
          <w:p>
            <w:pPr>
              <w:pStyle w:val="TableParagraph"/>
              <w:spacing w:line="207" w:lineRule="exact"/>
              <w:ind w:left="106"/>
              <w:rPr>
                <w:sz w:val="18"/>
              </w:rPr>
            </w:pPr>
            <w:r>
              <w:rPr>
                <w:spacing w:val="-5"/>
                <w:sz w:val="18"/>
              </w:rPr>
              <w:t>ие</w:t>
            </w:r>
          </w:p>
        </w:tc>
      </w:tr>
      <w:tr>
        <w:trPr>
          <w:trHeight w:val="1864" w:hRule="atLeast"/>
        </w:trPr>
        <w:tc>
          <w:tcPr>
            <w:tcW w:w="2660" w:type="dxa"/>
          </w:tcPr>
          <w:p>
            <w:pPr>
              <w:pStyle w:val="TableParagraph"/>
              <w:spacing w:line="360" w:lineRule="auto"/>
              <w:ind w:left="107" w:right="98" w:firstLine="707"/>
              <w:jc w:val="both"/>
              <w:rPr>
                <w:sz w:val="18"/>
              </w:rPr>
            </w:pPr>
            <w:r>
              <w:rPr>
                <w:sz w:val="18"/>
              </w:rPr>
              <w:t>9. За последние 4 недели при сексуальной стимуляции или половом акте как часто у Вас была </w:t>
            </w:r>
            <w:r>
              <w:rPr>
                <w:spacing w:val="-2"/>
                <w:sz w:val="18"/>
              </w:rPr>
              <w:t>эякуляция</w:t>
            </w:r>
            <w:r>
              <w:rPr>
                <w:spacing w:val="-2"/>
                <w:sz w:val="18"/>
                <w:vertAlign w:val="superscript"/>
              </w:rPr>
              <w:t>4</w:t>
            </w:r>
            <w:r>
              <w:rPr>
                <w:spacing w:val="-2"/>
                <w:sz w:val="18"/>
                <w:vertAlign w:val="baseline"/>
              </w:rPr>
              <w:t>?</w:t>
            </w:r>
          </w:p>
        </w:tc>
        <w:tc>
          <w:tcPr>
            <w:tcW w:w="1419" w:type="dxa"/>
          </w:tcPr>
          <w:p>
            <w:pPr>
              <w:pStyle w:val="TableParagraph"/>
              <w:spacing w:line="202" w:lineRule="exact"/>
              <w:ind w:left="815"/>
              <w:rPr>
                <w:sz w:val="18"/>
              </w:rPr>
            </w:pPr>
            <w:r>
              <w:rPr>
                <w:sz w:val="18"/>
              </w:rPr>
              <w:t>0-</w:t>
            </w:r>
            <w:r>
              <w:rPr>
                <w:spacing w:val="-5"/>
                <w:sz w:val="18"/>
              </w:rPr>
              <w:t>Ни</w:t>
            </w:r>
          </w:p>
          <w:p>
            <w:pPr>
              <w:pStyle w:val="TableParagraph"/>
              <w:spacing w:line="360" w:lineRule="auto" w:before="105"/>
              <w:ind w:left="107"/>
              <w:rPr>
                <w:sz w:val="18"/>
              </w:rPr>
            </w:pPr>
            <w:r>
              <w:rPr>
                <w:spacing w:val="-2"/>
                <w:sz w:val="18"/>
              </w:rPr>
              <w:t>сексуальной стимуляции,</w:t>
            </w:r>
          </w:p>
          <w:p>
            <w:pPr>
              <w:pStyle w:val="TableParagraph"/>
              <w:tabs>
                <w:tab w:pos="604" w:val="left" w:leader="none"/>
              </w:tabs>
              <w:spacing w:line="360" w:lineRule="auto" w:before="1"/>
              <w:ind w:left="107" w:right="98"/>
              <w:rPr>
                <w:sz w:val="18"/>
              </w:rPr>
            </w:pPr>
            <w:r>
              <w:rPr>
                <w:spacing w:val="-6"/>
                <w:sz w:val="18"/>
              </w:rPr>
              <w:t>ни</w:t>
            </w:r>
            <w:r>
              <w:rPr>
                <w:sz w:val="18"/>
              </w:rPr>
              <w:tab/>
            </w:r>
            <w:r>
              <w:rPr>
                <w:spacing w:val="-2"/>
                <w:sz w:val="18"/>
              </w:rPr>
              <w:t>полового </w:t>
            </w:r>
            <w:r>
              <w:rPr>
                <w:sz w:val="18"/>
              </w:rPr>
              <w:t>акта не был</w:t>
            </w:r>
          </w:p>
        </w:tc>
        <w:tc>
          <w:tcPr>
            <w:tcW w:w="992" w:type="dxa"/>
          </w:tcPr>
          <w:p>
            <w:pPr>
              <w:pStyle w:val="TableParagraph"/>
              <w:spacing w:line="202" w:lineRule="exact"/>
              <w:ind w:left="812"/>
              <w:rPr>
                <w:sz w:val="18"/>
              </w:rPr>
            </w:pPr>
            <w:r>
              <w:rPr>
                <w:spacing w:val="-10"/>
                <w:sz w:val="18"/>
              </w:rPr>
              <w:t>1</w:t>
            </w:r>
          </w:p>
          <w:p>
            <w:pPr>
              <w:pStyle w:val="TableParagraph"/>
              <w:spacing w:line="360" w:lineRule="auto" w:before="105"/>
              <w:ind w:left="104" w:right="256"/>
              <w:rPr>
                <w:sz w:val="18"/>
              </w:rPr>
            </w:pPr>
            <w:r>
              <w:rPr>
                <w:spacing w:val="-2"/>
                <w:sz w:val="18"/>
              </w:rPr>
              <w:t>-Почти никогда </w:t>
            </w:r>
            <w:r>
              <w:rPr>
                <w:spacing w:val="-4"/>
                <w:sz w:val="18"/>
              </w:rPr>
              <w:t>или </w:t>
            </w:r>
            <w:r>
              <w:rPr>
                <w:spacing w:val="-2"/>
                <w:sz w:val="18"/>
              </w:rPr>
              <w:t>никогда</w:t>
            </w:r>
          </w:p>
        </w:tc>
        <w:tc>
          <w:tcPr>
            <w:tcW w:w="1277" w:type="dxa"/>
          </w:tcPr>
          <w:p>
            <w:pPr>
              <w:pStyle w:val="TableParagraph"/>
              <w:spacing w:line="202" w:lineRule="exact"/>
              <w:ind w:left="814"/>
              <w:rPr>
                <w:sz w:val="18"/>
              </w:rPr>
            </w:pPr>
            <w:r>
              <w:rPr>
                <w:spacing w:val="-5"/>
                <w:sz w:val="18"/>
              </w:rPr>
              <w:t>2-</w:t>
            </w:r>
          </w:p>
          <w:p>
            <w:pPr>
              <w:pStyle w:val="TableParagraph"/>
              <w:spacing w:line="360" w:lineRule="auto" w:before="105"/>
              <w:ind w:left="106" w:right="97"/>
              <w:rPr>
                <w:sz w:val="18"/>
              </w:rPr>
            </w:pPr>
            <w:r>
              <w:rPr>
                <w:spacing w:val="-2"/>
                <w:sz w:val="18"/>
              </w:rPr>
              <w:t>Изредка (гораздо</w:t>
            </w:r>
            <w:r>
              <w:rPr>
                <w:spacing w:val="40"/>
                <w:sz w:val="18"/>
              </w:rPr>
              <w:t> </w:t>
            </w:r>
            <w:r>
              <w:rPr>
                <w:sz w:val="18"/>
              </w:rPr>
              <w:t>реже,</w:t>
            </w:r>
            <w:r>
              <w:rPr>
                <w:spacing w:val="73"/>
                <w:sz w:val="18"/>
              </w:rPr>
              <w:t> </w:t>
            </w:r>
            <w:r>
              <w:rPr>
                <w:sz w:val="18"/>
              </w:rPr>
              <w:t>чем</w:t>
            </w:r>
            <w:r>
              <w:rPr>
                <w:spacing w:val="72"/>
                <w:sz w:val="18"/>
              </w:rPr>
              <w:t> </w:t>
            </w:r>
            <w:r>
              <w:rPr>
                <w:sz w:val="18"/>
              </w:rPr>
              <w:t>в </w:t>
            </w:r>
            <w:r>
              <w:rPr>
                <w:spacing w:val="-2"/>
                <w:sz w:val="18"/>
              </w:rPr>
              <w:t>половине</w:t>
            </w:r>
          </w:p>
          <w:p>
            <w:pPr>
              <w:pStyle w:val="TableParagraph"/>
              <w:spacing w:line="206" w:lineRule="exact"/>
              <w:ind w:left="106"/>
              <w:rPr>
                <w:sz w:val="18"/>
              </w:rPr>
            </w:pPr>
            <w:r>
              <w:rPr>
                <w:spacing w:val="-2"/>
                <w:sz w:val="18"/>
              </w:rPr>
              <w:t>случаев)</w:t>
            </w:r>
          </w:p>
        </w:tc>
        <w:tc>
          <w:tcPr>
            <w:tcW w:w="1275" w:type="dxa"/>
          </w:tcPr>
          <w:p>
            <w:pPr>
              <w:pStyle w:val="TableParagraph"/>
              <w:spacing w:line="202" w:lineRule="exact"/>
              <w:ind w:left="814"/>
              <w:rPr>
                <w:sz w:val="18"/>
              </w:rPr>
            </w:pPr>
            <w:r>
              <w:rPr>
                <w:spacing w:val="-5"/>
                <w:sz w:val="18"/>
              </w:rPr>
              <w:t>3-</w:t>
            </w:r>
          </w:p>
          <w:p>
            <w:pPr>
              <w:pStyle w:val="TableParagraph"/>
              <w:spacing w:before="105"/>
              <w:ind w:left="106"/>
              <w:rPr>
                <w:sz w:val="18"/>
              </w:rPr>
            </w:pPr>
            <w:r>
              <w:rPr>
                <w:spacing w:val="-2"/>
                <w:sz w:val="18"/>
              </w:rPr>
              <w:t>Иногда</w:t>
            </w:r>
          </w:p>
          <w:p>
            <w:pPr>
              <w:pStyle w:val="TableParagraph"/>
              <w:spacing w:line="360" w:lineRule="auto" w:before="102"/>
              <w:ind w:left="106"/>
              <w:rPr>
                <w:sz w:val="18"/>
              </w:rPr>
            </w:pPr>
            <w:r>
              <w:rPr>
                <w:sz w:val="18"/>
              </w:rPr>
              <w:t>(примерно</w:t>
            </w:r>
            <w:r>
              <w:rPr>
                <w:spacing w:val="80"/>
                <w:sz w:val="18"/>
              </w:rPr>
              <w:t> </w:t>
            </w:r>
            <w:r>
              <w:rPr>
                <w:sz w:val="18"/>
              </w:rPr>
              <w:t>в </w:t>
            </w:r>
            <w:r>
              <w:rPr>
                <w:spacing w:val="-2"/>
                <w:sz w:val="18"/>
              </w:rPr>
              <w:t>половине случаев)</w:t>
            </w:r>
          </w:p>
        </w:tc>
        <w:tc>
          <w:tcPr>
            <w:tcW w:w="1277" w:type="dxa"/>
          </w:tcPr>
          <w:p>
            <w:pPr>
              <w:pStyle w:val="TableParagraph"/>
              <w:spacing w:line="202" w:lineRule="exact"/>
              <w:ind w:left="814"/>
              <w:rPr>
                <w:sz w:val="18"/>
              </w:rPr>
            </w:pPr>
            <w:r>
              <w:rPr>
                <w:spacing w:val="-5"/>
                <w:sz w:val="18"/>
              </w:rPr>
              <w:t>4-</w:t>
            </w:r>
          </w:p>
          <w:p>
            <w:pPr>
              <w:pStyle w:val="TableParagraph"/>
              <w:spacing w:line="360" w:lineRule="auto" w:before="105"/>
              <w:ind w:left="106" w:right="97"/>
              <w:rPr>
                <w:sz w:val="18"/>
              </w:rPr>
            </w:pPr>
            <w:r>
              <w:rPr>
                <w:spacing w:val="-2"/>
                <w:sz w:val="18"/>
              </w:rPr>
              <w:t>Часто (гораздо </w:t>
            </w:r>
            <w:r>
              <w:rPr>
                <w:sz w:val="18"/>
              </w:rPr>
              <w:t>чаще,</w:t>
            </w:r>
            <w:r>
              <w:rPr>
                <w:spacing w:val="40"/>
                <w:sz w:val="18"/>
              </w:rPr>
              <w:t> </w:t>
            </w:r>
            <w:r>
              <w:rPr>
                <w:sz w:val="18"/>
              </w:rPr>
              <w:t>чем</w:t>
            </w:r>
            <w:r>
              <w:rPr>
                <w:spacing w:val="40"/>
                <w:sz w:val="18"/>
              </w:rPr>
              <w:t> </w:t>
            </w:r>
            <w:r>
              <w:rPr>
                <w:sz w:val="18"/>
              </w:rPr>
              <w:t>в </w:t>
            </w:r>
            <w:r>
              <w:rPr>
                <w:spacing w:val="-2"/>
                <w:sz w:val="18"/>
              </w:rPr>
              <w:t>половине</w:t>
            </w:r>
          </w:p>
          <w:p>
            <w:pPr>
              <w:pStyle w:val="TableParagraph"/>
              <w:spacing w:line="206" w:lineRule="exact"/>
              <w:ind w:left="106"/>
              <w:rPr>
                <w:sz w:val="18"/>
              </w:rPr>
            </w:pPr>
            <w:r>
              <w:rPr>
                <w:spacing w:val="-2"/>
                <w:sz w:val="18"/>
              </w:rPr>
              <w:t>случаев)</w:t>
            </w:r>
          </w:p>
        </w:tc>
        <w:tc>
          <w:tcPr>
            <w:tcW w:w="1136" w:type="dxa"/>
          </w:tcPr>
          <w:p>
            <w:pPr>
              <w:pStyle w:val="TableParagraph"/>
              <w:spacing w:line="202" w:lineRule="exact"/>
              <w:ind w:left="814"/>
              <w:rPr>
                <w:sz w:val="18"/>
              </w:rPr>
            </w:pPr>
            <w:r>
              <w:rPr>
                <w:spacing w:val="-5"/>
                <w:sz w:val="18"/>
              </w:rPr>
              <w:t>5-</w:t>
            </w:r>
          </w:p>
          <w:p>
            <w:pPr>
              <w:pStyle w:val="TableParagraph"/>
              <w:spacing w:line="360" w:lineRule="auto" w:before="105"/>
              <w:ind w:left="106" w:right="74"/>
              <w:rPr>
                <w:sz w:val="18"/>
              </w:rPr>
            </w:pPr>
            <w:r>
              <w:rPr>
                <w:spacing w:val="-2"/>
                <w:sz w:val="18"/>
              </w:rPr>
              <w:t>Почти </w:t>
            </w:r>
            <w:r>
              <w:rPr>
                <w:sz w:val="18"/>
              </w:rPr>
              <w:t>всегда</w:t>
            </w:r>
            <w:r>
              <w:rPr>
                <w:spacing w:val="61"/>
                <w:sz w:val="18"/>
              </w:rPr>
              <w:t> </w:t>
            </w:r>
            <w:r>
              <w:rPr>
                <w:sz w:val="18"/>
              </w:rPr>
              <w:t>или </w:t>
            </w:r>
            <w:r>
              <w:rPr>
                <w:spacing w:val="-2"/>
                <w:sz w:val="18"/>
              </w:rPr>
              <w:t>всегда</w:t>
            </w:r>
          </w:p>
        </w:tc>
      </w:tr>
      <w:tr>
        <w:trPr>
          <w:trHeight w:val="2171" w:hRule="atLeast"/>
        </w:trPr>
        <w:tc>
          <w:tcPr>
            <w:tcW w:w="2660" w:type="dxa"/>
          </w:tcPr>
          <w:p>
            <w:pPr>
              <w:pStyle w:val="TableParagraph"/>
              <w:tabs>
                <w:tab w:pos="1055" w:val="left" w:leader="none"/>
              </w:tabs>
              <w:spacing w:line="360" w:lineRule="auto"/>
              <w:ind w:left="107" w:right="96" w:firstLine="707"/>
              <w:jc w:val="both"/>
              <w:rPr>
                <w:sz w:val="18"/>
              </w:rPr>
            </w:pPr>
            <w:r>
              <w:rPr>
                <w:sz w:val="18"/>
              </w:rPr>
              <w:t>10. За последние 4 недели при сексуальной стимуляции или половом акте как часто Вы испытывали оргазм,</w:t>
            </w:r>
            <w:r>
              <w:rPr>
                <w:spacing w:val="-12"/>
                <w:sz w:val="18"/>
              </w:rPr>
              <w:t> </w:t>
            </w:r>
            <w:r>
              <w:rPr>
                <w:sz w:val="18"/>
              </w:rPr>
              <w:t>сопровождавшийся</w:t>
            </w:r>
            <w:r>
              <w:rPr>
                <w:spacing w:val="-11"/>
                <w:sz w:val="18"/>
              </w:rPr>
              <w:t> </w:t>
            </w:r>
            <w:r>
              <w:rPr>
                <w:sz w:val="18"/>
              </w:rPr>
              <w:t>или </w:t>
            </w:r>
            <w:r>
              <w:rPr>
                <w:spacing w:val="-5"/>
                <w:sz w:val="18"/>
              </w:rPr>
              <w:t>не</w:t>
            </w:r>
            <w:r>
              <w:rPr>
                <w:sz w:val="18"/>
              </w:rPr>
              <w:tab/>
            </w:r>
            <w:r>
              <w:rPr>
                <w:spacing w:val="-2"/>
                <w:sz w:val="18"/>
              </w:rPr>
              <w:t>сопровождавшийся</w:t>
            </w:r>
          </w:p>
          <w:p>
            <w:pPr>
              <w:pStyle w:val="TableParagraph"/>
              <w:spacing w:line="207" w:lineRule="exact"/>
              <w:ind w:left="107"/>
              <w:rPr>
                <w:sz w:val="18"/>
              </w:rPr>
            </w:pPr>
            <w:r>
              <w:rPr>
                <w:spacing w:val="-2"/>
                <w:sz w:val="18"/>
              </w:rPr>
              <w:t>эякуляцией?</w:t>
            </w:r>
          </w:p>
        </w:tc>
        <w:tc>
          <w:tcPr>
            <w:tcW w:w="1419" w:type="dxa"/>
          </w:tcPr>
          <w:p>
            <w:pPr>
              <w:pStyle w:val="TableParagraph"/>
              <w:spacing w:line="202" w:lineRule="exact"/>
              <w:ind w:left="815"/>
              <w:rPr>
                <w:sz w:val="18"/>
              </w:rPr>
            </w:pPr>
            <w:r>
              <w:rPr>
                <w:sz w:val="18"/>
              </w:rPr>
              <w:t>0-</w:t>
            </w:r>
            <w:r>
              <w:rPr>
                <w:spacing w:val="-5"/>
                <w:sz w:val="18"/>
              </w:rPr>
              <w:t>Ни</w:t>
            </w:r>
          </w:p>
          <w:p>
            <w:pPr>
              <w:pStyle w:val="TableParagraph"/>
              <w:spacing w:line="362" w:lineRule="auto" w:before="102"/>
              <w:ind w:left="107"/>
              <w:rPr>
                <w:sz w:val="18"/>
              </w:rPr>
            </w:pPr>
            <w:r>
              <w:rPr>
                <w:spacing w:val="-2"/>
                <w:sz w:val="18"/>
              </w:rPr>
              <w:t>сексуальной стимуляции,</w:t>
            </w:r>
          </w:p>
          <w:p>
            <w:pPr>
              <w:pStyle w:val="TableParagraph"/>
              <w:tabs>
                <w:tab w:pos="604" w:val="left" w:leader="none"/>
              </w:tabs>
              <w:spacing w:line="360" w:lineRule="auto"/>
              <w:ind w:left="107" w:right="98"/>
              <w:rPr>
                <w:sz w:val="18"/>
              </w:rPr>
            </w:pPr>
            <w:r>
              <w:rPr>
                <w:spacing w:val="-6"/>
                <w:sz w:val="18"/>
              </w:rPr>
              <w:t>ни</w:t>
            </w:r>
            <w:r>
              <w:rPr>
                <w:sz w:val="18"/>
              </w:rPr>
              <w:tab/>
            </w:r>
            <w:r>
              <w:rPr>
                <w:spacing w:val="-2"/>
                <w:sz w:val="18"/>
              </w:rPr>
              <w:t>полового </w:t>
            </w:r>
            <w:r>
              <w:rPr>
                <w:sz w:val="18"/>
              </w:rPr>
              <w:t>акта не был</w:t>
            </w:r>
          </w:p>
        </w:tc>
        <w:tc>
          <w:tcPr>
            <w:tcW w:w="992" w:type="dxa"/>
          </w:tcPr>
          <w:p>
            <w:pPr>
              <w:pStyle w:val="TableParagraph"/>
              <w:spacing w:line="202" w:lineRule="exact"/>
              <w:ind w:left="812"/>
              <w:rPr>
                <w:sz w:val="18"/>
              </w:rPr>
            </w:pPr>
            <w:r>
              <w:rPr>
                <w:spacing w:val="-10"/>
                <w:sz w:val="18"/>
              </w:rPr>
              <w:t>1</w:t>
            </w:r>
          </w:p>
          <w:p>
            <w:pPr>
              <w:pStyle w:val="TableParagraph"/>
              <w:spacing w:line="360" w:lineRule="auto" w:before="102"/>
              <w:ind w:left="104" w:right="256"/>
              <w:rPr>
                <w:sz w:val="18"/>
              </w:rPr>
            </w:pPr>
            <w:r>
              <w:rPr>
                <w:spacing w:val="-2"/>
                <w:sz w:val="18"/>
              </w:rPr>
              <w:t>-Почти никогда </w:t>
            </w:r>
            <w:r>
              <w:rPr>
                <w:spacing w:val="-4"/>
                <w:sz w:val="18"/>
              </w:rPr>
              <w:t>или </w:t>
            </w:r>
            <w:r>
              <w:rPr>
                <w:spacing w:val="-2"/>
                <w:sz w:val="18"/>
              </w:rPr>
              <w:t>никогда</w:t>
            </w:r>
          </w:p>
        </w:tc>
        <w:tc>
          <w:tcPr>
            <w:tcW w:w="1277" w:type="dxa"/>
          </w:tcPr>
          <w:p>
            <w:pPr>
              <w:pStyle w:val="TableParagraph"/>
              <w:spacing w:line="202" w:lineRule="exact"/>
              <w:ind w:left="814"/>
              <w:rPr>
                <w:sz w:val="18"/>
              </w:rPr>
            </w:pPr>
            <w:r>
              <w:rPr>
                <w:spacing w:val="-5"/>
                <w:sz w:val="18"/>
              </w:rPr>
              <w:t>2-</w:t>
            </w:r>
          </w:p>
          <w:p>
            <w:pPr>
              <w:pStyle w:val="TableParagraph"/>
              <w:spacing w:line="360" w:lineRule="auto" w:before="102"/>
              <w:ind w:left="106" w:right="97"/>
              <w:rPr>
                <w:sz w:val="18"/>
              </w:rPr>
            </w:pPr>
            <w:r>
              <w:rPr>
                <w:spacing w:val="-2"/>
                <w:sz w:val="18"/>
              </w:rPr>
              <w:t>Изредка (гораздо</w:t>
            </w:r>
            <w:r>
              <w:rPr>
                <w:spacing w:val="40"/>
                <w:sz w:val="18"/>
              </w:rPr>
              <w:t> </w:t>
            </w:r>
            <w:r>
              <w:rPr>
                <w:sz w:val="18"/>
              </w:rPr>
              <w:t>реже,</w:t>
            </w:r>
            <w:r>
              <w:rPr>
                <w:spacing w:val="73"/>
                <w:sz w:val="18"/>
              </w:rPr>
              <w:t> </w:t>
            </w:r>
            <w:r>
              <w:rPr>
                <w:sz w:val="18"/>
              </w:rPr>
              <w:t>чем</w:t>
            </w:r>
            <w:r>
              <w:rPr>
                <w:spacing w:val="72"/>
                <w:sz w:val="18"/>
              </w:rPr>
              <w:t> </w:t>
            </w:r>
            <w:r>
              <w:rPr>
                <w:sz w:val="18"/>
              </w:rPr>
              <w:t>в </w:t>
            </w:r>
            <w:r>
              <w:rPr>
                <w:spacing w:val="-2"/>
                <w:sz w:val="18"/>
              </w:rPr>
              <w:t>половине случаев)</w:t>
            </w:r>
          </w:p>
        </w:tc>
        <w:tc>
          <w:tcPr>
            <w:tcW w:w="1275" w:type="dxa"/>
          </w:tcPr>
          <w:p>
            <w:pPr>
              <w:pStyle w:val="TableParagraph"/>
              <w:spacing w:line="202" w:lineRule="exact"/>
              <w:ind w:left="814"/>
              <w:rPr>
                <w:sz w:val="18"/>
              </w:rPr>
            </w:pPr>
            <w:r>
              <w:rPr>
                <w:spacing w:val="-5"/>
                <w:sz w:val="18"/>
              </w:rPr>
              <w:t>3-</w:t>
            </w:r>
          </w:p>
          <w:p>
            <w:pPr>
              <w:pStyle w:val="TableParagraph"/>
              <w:spacing w:before="102"/>
              <w:ind w:left="106"/>
              <w:rPr>
                <w:sz w:val="18"/>
              </w:rPr>
            </w:pPr>
            <w:r>
              <w:rPr>
                <w:spacing w:val="-2"/>
                <w:sz w:val="18"/>
              </w:rPr>
              <w:t>Иногда</w:t>
            </w:r>
          </w:p>
          <w:p>
            <w:pPr>
              <w:pStyle w:val="TableParagraph"/>
              <w:spacing w:line="360" w:lineRule="auto" w:before="105"/>
              <w:ind w:left="106"/>
              <w:rPr>
                <w:sz w:val="18"/>
              </w:rPr>
            </w:pPr>
            <w:r>
              <w:rPr>
                <w:sz w:val="18"/>
              </w:rPr>
              <w:t>(примерно</w:t>
            </w:r>
            <w:r>
              <w:rPr>
                <w:spacing w:val="80"/>
                <w:sz w:val="18"/>
              </w:rPr>
              <w:t> </w:t>
            </w:r>
            <w:r>
              <w:rPr>
                <w:sz w:val="18"/>
              </w:rPr>
              <w:t>в </w:t>
            </w:r>
            <w:r>
              <w:rPr>
                <w:spacing w:val="-2"/>
                <w:sz w:val="18"/>
              </w:rPr>
              <w:t>половине случаев)</w:t>
            </w:r>
          </w:p>
        </w:tc>
        <w:tc>
          <w:tcPr>
            <w:tcW w:w="1277" w:type="dxa"/>
          </w:tcPr>
          <w:p>
            <w:pPr>
              <w:pStyle w:val="TableParagraph"/>
              <w:spacing w:line="202" w:lineRule="exact"/>
              <w:ind w:left="814"/>
              <w:rPr>
                <w:sz w:val="18"/>
              </w:rPr>
            </w:pPr>
            <w:r>
              <w:rPr>
                <w:spacing w:val="-5"/>
                <w:sz w:val="18"/>
              </w:rPr>
              <w:t>4-</w:t>
            </w:r>
          </w:p>
          <w:p>
            <w:pPr>
              <w:pStyle w:val="TableParagraph"/>
              <w:spacing w:line="360" w:lineRule="auto" w:before="102"/>
              <w:ind w:left="106" w:right="97"/>
              <w:rPr>
                <w:sz w:val="18"/>
              </w:rPr>
            </w:pPr>
            <w:r>
              <w:rPr>
                <w:spacing w:val="-2"/>
                <w:sz w:val="18"/>
              </w:rPr>
              <w:t>Часто (гораздо </w:t>
            </w:r>
            <w:r>
              <w:rPr>
                <w:sz w:val="18"/>
              </w:rPr>
              <w:t>чаще,</w:t>
            </w:r>
            <w:r>
              <w:rPr>
                <w:spacing w:val="40"/>
                <w:sz w:val="18"/>
              </w:rPr>
              <w:t> </w:t>
            </w:r>
            <w:r>
              <w:rPr>
                <w:sz w:val="18"/>
              </w:rPr>
              <w:t>чем</w:t>
            </w:r>
            <w:r>
              <w:rPr>
                <w:spacing w:val="40"/>
                <w:sz w:val="18"/>
              </w:rPr>
              <w:t> </w:t>
            </w:r>
            <w:r>
              <w:rPr>
                <w:sz w:val="18"/>
              </w:rPr>
              <w:t>в </w:t>
            </w:r>
            <w:r>
              <w:rPr>
                <w:spacing w:val="-2"/>
                <w:sz w:val="18"/>
              </w:rPr>
              <w:t>половине случаев)</w:t>
            </w:r>
          </w:p>
        </w:tc>
        <w:tc>
          <w:tcPr>
            <w:tcW w:w="1136" w:type="dxa"/>
          </w:tcPr>
          <w:p>
            <w:pPr>
              <w:pStyle w:val="TableParagraph"/>
              <w:spacing w:line="202" w:lineRule="exact"/>
              <w:ind w:left="814"/>
              <w:rPr>
                <w:sz w:val="18"/>
              </w:rPr>
            </w:pPr>
            <w:r>
              <w:rPr>
                <w:spacing w:val="-5"/>
                <w:sz w:val="18"/>
              </w:rPr>
              <w:t>5-</w:t>
            </w:r>
          </w:p>
          <w:p>
            <w:pPr>
              <w:pStyle w:val="TableParagraph"/>
              <w:spacing w:line="360" w:lineRule="auto" w:before="102"/>
              <w:ind w:left="106" w:right="74"/>
              <w:rPr>
                <w:sz w:val="18"/>
              </w:rPr>
            </w:pPr>
            <w:r>
              <w:rPr>
                <w:spacing w:val="-2"/>
                <w:sz w:val="18"/>
              </w:rPr>
              <w:t>Почти </w:t>
            </w:r>
            <w:r>
              <w:rPr>
                <w:sz w:val="18"/>
              </w:rPr>
              <w:t>всегда</w:t>
            </w:r>
            <w:r>
              <w:rPr>
                <w:spacing w:val="61"/>
                <w:sz w:val="18"/>
              </w:rPr>
              <w:t> </w:t>
            </w:r>
            <w:r>
              <w:rPr>
                <w:sz w:val="18"/>
              </w:rPr>
              <w:t>или </w:t>
            </w:r>
            <w:r>
              <w:rPr>
                <w:spacing w:val="-2"/>
                <w:sz w:val="18"/>
              </w:rPr>
              <w:t>всегда</w:t>
            </w:r>
          </w:p>
        </w:tc>
      </w:tr>
      <w:tr>
        <w:trPr>
          <w:trHeight w:val="1243" w:hRule="atLeast"/>
        </w:trPr>
        <w:tc>
          <w:tcPr>
            <w:tcW w:w="2660" w:type="dxa"/>
          </w:tcPr>
          <w:p>
            <w:pPr>
              <w:pStyle w:val="TableParagraph"/>
              <w:tabs>
                <w:tab w:pos="1614" w:val="left" w:leader="none"/>
              </w:tabs>
              <w:spacing w:line="360" w:lineRule="auto"/>
              <w:ind w:left="107" w:right="94" w:firstLine="707"/>
              <w:jc w:val="both"/>
              <w:rPr>
                <w:sz w:val="18"/>
              </w:rPr>
            </w:pPr>
            <w:r>
              <w:rPr>
                <w:sz w:val="18"/>
              </w:rPr>
              <w:t>11. За последние 4 недели как часто Вы </w:t>
            </w:r>
            <w:r>
              <w:rPr>
                <w:spacing w:val="-2"/>
                <w:sz w:val="18"/>
              </w:rPr>
              <w:t>испытывали</w:t>
            </w:r>
            <w:r>
              <w:rPr>
                <w:sz w:val="18"/>
              </w:rPr>
              <w:tab/>
            </w:r>
            <w:r>
              <w:rPr>
                <w:spacing w:val="-2"/>
                <w:sz w:val="18"/>
              </w:rPr>
              <w:t>сексуальное</w:t>
            </w:r>
          </w:p>
          <w:p>
            <w:pPr>
              <w:pStyle w:val="TableParagraph"/>
              <w:ind w:left="107"/>
              <w:rPr>
                <w:sz w:val="18"/>
              </w:rPr>
            </w:pPr>
            <w:r>
              <w:rPr>
                <w:spacing w:val="-2"/>
                <w:sz w:val="18"/>
              </w:rPr>
              <w:t>желание?</w:t>
            </w:r>
          </w:p>
        </w:tc>
        <w:tc>
          <w:tcPr>
            <w:tcW w:w="1419" w:type="dxa"/>
          </w:tcPr>
          <w:p>
            <w:pPr>
              <w:pStyle w:val="TableParagraph"/>
              <w:spacing w:line="204" w:lineRule="exact"/>
              <w:ind w:left="815"/>
              <w:rPr>
                <w:sz w:val="18"/>
              </w:rPr>
            </w:pPr>
            <w:r>
              <w:rPr>
                <w:spacing w:val="-5"/>
                <w:sz w:val="18"/>
              </w:rPr>
              <w:t>1-</w:t>
            </w:r>
          </w:p>
          <w:p>
            <w:pPr>
              <w:pStyle w:val="TableParagraph"/>
              <w:spacing w:line="360" w:lineRule="auto" w:before="103"/>
              <w:ind w:left="107"/>
              <w:rPr>
                <w:sz w:val="18"/>
              </w:rPr>
            </w:pPr>
            <w:r>
              <w:rPr>
                <w:sz w:val="18"/>
              </w:rPr>
              <w:t>Почти</w:t>
            </w:r>
            <w:r>
              <w:rPr>
                <w:spacing w:val="20"/>
                <w:sz w:val="18"/>
              </w:rPr>
              <w:t> </w:t>
            </w:r>
            <w:r>
              <w:rPr>
                <w:sz w:val="18"/>
              </w:rPr>
              <w:t>никогда или никогда</w:t>
            </w:r>
          </w:p>
        </w:tc>
        <w:tc>
          <w:tcPr>
            <w:tcW w:w="992" w:type="dxa"/>
          </w:tcPr>
          <w:p>
            <w:pPr>
              <w:pStyle w:val="TableParagraph"/>
              <w:spacing w:line="204" w:lineRule="exact"/>
              <w:ind w:left="812"/>
              <w:rPr>
                <w:sz w:val="18"/>
              </w:rPr>
            </w:pPr>
            <w:r>
              <w:rPr>
                <w:spacing w:val="-10"/>
                <w:sz w:val="18"/>
              </w:rPr>
              <w:t>2</w:t>
            </w:r>
          </w:p>
          <w:p>
            <w:pPr>
              <w:pStyle w:val="TableParagraph"/>
              <w:spacing w:line="360" w:lineRule="auto" w:before="103"/>
              <w:ind w:left="104" w:right="184"/>
              <w:rPr>
                <w:sz w:val="18"/>
              </w:rPr>
            </w:pPr>
            <w:r>
              <w:rPr>
                <w:spacing w:val="-2"/>
                <w:sz w:val="18"/>
              </w:rPr>
              <w:t>-</w:t>
            </w:r>
            <w:r>
              <w:rPr>
                <w:spacing w:val="-2"/>
                <w:sz w:val="18"/>
              </w:rPr>
              <w:t>Изредка (гораздо</w:t>
            </w:r>
          </w:p>
          <w:p>
            <w:pPr>
              <w:pStyle w:val="TableParagraph"/>
              <w:ind w:left="104"/>
              <w:rPr>
                <w:sz w:val="18"/>
              </w:rPr>
            </w:pPr>
            <w:r>
              <w:rPr>
                <w:sz w:val="18"/>
              </w:rPr>
              <w:t>реже,</w:t>
            </w:r>
            <w:r>
              <w:rPr>
                <w:spacing w:val="27"/>
                <w:sz w:val="18"/>
              </w:rPr>
              <w:t> </w:t>
            </w:r>
            <w:r>
              <w:rPr>
                <w:spacing w:val="-5"/>
                <w:sz w:val="18"/>
              </w:rPr>
              <w:t>чем</w:t>
            </w:r>
          </w:p>
        </w:tc>
        <w:tc>
          <w:tcPr>
            <w:tcW w:w="1277" w:type="dxa"/>
          </w:tcPr>
          <w:p>
            <w:pPr>
              <w:pStyle w:val="TableParagraph"/>
              <w:spacing w:line="204" w:lineRule="exact"/>
              <w:ind w:left="814"/>
              <w:rPr>
                <w:sz w:val="18"/>
              </w:rPr>
            </w:pPr>
            <w:r>
              <w:rPr>
                <w:spacing w:val="-5"/>
                <w:sz w:val="18"/>
              </w:rPr>
              <w:t>3-</w:t>
            </w:r>
          </w:p>
          <w:p>
            <w:pPr>
              <w:pStyle w:val="TableParagraph"/>
              <w:spacing w:before="103"/>
              <w:ind w:left="106"/>
              <w:rPr>
                <w:sz w:val="18"/>
              </w:rPr>
            </w:pPr>
            <w:r>
              <w:rPr>
                <w:spacing w:val="-2"/>
                <w:sz w:val="18"/>
              </w:rPr>
              <w:t>Иногда</w:t>
            </w:r>
          </w:p>
          <w:p>
            <w:pPr>
              <w:pStyle w:val="TableParagraph"/>
              <w:spacing w:line="312" w:lineRule="exact" w:before="21"/>
              <w:ind w:left="106"/>
              <w:rPr>
                <w:sz w:val="18"/>
              </w:rPr>
            </w:pPr>
            <w:r>
              <w:rPr>
                <w:sz w:val="18"/>
              </w:rPr>
              <w:t>(примерно</w:t>
            </w:r>
            <w:r>
              <w:rPr>
                <w:spacing w:val="80"/>
                <w:sz w:val="18"/>
              </w:rPr>
              <w:t> </w:t>
            </w:r>
            <w:r>
              <w:rPr>
                <w:sz w:val="18"/>
              </w:rPr>
              <w:t>в </w:t>
            </w:r>
            <w:r>
              <w:rPr>
                <w:spacing w:val="-2"/>
                <w:sz w:val="18"/>
              </w:rPr>
              <w:t>половине</w:t>
            </w:r>
          </w:p>
        </w:tc>
        <w:tc>
          <w:tcPr>
            <w:tcW w:w="1275" w:type="dxa"/>
          </w:tcPr>
          <w:p>
            <w:pPr>
              <w:pStyle w:val="TableParagraph"/>
              <w:spacing w:line="204" w:lineRule="exact"/>
              <w:ind w:left="814"/>
              <w:rPr>
                <w:sz w:val="18"/>
              </w:rPr>
            </w:pPr>
            <w:r>
              <w:rPr>
                <w:spacing w:val="-5"/>
                <w:sz w:val="18"/>
              </w:rPr>
              <w:t>4-</w:t>
            </w:r>
          </w:p>
          <w:p>
            <w:pPr>
              <w:pStyle w:val="TableParagraph"/>
              <w:spacing w:line="360" w:lineRule="auto" w:before="103"/>
              <w:ind w:left="106" w:right="508"/>
              <w:rPr>
                <w:sz w:val="18"/>
              </w:rPr>
            </w:pPr>
            <w:r>
              <w:rPr>
                <w:spacing w:val="-2"/>
                <w:sz w:val="18"/>
              </w:rPr>
              <w:t>Часто (гораздо</w:t>
            </w:r>
          </w:p>
          <w:p>
            <w:pPr>
              <w:pStyle w:val="TableParagraph"/>
              <w:ind w:left="106"/>
              <w:rPr>
                <w:sz w:val="18"/>
              </w:rPr>
            </w:pPr>
            <w:r>
              <w:rPr>
                <w:sz w:val="18"/>
              </w:rPr>
              <w:t>чаще,</w:t>
            </w:r>
            <w:r>
              <w:rPr>
                <w:spacing w:val="58"/>
                <w:w w:val="150"/>
                <w:sz w:val="18"/>
              </w:rPr>
              <w:t> </w:t>
            </w:r>
            <w:r>
              <w:rPr>
                <w:sz w:val="18"/>
              </w:rPr>
              <w:t>чем</w:t>
            </w:r>
            <w:r>
              <w:rPr>
                <w:spacing w:val="59"/>
                <w:w w:val="150"/>
                <w:sz w:val="18"/>
              </w:rPr>
              <w:t> </w:t>
            </w:r>
            <w:r>
              <w:rPr>
                <w:spacing w:val="-10"/>
                <w:sz w:val="18"/>
              </w:rPr>
              <w:t>в</w:t>
            </w:r>
          </w:p>
        </w:tc>
        <w:tc>
          <w:tcPr>
            <w:tcW w:w="2413" w:type="dxa"/>
            <w:gridSpan w:val="2"/>
          </w:tcPr>
          <w:p>
            <w:pPr>
              <w:pStyle w:val="TableParagraph"/>
              <w:tabs>
                <w:tab w:pos="1812" w:val="left" w:leader="none"/>
              </w:tabs>
              <w:spacing w:line="360" w:lineRule="auto"/>
              <w:ind w:left="106" w:right="100" w:firstLine="708"/>
              <w:rPr>
                <w:sz w:val="18"/>
              </w:rPr>
            </w:pPr>
            <w:r>
              <w:rPr>
                <w:spacing w:val="-2"/>
                <w:sz w:val="18"/>
              </w:rPr>
              <w:t>5-Почти</w:t>
            </w:r>
            <w:r>
              <w:rPr>
                <w:sz w:val="18"/>
              </w:rPr>
              <w:tab/>
            </w:r>
            <w:r>
              <w:rPr>
                <w:spacing w:val="-2"/>
                <w:sz w:val="18"/>
              </w:rPr>
              <w:t>всегд</w:t>
            </w:r>
            <w:r>
              <w:rPr>
                <w:spacing w:val="-2"/>
                <w:sz w:val="18"/>
              </w:rPr>
              <w:t>а</w:t>
            </w:r>
            <w:r>
              <w:rPr>
                <w:spacing w:val="-2"/>
                <w:sz w:val="18"/>
              </w:rPr>
              <w:t> </w:t>
            </w:r>
            <w:r>
              <w:rPr>
                <w:sz w:val="18"/>
              </w:rPr>
              <w:t>или всегда</w:t>
            </w:r>
          </w:p>
        </w:tc>
      </w:tr>
    </w:tbl>
    <w:p>
      <w:pPr>
        <w:spacing w:after="0" w:line="360" w:lineRule="auto"/>
        <w:rPr>
          <w:sz w:val="18"/>
        </w:rPr>
        <w:sectPr>
          <w:type w:val="continuous"/>
          <w:pgSz w:w="11910" w:h="16840"/>
          <w:pgMar w:header="0" w:footer="867" w:top="1720" w:bottom="1060" w:left="960" w:right="20"/>
        </w:sectPr>
      </w:pPr>
    </w:p>
    <w:tbl>
      <w:tblPr>
        <w:tblW w:w="0" w:type="auto"/>
        <w:jc w:val="left"/>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60"/>
        <w:gridCol w:w="1419"/>
        <w:gridCol w:w="763"/>
        <w:gridCol w:w="229"/>
        <w:gridCol w:w="784"/>
        <w:gridCol w:w="493"/>
        <w:gridCol w:w="1275"/>
        <w:gridCol w:w="2412"/>
      </w:tblGrid>
      <w:tr>
        <w:trPr>
          <w:trHeight w:val="930" w:hRule="atLeast"/>
        </w:trPr>
        <w:tc>
          <w:tcPr>
            <w:tcW w:w="2660" w:type="dxa"/>
          </w:tcPr>
          <w:p>
            <w:pPr>
              <w:pStyle w:val="TableParagraph"/>
              <w:rPr>
                <w:sz w:val="20"/>
              </w:rPr>
            </w:pPr>
          </w:p>
        </w:tc>
        <w:tc>
          <w:tcPr>
            <w:tcW w:w="1419" w:type="dxa"/>
          </w:tcPr>
          <w:p>
            <w:pPr>
              <w:pStyle w:val="TableParagraph"/>
              <w:rPr>
                <w:sz w:val="20"/>
              </w:rPr>
            </w:pPr>
          </w:p>
        </w:tc>
        <w:tc>
          <w:tcPr>
            <w:tcW w:w="992" w:type="dxa"/>
            <w:gridSpan w:val="2"/>
          </w:tcPr>
          <w:p>
            <w:pPr>
              <w:pStyle w:val="TableParagraph"/>
              <w:spacing w:line="360" w:lineRule="auto"/>
              <w:ind w:left="104" w:right="150"/>
              <w:rPr>
                <w:sz w:val="18"/>
              </w:rPr>
            </w:pPr>
            <w:r>
              <w:rPr>
                <w:spacing w:val="-10"/>
                <w:sz w:val="18"/>
              </w:rPr>
              <w:t>в</w:t>
            </w:r>
            <w:r>
              <w:rPr>
                <w:spacing w:val="-2"/>
                <w:sz w:val="18"/>
              </w:rPr>
              <w:t> половине</w:t>
            </w:r>
          </w:p>
          <w:p>
            <w:pPr>
              <w:pStyle w:val="TableParagraph"/>
              <w:spacing w:line="205" w:lineRule="exact"/>
              <w:ind w:left="104"/>
              <w:rPr>
                <w:sz w:val="18"/>
              </w:rPr>
            </w:pPr>
            <w:r>
              <w:rPr>
                <w:spacing w:val="-2"/>
                <w:sz w:val="18"/>
              </w:rPr>
              <w:t>случаев)</w:t>
            </w:r>
          </w:p>
        </w:tc>
        <w:tc>
          <w:tcPr>
            <w:tcW w:w="1277" w:type="dxa"/>
            <w:gridSpan w:val="2"/>
          </w:tcPr>
          <w:p>
            <w:pPr>
              <w:pStyle w:val="TableParagraph"/>
              <w:spacing w:line="202" w:lineRule="exact"/>
              <w:ind w:left="106"/>
              <w:rPr>
                <w:sz w:val="18"/>
              </w:rPr>
            </w:pPr>
            <w:r>
              <w:rPr>
                <w:spacing w:val="-2"/>
                <w:sz w:val="18"/>
              </w:rPr>
              <w:t>случаев)</w:t>
            </w:r>
          </w:p>
        </w:tc>
        <w:tc>
          <w:tcPr>
            <w:tcW w:w="1275" w:type="dxa"/>
          </w:tcPr>
          <w:p>
            <w:pPr>
              <w:pStyle w:val="TableParagraph"/>
              <w:spacing w:line="360" w:lineRule="auto"/>
              <w:ind w:left="106" w:right="431"/>
              <w:rPr>
                <w:sz w:val="18"/>
              </w:rPr>
            </w:pPr>
            <w:r>
              <w:rPr>
                <w:spacing w:val="-2"/>
                <w:sz w:val="18"/>
              </w:rPr>
              <w:t>половине случаев)</w:t>
            </w:r>
          </w:p>
        </w:tc>
        <w:tc>
          <w:tcPr>
            <w:tcW w:w="2412" w:type="dxa"/>
          </w:tcPr>
          <w:p>
            <w:pPr>
              <w:pStyle w:val="TableParagraph"/>
              <w:rPr>
                <w:sz w:val="20"/>
              </w:rPr>
            </w:pPr>
          </w:p>
        </w:tc>
      </w:tr>
      <w:tr>
        <w:trPr>
          <w:trHeight w:val="1240" w:hRule="atLeast"/>
        </w:trPr>
        <w:tc>
          <w:tcPr>
            <w:tcW w:w="2660" w:type="dxa"/>
          </w:tcPr>
          <w:p>
            <w:pPr>
              <w:pStyle w:val="TableParagraph"/>
              <w:spacing w:line="360" w:lineRule="auto"/>
              <w:ind w:left="107" w:right="97" w:firstLine="707"/>
              <w:jc w:val="both"/>
              <w:rPr>
                <w:sz w:val="18"/>
              </w:rPr>
            </w:pPr>
            <w:r>
              <w:rPr>
                <w:sz w:val="18"/>
              </w:rPr>
              <w:t>12. За последние 4 недели как бы Вы оценили степень</w:t>
            </w:r>
            <w:r>
              <w:rPr>
                <w:spacing w:val="75"/>
                <w:sz w:val="18"/>
              </w:rPr>
              <w:t> </w:t>
            </w:r>
            <w:r>
              <w:rPr>
                <w:sz w:val="18"/>
              </w:rPr>
              <w:t>Вашего</w:t>
            </w:r>
            <w:r>
              <w:rPr>
                <w:spacing w:val="78"/>
                <w:sz w:val="18"/>
              </w:rPr>
              <w:t> </w:t>
            </w:r>
            <w:r>
              <w:rPr>
                <w:spacing w:val="-2"/>
                <w:sz w:val="18"/>
              </w:rPr>
              <w:t>сексуального</w:t>
            </w:r>
          </w:p>
          <w:p>
            <w:pPr>
              <w:pStyle w:val="TableParagraph"/>
              <w:spacing w:line="207" w:lineRule="exact"/>
              <w:ind w:left="107"/>
              <w:rPr>
                <w:sz w:val="18"/>
              </w:rPr>
            </w:pPr>
            <w:r>
              <w:rPr>
                <w:spacing w:val="-2"/>
                <w:sz w:val="18"/>
              </w:rPr>
              <w:t>желания?</w:t>
            </w:r>
          </w:p>
        </w:tc>
        <w:tc>
          <w:tcPr>
            <w:tcW w:w="1419" w:type="dxa"/>
          </w:tcPr>
          <w:p>
            <w:pPr>
              <w:pStyle w:val="TableParagraph"/>
              <w:spacing w:line="202" w:lineRule="exact"/>
              <w:ind w:left="815"/>
              <w:rPr>
                <w:sz w:val="18"/>
              </w:rPr>
            </w:pPr>
            <w:r>
              <w:rPr>
                <w:spacing w:val="-5"/>
                <w:sz w:val="18"/>
              </w:rPr>
              <w:t>1-</w:t>
            </w:r>
          </w:p>
          <w:p>
            <w:pPr>
              <w:pStyle w:val="TableParagraph"/>
              <w:tabs>
                <w:tab w:pos="793" w:val="left" w:leader="none"/>
              </w:tabs>
              <w:spacing w:before="102"/>
              <w:ind w:left="107"/>
              <w:rPr>
                <w:sz w:val="18"/>
              </w:rPr>
            </w:pPr>
            <w:r>
              <w:rPr>
                <w:spacing w:val="-2"/>
                <w:sz w:val="18"/>
              </w:rPr>
              <w:t>Очень</w:t>
            </w:r>
            <w:r>
              <w:rPr>
                <w:sz w:val="18"/>
              </w:rPr>
              <w:tab/>
            </w:r>
            <w:r>
              <w:rPr>
                <w:spacing w:val="-2"/>
                <w:sz w:val="18"/>
              </w:rPr>
              <w:t>низкая</w:t>
            </w:r>
          </w:p>
          <w:p>
            <w:pPr>
              <w:pStyle w:val="TableParagraph"/>
              <w:tabs>
                <w:tab w:pos="608" w:val="left" w:leader="none"/>
              </w:tabs>
              <w:spacing w:line="310" w:lineRule="atLeast" w:before="2"/>
              <w:ind w:left="107" w:right="101"/>
              <w:rPr>
                <w:sz w:val="18"/>
              </w:rPr>
            </w:pPr>
            <w:r>
              <w:rPr>
                <w:spacing w:val="-4"/>
                <w:sz w:val="18"/>
              </w:rPr>
              <w:t>или</w:t>
            </w:r>
            <w:r>
              <w:rPr>
                <w:sz w:val="18"/>
              </w:rPr>
              <w:tab/>
            </w:r>
            <w:r>
              <w:rPr>
                <w:spacing w:val="-2"/>
                <w:sz w:val="18"/>
              </w:rPr>
              <w:t>влечение отсутствует</w:t>
            </w:r>
          </w:p>
        </w:tc>
        <w:tc>
          <w:tcPr>
            <w:tcW w:w="763" w:type="dxa"/>
            <w:tcBorders>
              <w:right w:val="nil"/>
            </w:tcBorders>
          </w:tcPr>
          <w:p>
            <w:pPr>
              <w:pStyle w:val="TableParagraph"/>
              <w:spacing w:before="97"/>
              <w:rPr>
                <w:sz w:val="18"/>
              </w:rPr>
            </w:pPr>
          </w:p>
          <w:p>
            <w:pPr>
              <w:pStyle w:val="TableParagraph"/>
              <w:ind w:left="56"/>
              <w:jc w:val="center"/>
              <w:rPr>
                <w:sz w:val="18"/>
              </w:rPr>
            </w:pPr>
            <w:r>
              <w:rPr>
                <w:sz w:val="18"/>
              </w:rPr>
              <w:t>-</w:t>
            </w:r>
            <w:r>
              <w:rPr>
                <w:spacing w:val="-2"/>
                <w:sz w:val="18"/>
              </w:rPr>
              <w:t>Низкая</w:t>
            </w:r>
          </w:p>
        </w:tc>
        <w:tc>
          <w:tcPr>
            <w:tcW w:w="229" w:type="dxa"/>
            <w:tcBorders>
              <w:left w:val="nil"/>
            </w:tcBorders>
          </w:tcPr>
          <w:p>
            <w:pPr>
              <w:pStyle w:val="TableParagraph"/>
              <w:spacing w:line="202" w:lineRule="exact"/>
              <w:ind w:right="22"/>
              <w:jc w:val="center"/>
              <w:rPr>
                <w:sz w:val="18"/>
              </w:rPr>
            </w:pPr>
            <w:r>
              <w:rPr>
                <w:spacing w:val="-10"/>
                <w:sz w:val="18"/>
              </w:rPr>
              <w:t>2</w:t>
            </w:r>
          </w:p>
        </w:tc>
        <w:tc>
          <w:tcPr>
            <w:tcW w:w="784" w:type="dxa"/>
            <w:tcBorders>
              <w:right w:val="nil"/>
            </w:tcBorders>
          </w:tcPr>
          <w:p>
            <w:pPr>
              <w:pStyle w:val="TableParagraph"/>
              <w:spacing w:before="97"/>
              <w:rPr>
                <w:sz w:val="18"/>
              </w:rPr>
            </w:pPr>
          </w:p>
          <w:p>
            <w:pPr>
              <w:pStyle w:val="TableParagraph"/>
              <w:ind w:right="26"/>
              <w:jc w:val="right"/>
              <w:rPr>
                <w:sz w:val="18"/>
              </w:rPr>
            </w:pPr>
            <w:r>
              <w:rPr>
                <w:spacing w:val="-2"/>
                <w:sz w:val="18"/>
              </w:rPr>
              <w:t>Средняя</w:t>
            </w:r>
          </w:p>
        </w:tc>
        <w:tc>
          <w:tcPr>
            <w:tcW w:w="493" w:type="dxa"/>
            <w:tcBorders>
              <w:left w:val="nil"/>
            </w:tcBorders>
          </w:tcPr>
          <w:p>
            <w:pPr>
              <w:pStyle w:val="TableParagraph"/>
              <w:spacing w:line="202" w:lineRule="exact"/>
              <w:ind w:left="35"/>
              <w:rPr>
                <w:sz w:val="18"/>
              </w:rPr>
            </w:pPr>
            <w:r>
              <w:rPr>
                <w:spacing w:val="-5"/>
                <w:sz w:val="18"/>
              </w:rPr>
              <w:t>3-</w:t>
            </w:r>
          </w:p>
        </w:tc>
        <w:tc>
          <w:tcPr>
            <w:tcW w:w="1275" w:type="dxa"/>
          </w:tcPr>
          <w:p>
            <w:pPr>
              <w:pStyle w:val="TableParagraph"/>
              <w:spacing w:line="202" w:lineRule="exact"/>
              <w:ind w:left="814"/>
              <w:rPr>
                <w:sz w:val="18"/>
              </w:rPr>
            </w:pPr>
            <w:r>
              <w:rPr>
                <w:spacing w:val="-5"/>
                <w:sz w:val="18"/>
              </w:rPr>
              <w:t>4-</w:t>
            </w:r>
          </w:p>
          <w:p>
            <w:pPr>
              <w:pStyle w:val="TableParagraph"/>
              <w:spacing w:before="102"/>
              <w:ind w:left="106"/>
              <w:rPr>
                <w:sz w:val="18"/>
              </w:rPr>
            </w:pPr>
            <w:r>
              <w:rPr>
                <w:spacing w:val="-2"/>
                <w:sz w:val="18"/>
              </w:rPr>
              <w:t>Высокая</w:t>
            </w:r>
          </w:p>
        </w:tc>
        <w:tc>
          <w:tcPr>
            <w:tcW w:w="2412" w:type="dxa"/>
          </w:tcPr>
          <w:p>
            <w:pPr>
              <w:pStyle w:val="TableParagraph"/>
              <w:spacing w:line="202" w:lineRule="exact"/>
              <w:ind w:right="288"/>
              <w:jc w:val="right"/>
              <w:rPr>
                <w:sz w:val="18"/>
              </w:rPr>
            </w:pPr>
            <w:r>
              <w:rPr>
                <w:sz w:val="18"/>
              </w:rPr>
              <w:t>5-Очень</w:t>
            </w:r>
            <w:r>
              <w:rPr>
                <w:spacing w:val="-5"/>
                <w:sz w:val="18"/>
              </w:rPr>
              <w:t> </w:t>
            </w:r>
            <w:r>
              <w:rPr>
                <w:spacing w:val="-2"/>
                <w:sz w:val="18"/>
              </w:rPr>
              <w:t>высокая</w:t>
            </w:r>
          </w:p>
        </w:tc>
      </w:tr>
      <w:tr>
        <w:trPr>
          <w:trHeight w:val="1864" w:hRule="atLeast"/>
        </w:trPr>
        <w:tc>
          <w:tcPr>
            <w:tcW w:w="2660" w:type="dxa"/>
          </w:tcPr>
          <w:p>
            <w:pPr>
              <w:pStyle w:val="TableParagraph"/>
              <w:spacing w:line="360" w:lineRule="auto"/>
              <w:ind w:left="107" w:right="95" w:firstLine="707"/>
              <w:jc w:val="both"/>
              <w:rPr>
                <w:sz w:val="18"/>
              </w:rPr>
            </w:pPr>
            <w:r>
              <w:rPr>
                <w:sz w:val="18"/>
              </w:rPr>
              <w:t>14. За последние 4 недели насколько Вы были удовлетворены сексуальными отношениями со </w:t>
            </w:r>
            <w:r>
              <w:rPr>
                <w:sz w:val="18"/>
              </w:rPr>
              <w:t>свое</w:t>
            </w:r>
            <w:r>
              <w:rPr>
                <w:sz w:val="18"/>
              </w:rPr>
              <w:t>й сексуальной партнершей?</w:t>
            </w:r>
          </w:p>
        </w:tc>
        <w:tc>
          <w:tcPr>
            <w:tcW w:w="1419" w:type="dxa"/>
          </w:tcPr>
          <w:p>
            <w:pPr>
              <w:pStyle w:val="TableParagraph"/>
              <w:spacing w:line="204" w:lineRule="exact"/>
              <w:ind w:left="815"/>
              <w:rPr>
                <w:sz w:val="18"/>
              </w:rPr>
            </w:pPr>
            <w:r>
              <w:rPr>
                <w:spacing w:val="-5"/>
                <w:sz w:val="18"/>
              </w:rPr>
              <w:t>1-</w:t>
            </w:r>
          </w:p>
          <w:p>
            <w:pPr>
              <w:pStyle w:val="TableParagraph"/>
              <w:tabs>
                <w:tab w:pos="1131" w:val="left" w:leader="none"/>
              </w:tabs>
              <w:spacing w:line="360" w:lineRule="auto" w:before="102"/>
              <w:ind w:left="107" w:right="98"/>
              <w:rPr>
                <w:sz w:val="18"/>
              </w:rPr>
            </w:pPr>
            <w:r>
              <w:rPr>
                <w:spacing w:val="-2"/>
                <w:sz w:val="18"/>
              </w:rPr>
              <w:t>Очень</w:t>
            </w:r>
            <w:r>
              <w:rPr>
                <w:sz w:val="18"/>
              </w:rPr>
              <w:tab/>
            </w:r>
            <w:r>
              <w:rPr>
                <w:spacing w:val="-6"/>
                <w:sz w:val="18"/>
              </w:rPr>
              <w:t>не</w:t>
            </w:r>
            <w:r>
              <w:rPr>
                <w:spacing w:val="-2"/>
                <w:sz w:val="18"/>
              </w:rPr>
              <w:t> удовлетворён</w:t>
            </w:r>
          </w:p>
        </w:tc>
        <w:tc>
          <w:tcPr>
            <w:tcW w:w="992" w:type="dxa"/>
            <w:gridSpan w:val="2"/>
          </w:tcPr>
          <w:p>
            <w:pPr>
              <w:pStyle w:val="TableParagraph"/>
              <w:spacing w:line="204" w:lineRule="exact"/>
              <w:ind w:left="812"/>
              <w:rPr>
                <w:sz w:val="18"/>
              </w:rPr>
            </w:pPr>
            <w:r>
              <w:rPr>
                <w:spacing w:val="-10"/>
                <w:sz w:val="18"/>
              </w:rPr>
              <w:t>2</w:t>
            </w:r>
          </w:p>
          <w:p>
            <w:pPr>
              <w:pStyle w:val="TableParagraph"/>
              <w:spacing w:before="102"/>
              <w:ind w:left="104"/>
              <w:rPr>
                <w:sz w:val="18"/>
              </w:rPr>
            </w:pPr>
            <w:r>
              <w:rPr>
                <w:spacing w:val="-10"/>
                <w:sz w:val="18"/>
              </w:rPr>
              <w:t>-</w:t>
            </w:r>
          </w:p>
          <w:p>
            <w:pPr>
              <w:pStyle w:val="TableParagraph"/>
              <w:spacing w:line="360" w:lineRule="auto" w:before="103"/>
              <w:ind w:left="104" w:right="99"/>
              <w:jc w:val="both"/>
              <w:rPr>
                <w:sz w:val="18"/>
              </w:rPr>
            </w:pPr>
            <w:r>
              <w:rPr>
                <w:spacing w:val="-2"/>
                <w:sz w:val="18"/>
              </w:rPr>
              <w:t>Относите </w:t>
            </w:r>
            <w:r>
              <w:rPr>
                <w:sz w:val="18"/>
              </w:rPr>
              <w:t>льно </w:t>
            </w:r>
            <w:r>
              <w:rPr>
                <w:sz w:val="18"/>
              </w:rPr>
              <w:t>не </w:t>
            </w:r>
            <w:r>
              <w:rPr>
                <w:spacing w:val="-2"/>
                <w:sz w:val="18"/>
              </w:rPr>
              <w:t>удовлетв</w:t>
            </w:r>
          </w:p>
          <w:p>
            <w:pPr>
              <w:pStyle w:val="TableParagraph"/>
              <w:ind w:left="104"/>
              <w:rPr>
                <w:sz w:val="18"/>
              </w:rPr>
            </w:pPr>
            <w:r>
              <w:rPr>
                <w:spacing w:val="-4"/>
                <w:sz w:val="18"/>
              </w:rPr>
              <w:t>орён</w:t>
            </w:r>
          </w:p>
        </w:tc>
        <w:tc>
          <w:tcPr>
            <w:tcW w:w="1277" w:type="dxa"/>
            <w:gridSpan w:val="2"/>
          </w:tcPr>
          <w:p>
            <w:pPr>
              <w:pStyle w:val="TableParagraph"/>
              <w:spacing w:line="204" w:lineRule="exact"/>
              <w:ind w:left="814"/>
              <w:rPr>
                <w:sz w:val="18"/>
              </w:rPr>
            </w:pPr>
            <w:r>
              <w:rPr>
                <w:spacing w:val="-5"/>
                <w:sz w:val="18"/>
              </w:rPr>
              <w:t>3-</w:t>
            </w:r>
          </w:p>
          <w:p>
            <w:pPr>
              <w:pStyle w:val="TableParagraph"/>
              <w:spacing w:line="360" w:lineRule="auto" w:before="102"/>
              <w:ind w:left="106" w:right="233"/>
              <w:rPr>
                <w:sz w:val="18"/>
              </w:rPr>
            </w:pPr>
            <w:r>
              <w:rPr>
                <w:spacing w:val="-2"/>
                <w:sz w:val="18"/>
              </w:rPr>
              <w:t>Смешанные чувства</w:t>
            </w:r>
          </w:p>
        </w:tc>
        <w:tc>
          <w:tcPr>
            <w:tcW w:w="1275" w:type="dxa"/>
          </w:tcPr>
          <w:p>
            <w:pPr>
              <w:pStyle w:val="TableParagraph"/>
              <w:spacing w:line="204" w:lineRule="exact"/>
              <w:ind w:left="814"/>
              <w:rPr>
                <w:sz w:val="18"/>
              </w:rPr>
            </w:pPr>
            <w:r>
              <w:rPr>
                <w:spacing w:val="-5"/>
                <w:sz w:val="18"/>
              </w:rPr>
              <w:t>4-</w:t>
            </w:r>
          </w:p>
          <w:p>
            <w:pPr>
              <w:pStyle w:val="TableParagraph"/>
              <w:spacing w:line="360" w:lineRule="auto" w:before="102"/>
              <w:ind w:left="106" w:right="113"/>
              <w:rPr>
                <w:sz w:val="18"/>
              </w:rPr>
            </w:pPr>
            <w:r>
              <w:rPr>
                <w:spacing w:val="-2"/>
                <w:sz w:val="18"/>
              </w:rPr>
              <w:t>Относительн </w:t>
            </w:r>
            <w:r>
              <w:rPr>
                <w:spacing w:val="-10"/>
                <w:sz w:val="18"/>
              </w:rPr>
              <w:t>о</w:t>
            </w:r>
            <w:r>
              <w:rPr>
                <w:spacing w:val="-2"/>
                <w:sz w:val="18"/>
              </w:rPr>
              <w:t> удовлетворен</w:t>
            </w:r>
          </w:p>
        </w:tc>
        <w:tc>
          <w:tcPr>
            <w:tcW w:w="2412" w:type="dxa"/>
          </w:tcPr>
          <w:p>
            <w:pPr>
              <w:pStyle w:val="TableParagraph"/>
              <w:spacing w:line="360" w:lineRule="auto"/>
              <w:ind w:left="106" w:right="953" w:firstLine="708"/>
              <w:rPr>
                <w:sz w:val="18"/>
              </w:rPr>
            </w:pPr>
            <w:r>
              <w:rPr>
                <w:spacing w:val="-2"/>
                <w:sz w:val="18"/>
              </w:rPr>
              <w:t>5-</w:t>
            </w:r>
            <w:r>
              <w:rPr>
                <w:spacing w:val="-2"/>
                <w:sz w:val="18"/>
              </w:rPr>
              <w:t>Очен</w:t>
            </w:r>
            <w:r>
              <w:rPr>
                <w:spacing w:val="-2"/>
                <w:sz w:val="18"/>
              </w:rPr>
              <w:t>ь</w:t>
            </w:r>
            <w:r>
              <w:rPr>
                <w:spacing w:val="-2"/>
                <w:sz w:val="18"/>
              </w:rPr>
              <w:t> удовлетворен</w:t>
            </w:r>
          </w:p>
        </w:tc>
      </w:tr>
      <w:tr>
        <w:trPr>
          <w:trHeight w:val="1552" w:hRule="atLeast"/>
        </w:trPr>
        <w:tc>
          <w:tcPr>
            <w:tcW w:w="2660" w:type="dxa"/>
          </w:tcPr>
          <w:p>
            <w:pPr>
              <w:pStyle w:val="TableParagraph"/>
              <w:spacing w:line="360" w:lineRule="auto"/>
              <w:ind w:left="107" w:right="96" w:firstLine="707"/>
              <w:jc w:val="both"/>
              <w:rPr>
                <w:sz w:val="18"/>
              </w:rPr>
            </w:pPr>
            <w:r>
              <w:rPr>
                <w:sz w:val="18"/>
              </w:rPr>
              <w:t>15. За последние 4 недели как бы Вы оценили степень уверенности</w:t>
            </w:r>
            <w:r>
              <w:rPr>
                <w:spacing w:val="-1"/>
                <w:sz w:val="18"/>
              </w:rPr>
              <w:t> </w:t>
            </w:r>
            <w:r>
              <w:rPr>
                <w:sz w:val="18"/>
              </w:rPr>
              <w:t>в</w:t>
            </w:r>
            <w:r>
              <w:rPr>
                <w:spacing w:val="-1"/>
                <w:sz w:val="18"/>
              </w:rPr>
              <w:t> </w:t>
            </w:r>
            <w:r>
              <w:rPr>
                <w:sz w:val="18"/>
              </w:rPr>
              <w:t>том,</w:t>
            </w:r>
            <w:r>
              <w:rPr>
                <w:spacing w:val="-1"/>
                <w:sz w:val="18"/>
              </w:rPr>
              <w:t> </w:t>
            </w:r>
            <w:r>
              <w:rPr>
                <w:sz w:val="18"/>
              </w:rPr>
              <w:t>что Вы</w:t>
            </w:r>
            <w:r>
              <w:rPr>
                <w:spacing w:val="8"/>
                <w:sz w:val="18"/>
              </w:rPr>
              <w:t> </w:t>
            </w:r>
            <w:r>
              <w:rPr>
                <w:sz w:val="18"/>
              </w:rPr>
              <w:t>можете</w:t>
            </w:r>
            <w:r>
              <w:rPr>
                <w:spacing w:val="9"/>
                <w:sz w:val="18"/>
              </w:rPr>
              <w:t> </w:t>
            </w:r>
            <w:r>
              <w:rPr>
                <w:sz w:val="18"/>
              </w:rPr>
              <w:t>достичь</w:t>
            </w:r>
            <w:r>
              <w:rPr>
                <w:spacing w:val="6"/>
                <w:sz w:val="18"/>
              </w:rPr>
              <w:t> </w:t>
            </w:r>
            <w:r>
              <w:rPr>
                <w:sz w:val="18"/>
              </w:rPr>
              <w:t>и</w:t>
            </w:r>
            <w:r>
              <w:rPr>
                <w:spacing w:val="9"/>
                <w:sz w:val="18"/>
              </w:rPr>
              <w:t> </w:t>
            </w:r>
            <w:r>
              <w:rPr>
                <w:spacing w:val="-2"/>
                <w:sz w:val="18"/>
              </w:rPr>
              <w:t>удержать</w:t>
            </w:r>
          </w:p>
          <w:p>
            <w:pPr>
              <w:pStyle w:val="TableParagraph"/>
              <w:spacing w:line="206" w:lineRule="exact"/>
              <w:ind w:left="107"/>
              <w:rPr>
                <w:sz w:val="18"/>
              </w:rPr>
            </w:pPr>
            <w:r>
              <w:rPr>
                <w:spacing w:val="-2"/>
                <w:sz w:val="18"/>
              </w:rPr>
              <w:t>эрекцию?</w:t>
            </w:r>
          </w:p>
        </w:tc>
        <w:tc>
          <w:tcPr>
            <w:tcW w:w="1419" w:type="dxa"/>
          </w:tcPr>
          <w:p>
            <w:pPr>
              <w:pStyle w:val="TableParagraph"/>
              <w:spacing w:line="202" w:lineRule="exact"/>
              <w:ind w:left="815"/>
              <w:rPr>
                <w:sz w:val="18"/>
              </w:rPr>
            </w:pPr>
            <w:r>
              <w:rPr>
                <w:spacing w:val="-5"/>
                <w:sz w:val="18"/>
              </w:rPr>
              <w:t>1-</w:t>
            </w:r>
          </w:p>
          <w:p>
            <w:pPr>
              <w:pStyle w:val="TableParagraph"/>
              <w:spacing w:before="102"/>
              <w:ind w:left="107"/>
              <w:rPr>
                <w:sz w:val="18"/>
              </w:rPr>
            </w:pPr>
            <w:r>
              <w:rPr>
                <w:sz w:val="18"/>
              </w:rPr>
              <w:t>Очень</w:t>
            </w:r>
            <w:r>
              <w:rPr>
                <w:spacing w:val="-4"/>
                <w:sz w:val="18"/>
              </w:rPr>
              <w:t> </w:t>
            </w:r>
            <w:r>
              <w:rPr>
                <w:spacing w:val="-2"/>
                <w:sz w:val="18"/>
              </w:rPr>
              <w:t>низкая</w:t>
            </w:r>
          </w:p>
        </w:tc>
        <w:tc>
          <w:tcPr>
            <w:tcW w:w="763" w:type="dxa"/>
            <w:tcBorders>
              <w:right w:val="nil"/>
            </w:tcBorders>
          </w:tcPr>
          <w:p>
            <w:pPr>
              <w:pStyle w:val="TableParagraph"/>
              <w:spacing w:before="97"/>
              <w:rPr>
                <w:sz w:val="18"/>
              </w:rPr>
            </w:pPr>
          </w:p>
          <w:p>
            <w:pPr>
              <w:pStyle w:val="TableParagraph"/>
              <w:ind w:left="56"/>
              <w:jc w:val="center"/>
              <w:rPr>
                <w:sz w:val="18"/>
              </w:rPr>
            </w:pPr>
            <w:r>
              <w:rPr>
                <w:sz w:val="18"/>
              </w:rPr>
              <w:t>-</w:t>
            </w:r>
            <w:r>
              <w:rPr>
                <w:spacing w:val="-2"/>
                <w:sz w:val="18"/>
              </w:rPr>
              <w:t>Низкая</w:t>
            </w:r>
          </w:p>
        </w:tc>
        <w:tc>
          <w:tcPr>
            <w:tcW w:w="229" w:type="dxa"/>
            <w:tcBorders>
              <w:left w:val="nil"/>
            </w:tcBorders>
          </w:tcPr>
          <w:p>
            <w:pPr>
              <w:pStyle w:val="TableParagraph"/>
              <w:spacing w:line="202" w:lineRule="exact"/>
              <w:ind w:right="22"/>
              <w:jc w:val="center"/>
              <w:rPr>
                <w:sz w:val="18"/>
              </w:rPr>
            </w:pPr>
            <w:r>
              <w:rPr>
                <w:spacing w:val="-10"/>
                <w:sz w:val="18"/>
              </w:rPr>
              <w:t>2</w:t>
            </w:r>
          </w:p>
        </w:tc>
        <w:tc>
          <w:tcPr>
            <w:tcW w:w="784" w:type="dxa"/>
            <w:tcBorders>
              <w:right w:val="nil"/>
            </w:tcBorders>
          </w:tcPr>
          <w:p>
            <w:pPr>
              <w:pStyle w:val="TableParagraph"/>
              <w:spacing w:before="97"/>
              <w:rPr>
                <w:sz w:val="18"/>
              </w:rPr>
            </w:pPr>
          </w:p>
          <w:p>
            <w:pPr>
              <w:pStyle w:val="TableParagraph"/>
              <w:ind w:right="26"/>
              <w:jc w:val="right"/>
              <w:rPr>
                <w:sz w:val="18"/>
              </w:rPr>
            </w:pPr>
            <w:r>
              <w:rPr>
                <w:spacing w:val="-2"/>
                <w:sz w:val="18"/>
              </w:rPr>
              <w:t>Средняя</w:t>
            </w:r>
          </w:p>
        </w:tc>
        <w:tc>
          <w:tcPr>
            <w:tcW w:w="493" w:type="dxa"/>
            <w:tcBorders>
              <w:left w:val="nil"/>
            </w:tcBorders>
          </w:tcPr>
          <w:p>
            <w:pPr>
              <w:pStyle w:val="TableParagraph"/>
              <w:spacing w:line="202" w:lineRule="exact"/>
              <w:ind w:left="35"/>
              <w:rPr>
                <w:sz w:val="18"/>
              </w:rPr>
            </w:pPr>
            <w:r>
              <w:rPr>
                <w:spacing w:val="-5"/>
                <w:sz w:val="18"/>
              </w:rPr>
              <w:t>3-</w:t>
            </w:r>
          </w:p>
        </w:tc>
        <w:tc>
          <w:tcPr>
            <w:tcW w:w="1275" w:type="dxa"/>
          </w:tcPr>
          <w:p>
            <w:pPr>
              <w:pStyle w:val="TableParagraph"/>
              <w:spacing w:line="202" w:lineRule="exact"/>
              <w:ind w:left="814"/>
              <w:rPr>
                <w:sz w:val="18"/>
              </w:rPr>
            </w:pPr>
            <w:r>
              <w:rPr>
                <w:spacing w:val="-5"/>
                <w:sz w:val="18"/>
              </w:rPr>
              <w:t>4-</w:t>
            </w:r>
          </w:p>
          <w:p>
            <w:pPr>
              <w:pStyle w:val="TableParagraph"/>
              <w:spacing w:before="102"/>
              <w:ind w:left="106"/>
              <w:rPr>
                <w:sz w:val="18"/>
              </w:rPr>
            </w:pPr>
            <w:r>
              <w:rPr>
                <w:spacing w:val="-2"/>
                <w:sz w:val="18"/>
              </w:rPr>
              <w:t>Высокая</w:t>
            </w:r>
          </w:p>
        </w:tc>
        <w:tc>
          <w:tcPr>
            <w:tcW w:w="2412" w:type="dxa"/>
          </w:tcPr>
          <w:p>
            <w:pPr>
              <w:pStyle w:val="TableParagraph"/>
              <w:spacing w:line="202" w:lineRule="exact"/>
              <w:ind w:right="288"/>
              <w:jc w:val="right"/>
              <w:rPr>
                <w:sz w:val="18"/>
              </w:rPr>
            </w:pPr>
            <w:r>
              <w:rPr>
                <w:sz w:val="18"/>
              </w:rPr>
              <w:t>5-Очень</w:t>
            </w:r>
            <w:r>
              <w:rPr>
                <w:spacing w:val="-5"/>
                <w:sz w:val="18"/>
              </w:rPr>
              <w:t> </w:t>
            </w:r>
            <w:r>
              <w:rPr>
                <w:spacing w:val="-2"/>
                <w:sz w:val="18"/>
              </w:rPr>
              <w:t>высокая</w:t>
            </w:r>
          </w:p>
        </w:tc>
      </w:tr>
    </w:tbl>
    <w:p>
      <w:pPr>
        <w:pStyle w:val="BodyText"/>
        <w:spacing w:before="13"/>
        <w:ind w:left="1450"/>
        <w:jc w:val="left"/>
      </w:pPr>
      <w:r>
        <w:rPr>
          <w:spacing w:val="-2"/>
        </w:rPr>
        <w:t>Ключ:</w:t>
      </w:r>
    </w:p>
    <w:p>
      <w:pPr>
        <w:pStyle w:val="BodyText"/>
        <w:spacing w:before="136"/>
        <w:ind w:left="1450"/>
        <w:jc w:val="left"/>
      </w:pPr>
      <w:r>
        <w:rPr/>
        <w:t>26–30</w:t>
      </w:r>
      <w:r>
        <w:rPr>
          <w:spacing w:val="-2"/>
        </w:rPr>
        <w:t> </w:t>
      </w:r>
      <w:r>
        <w:rPr/>
        <w:t>баллов</w:t>
      </w:r>
      <w:r>
        <w:rPr>
          <w:spacing w:val="-2"/>
        </w:rPr>
        <w:t> </w:t>
      </w:r>
      <w:r>
        <w:rPr/>
        <w:t>–</w:t>
      </w:r>
      <w:r>
        <w:rPr>
          <w:spacing w:val="-2"/>
        </w:rPr>
        <w:t> </w:t>
      </w:r>
      <w:r>
        <w:rPr/>
        <w:t>нет</w:t>
      </w:r>
      <w:r>
        <w:rPr>
          <w:spacing w:val="-2"/>
        </w:rPr>
        <w:t> </w:t>
      </w:r>
      <w:r>
        <w:rPr/>
        <w:t>эректильной</w:t>
      </w:r>
      <w:r>
        <w:rPr>
          <w:spacing w:val="-1"/>
        </w:rPr>
        <w:t> </w:t>
      </w:r>
      <w:r>
        <w:rPr>
          <w:spacing w:val="-2"/>
        </w:rPr>
        <w:t>дисфункции.</w:t>
      </w:r>
    </w:p>
    <w:p>
      <w:pPr>
        <w:pStyle w:val="BodyText"/>
        <w:spacing w:line="360" w:lineRule="auto" w:before="140"/>
        <w:ind w:left="1450" w:right="3074"/>
        <w:jc w:val="left"/>
      </w:pPr>
      <w:r>
        <w:rPr/>
        <w:t>18–25 баллов – легкая степень эректильной дисфункции. 11–17</w:t>
      </w:r>
      <w:r>
        <w:rPr>
          <w:spacing w:val="-7"/>
        </w:rPr>
        <w:t> </w:t>
      </w:r>
      <w:r>
        <w:rPr/>
        <w:t>баллов</w:t>
      </w:r>
      <w:r>
        <w:rPr>
          <w:spacing w:val="-7"/>
        </w:rPr>
        <w:t> </w:t>
      </w:r>
      <w:r>
        <w:rPr/>
        <w:t>–</w:t>
      </w:r>
      <w:r>
        <w:rPr>
          <w:spacing w:val="-7"/>
        </w:rPr>
        <w:t> </w:t>
      </w:r>
      <w:r>
        <w:rPr/>
        <w:t>средняя</w:t>
      </w:r>
      <w:r>
        <w:rPr>
          <w:spacing w:val="-5"/>
        </w:rPr>
        <w:t> </w:t>
      </w:r>
      <w:r>
        <w:rPr/>
        <w:t>степень</w:t>
      </w:r>
      <w:r>
        <w:rPr>
          <w:spacing w:val="-7"/>
        </w:rPr>
        <w:t> </w:t>
      </w:r>
      <w:r>
        <w:rPr/>
        <w:t>эректильной</w:t>
      </w:r>
      <w:r>
        <w:rPr>
          <w:spacing w:val="-7"/>
        </w:rPr>
        <w:t> </w:t>
      </w:r>
      <w:r>
        <w:rPr/>
        <w:t>дисфункции. 6–10 баллов – тяжелая степень эректильной дисфункции. </w:t>
      </w:r>
      <w:r>
        <w:rPr>
          <w:spacing w:val="-2"/>
        </w:rPr>
        <w:t>Пояснения:</w:t>
      </w:r>
    </w:p>
    <w:p>
      <w:pPr>
        <w:pStyle w:val="BodyText"/>
        <w:spacing w:line="360" w:lineRule="auto"/>
        <w:ind w:right="828" w:firstLine="707"/>
        <w:jc w:val="left"/>
      </w:pPr>
      <w:r>
        <w:rPr>
          <w:vertAlign w:val="superscript"/>
        </w:rPr>
        <w:t>1</w:t>
      </w:r>
      <w:r>
        <w:rPr>
          <w:vertAlign w:val="baseline"/>
        </w:rPr>
        <w:t>К</w:t>
      </w:r>
      <w:r>
        <w:rPr>
          <w:spacing w:val="80"/>
          <w:vertAlign w:val="baseline"/>
        </w:rPr>
        <w:t> </w:t>
      </w:r>
      <w:r>
        <w:rPr>
          <w:vertAlign w:val="baseline"/>
        </w:rPr>
        <w:t>сексуальной</w:t>
      </w:r>
      <w:r>
        <w:rPr>
          <w:spacing w:val="80"/>
          <w:vertAlign w:val="baseline"/>
        </w:rPr>
        <w:t> </w:t>
      </w:r>
      <w:r>
        <w:rPr>
          <w:vertAlign w:val="baseline"/>
        </w:rPr>
        <w:t>активности</w:t>
      </w:r>
      <w:r>
        <w:rPr>
          <w:spacing w:val="80"/>
          <w:vertAlign w:val="baseline"/>
        </w:rPr>
        <w:t> </w:t>
      </w:r>
      <w:r>
        <w:rPr>
          <w:vertAlign w:val="baseline"/>
        </w:rPr>
        <w:t>относятся</w:t>
      </w:r>
      <w:r>
        <w:rPr>
          <w:spacing w:val="80"/>
          <w:vertAlign w:val="baseline"/>
        </w:rPr>
        <w:t> </w:t>
      </w:r>
      <w:r>
        <w:rPr>
          <w:vertAlign w:val="baseline"/>
        </w:rPr>
        <w:t>половой</w:t>
      </w:r>
      <w:r>
        <w:rPr>
          <w:spacing w:val="80"/>
          <w:vertAlign w:val="baseline"/>
        </w:rPr>
        <w:t> </w:t>
      </w:r>
      <w:r>
        <w:rPr>
          <w:vertAlign w:val="baseline"/>
        </w:rPr>
        <w:t>акт,</w:t>
      </w:r>
      <w:r>
        <w:rPr>
          <w:spacing w:val="80"/>
          <w:vertAlign w:val="baseline"/>
        </w:rPr>
        <w:t> </w:t>
      </w:r>
      <w:r>
        <w:rPr>
          <w:vertAlign w:val="baseline"/>
        </w:rPr>
        <w:t>ласки,</w:t>
      </w:r>
      <w:r>
        <w:rPr>
          <w:spacing w:val="80"/>
          <w:vertAlign w:val="baseline"/>
        </w:rPr>
        <w:t> </w:t>
      </w:r>
      <w:r>
        <w:rPr>
          <w:vertAlign w:val="baseline"/>
        </w:rPr>
        <w:t>предшествующие</w:t>
      </w:r>
      <w:r>
        <w:rPr>
          <w:spacing w:val="80"/>
          <w:vertAlign w:val="baseline"/>
        </w:rPr>
        <w:t> </w:t>
      </w:r>
      <w:r>
        <w:rPr>
          <w:vertAlign w:val="baseline"/>
        </w:rPr>
        <w:t>половому акту, и мастурбация.</w:t>
      </w:r>
    </w:p>
    <w:p>
      <w:pPr>
        <w:pStyle w:val="BodyText"/>
        <w:spacing w:line="360" w:lineRule="auto"/>
        <w:ind w:firstLine="707"/>
        <w:jc w:val="left"/>
      </w:pPr>
      <w:r>
        <w:rPr>
          <w:vertAlign w:val="superscript"/>
        </w:rPr>
        <w:t>2</w:t>
      </w:r>
      <w:r>
        <w:rPr>
          <w:vertAlign w:val="baseline"/>
        </w:rPr>
        <w:t>Сексуальная стимуляция включает в себя такие действия, как эротические игры с сексуальной партнершей, просмотр эротических фильмов, фотографий, рисунков и т.д.</w:t>
      </w:r>
    </w:p>
    <w:p>
      <w:pPr>
        <w:pStyle w:val="BodyText"/>
        <w:spacing w:before="1"/>
        <w:ind w:left="1450"/>
        <w:jc w:val="left"/>
      </w:pPr>
      <w:r>
        <w:rPr>
          <w:vertAlign w:val="superscript"/>
        </w:rPr>
        <w:t>3</w:t>
      </w:r>
      <w:r>
        <w:rPr>
          <w:vertAlign w:val="baseline"/>
        </w:rPr>
        <w:t>Половой</w:t>
      </w:r>
      <w:r>
        <w:rPr>
          <w:spacing w:val="-4"/>
          <w:vertAlign w:val="baseline"/>
        </w:rPr>
        <w:t> </w:t>
      </w:r>
      <w:r>
        <w:rPr>
          <w:vertAlign w:val="baseline"/>
        </w:rPr>
        <w:t>акт</w:t>
      </w:r>
      <w:r>
        <w:rPr>
          <w:spacing w:val="-2"/>
          <w:vertAlign w:val="baseline"/>
        </w:rPr>
        <w:t> </w:t>
      </w:r>
      <w:r>
        <w:rPr>
          <w:vertAlign w:val="baseline"/>
        </w:rPr>
        <w:t>определяется</w:t>
      </w:r>
      <w:r>
        <w:rPr>
          <w:spacing w:val="-2"/>
          <w:vertAlign w:val="baseline"/>
        </w:rPr>
        <w:t> </w:t>
      </w:r>
      <w:r>
        <w:rPr>
          <w:vertAlign w:val="baseline"/>
        </w:rPr>
        <w:t>как</w:t>
      </w:r>
      <w:r>
        <w:rPr>
          <w:spacing w:val="-3"/>
          <w:vertAlign w:val="baseline"/>
        </w:rPr>
        <w:t> </w:t>
      </w:r>
      <w:r>
        <w:rPr>
          <w:vertAlign w:val="baseline"/>
        </w:rPr>
        <w:t>введение</w:t>
      </w:r>
      <w:r>
        <w:rPr>
          <w:spacing w:val="-3"/>
          <w:vertAlign w:val="baseline"/>
        </w:rPr>
        <w:t> </w:t>
      </w:r>
      <w:r>
        <w:rPr>
          <w:vertAlign w:val="baseline"/>
        </w:rPr>
        <w:t>полового</w:t>
      </w:r>
      <w:r>
        <w:rPr>
          <w:spacing w:val="-2"/>
          <w:vertAlign w:val="baseline"/>
        </w:rPr>
        <w:t> </w:t>
      </w:r>
      <w:r>
        <w:rPr>
          <w:vertAlign w:val="baseline"/>
        </w:rPr>
        <w:t>члена</w:t>
      </w:r>
      <w:r>
        <w:rPr>
          <w:spacing w:val="-3"/>
          <w:vertAlign w:val="baseline"/>
        </w:rPr>
        <w:t> </w:t>
      </w:r>
      <w:r>
        <w:rPr>
          <w:vertAlign w:val="baseline"/>
        </w:rPr>
        <w:t>во</w:t>
      </w:r>
      <w:r>
        <w:rPr>
          <w:spacing w:val="-3"/>
          <w:vertAlign w:val="baseline"/>
        </w:rPr>
        <w:t> </w:t>
      </w:r>
      <w:r>
        <w:rPr>
          <w:spacing w:val="-2"/>
          <w:vertAlign w:val="baseline"/>
        </w:rPr>
        <w:t>влагалище.</w:t>
      </w:r>
    </w:p>
    <w:p>
      <w:pPr>
        <w:pStyle w:val="BodyText"/>
        <w:spacing w:before="137"/>
        <w:ind w:left="1450"/>
        <w:jc w:val="left"/>
      </w:pPr>
      <w:r>
        <w:rPr>
          <w:vertAlign w:val="superscript"/>
        </w:rPr>
        <w:t>4</w:t>
      </w:r>
      <w:r>
        <w:rPr>
          <w:vertAlign w:val="baseline"/>
        </w:rPr>
        <w:t>Эякуляция</w:t>
      </w:r>
      <w:r>
        <w:rPr>
          <w:spacing w:val="-2"/>
          <w:vertAlign w:val="baseline"/>
        </w:rPr>
        <w:t> </w:t>
      </w:r>
      <w:r>
        <w:rPr>
          <w:vertAlign w:val="baseline"/>
        </w:rPr>
        <w:t>определяется</w:t>
      </w:r>
      <w:r>
        <w:rPr>
          <w:spacing w:val="-2"/>
          <w:vertAlign w:val="baseline"/>
        </w:rPr>
        <w:t> </w:t>
      </w:r>
      <w:r>
        <w:rPr>
          <w:vertAlign w:val="baseline"/>
        </w:rPr>
        <w:t>как</w:t>
      </w:r>
      <w:r>
        <w:rPr>
          <w:spacing w:val="-2"/>
          <w:vertAlign w:val="baseline"/>
        </w:rPr>
        <w:t> </w:t>
      </w:r>
      <w:r>
        <w:rPr>
          <w:vertAlign w:val="baseline"/>
        </w:rPr>
        <w:t>выброс</w:t>
      </w:r>
      <w:r>
        <w:rPr>
          <w:spacing w:val="-2"/>
          <w:vertAlign w:val="baseline"/>
        </w:rPr>
        <w:t> </w:t>
      </w:r>
      <w:r>
        <w:rPr>
          <w:vertAlign w:val="baseline"/>
        </w:rPr>
        <w:t>спермы</w:t>
      </w:r>
      <w:r>
        <w:rPr>
          <w:spacing w:val="-2"/>
          <w:vertAlign w:val="baseline"/>
        </w:rPr>
        <w:t> </w:t>
      </w:r>
      <w:r>
        <w:rPr>
          <w:vertAlign w:val="baseline"/>
        </w:rPr>
        <w:t>из</w:t>
      </w:r>
      <w:r>
        <w:rPr>
          <w:spacing w:val="-2"/>
          <w:vertAlign w:val="baseline"/>
        </w:rPr>
        <w:t> </w:t>
      </w:r>
      <w:r>
        <w:rPr>
          <w:vertAlign w:val="baseline"/>
        </w:rPr>
        <w:t>полового</w:t>
      </w:r>
      <w:r>
        <w:rPr>
          <w:spacing w:val="-2"/>
          <w:vertAlign w:val="baseline"/>
        </w:rPr>
        <w:t> члена.</w:t>
      </w:r>
    </w:p>
    <w:p>
      <w:pPr>
        <w:pStyle w:val="BodyText"/>
        <w:ind w:left="0"/>
        <w:jc w:val="left"/>
      </w:pPr>
    </w:p>
    <w:p>
      <w:pPr>
        <w:pStyle w:val="BodyText"/>
        <w:ind w:left="0"/>
        <w:jc w:val="left"/>
      </w:pPr>
    </w:p>
    <w:p>
      <w:pPr>
        <w:pStyle w:val="BodyText"/>
        <w:spacing w:line="360" w:lineRule="auto"/>
        <w:ind w:right="829" w:firstLine="707"/>
      </w:pPr>
      <w:r>
        <w:rPr/>
        <w:t>МИЭФ-5: Международный индекс эректильной функции-5/IIEF-5: International Index of Erectile Function-5 [83]</w:t>
      </w:r>
    </w:p>
    <w:p>
      <w:pPr>
        <w:pStyle w:val="BodyText"/>
        <w:spacing w:line="360" w:lineRule="auto" w:after="8"/>
        <w:ind w:right="831" w:firstLine="707"/>
      </w:pPr>
      <w:r>
        <w:rPr/>
        <w:t>Назначение: оценка степени выраженности эректильной дисфункции. Укороченная версия опросника, не оценивающая другие, кроме эректильной функции, виды сексуальных нарушений.</w:t>
      </w:r>
    </w:p>
    <w:tbl>
      <w:tblPr>
        <w:tblW w:w="0" w:type="auto"/>
        <w:jc w:val="left"/>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37"/>
        <w:gridCol w:w="1452"/>
        <w:gridCol w:w="1133"/>
        <w:gridCol w:w="1389"/>
        <w:gridCol w:w="1373"/>
        <w:gridCol w:w="1087"/>
      </w:tblGrid>
      <w:tr>
        <w:trPr>
          <w:trHeight w:val="758" w:hRule="atLeast"/>
        </w:trPr>
        <w:tc>
          <w:tcPr>
            <w:tcW w:w="3137" w:type="dxa"/>
          </w:tcPr>
          <w:p>
            <w:pPr>
              <w:pStyle w:val="TableParagraph"/>
              <w:rPr>
                <w:sz w:val="20"/>
              </w:rPr>
            </w:pPr>
          </w:p>
        </w:tc>
        <w:tc>
          <w:tcPr>
            <w:tcW w:w="1452" w:type="dxa"/>
          </w:tcPr>
          <w:p>
            <w:pPr>
              <w:pStyle w:val="TableParagraph"/>
              <w:spacing w:line="247" w:lineRule="exact"/>
              <w:ind w:right="148"/>
              <w:jc w:val="right"/>
              <w:rPr>
                <w:sz w:val="22"/>
              </w:rPr>
            </w:pPr>
            <w:r>
              <w:rPr>
                <w:spacing w:val="-4"/>
                <w:sz w:val="22"/>
              </w:rPr>
              <w:t>Почт</w:t>
            </w:r>
          </w:p>
          <w:p>
            <w:pPr>
              <w:pStyle w:val="TableParagraph"/>
              <w:tabs>
                <w:tab w:pos="482" w:val="left" w:leader="none"/>
              </w:tabs>
              <w:spacing w:before="126"/>
              <w:ind w:right="95"/>
              <w:jc w:val="right"/>
              <w:rPr>
                <w:sz w:val="22"/>
              </w:rPr>
            </w:pPr>
            <w:r>
              <w:rPr>
                <w:spacing w:val="-10"/>
                <w:sz w:val="22"/>
              </w:rPr>
              <w:t>и</w:t>
            </w:r>
            <w:r>
              <w:rPr>
                <w:sz w:val="22"/>
              </w:rPr>
              <w:tab/>
            </w:r>
            <w:r>
              <w:rPr>
                <w:spacing w:val="-2"/>
                <w:sz w:val="22"/>
              </w:rPr>
              <w:t>никогда</w:t>
            </w:r>
          </w:p>
        </w:tc>
        <w:tc>
          <w:tcPr>
            <w:tcW w:w="1133" w:type="dxa"/>
          </w:tcPr>
          <w:p>
            <w:pPr>
              <w:pStyle w:val="TableParagraph"/>
              <w:spacing w:line="247" w:lineRule="exact"/>
              <w:ind w:right="184"/>
              <w:jc w:val="right"/>
              <w:rPr>
                <w:sz w:val="22"/>
              </w:rPr>
            </w:pPr>
            <w:r>
              <w:rPr>
                <w:spacing w:val="-10"/>
                <w:sz w:val="22"/>
              </w:rPr>
              <w:t>Р</w:t>
            </w:r>
          </w:p>
          <w:p>
            <w:pPr>
              <w:pStyle w:val="TableParagraph"/>
              <w:spacing w:before="126"/>
              <w:ind w:left="105"/>
              <w:rPr>
                <w:sz w:val="22"/>
              </w:rPr>
            </w:pPr>
            <w:r>
              <w:rPr>
                <w:spacing w:val="-4"/>
                <w:sz w:val="22"/>
              </w:rPr>
              <w:t>едко</w:t>
            </w:r>
          </w:p>
        </w:tc>
        <w:tc>
          <w:tcPr>
            <w:tcW w:w="1389" w:type="dxa"/>
          </w:tcPr>
          <w:p>
            <w:pPr>
              <w:pStyle w:val="TableParagraph"/>
              <w:spacing w:line="247" w:lineRule="exact"/>
              <w:ind w:left="813"/>
              <w:rPr>
                <w:sz w:val="22"/>
              </w:rPr>
            </w:pPr>
            <w:r>
              <w:rPr>
                <w:spacing w:val="-5"/>
                <w:sz w:val="22"/>
              </w:rPr>
              <w:t>Ино</w:t>
            </w:r>
          </w:p>
          <w:p>
            <w:pPr>
              <w:pStyle w:val="TableParagraph"/>
              <w:spacing w:before="126"/>
              <w:ind w:left="105"/>
              <w:rPr>
                <w:sz w:val="22"/>
              </w:rPr>
            </w:pPr>
            <w:r>
              <w:rPr>
                <w:spacing w:val="-5"/>
                <w:sz w:val="22"/>
              </w:rPr>
              <w:t>гда</w:t>
            </w:r>
          </w:p>
        </w:tc>
        <w:tc>
          <w:tcPr>
            <w:tcW w:w="1373" w:type="dxa"/>
          </w:tcPr>
          <w:p>
            <w:pPr>
              <w:pStyle w:val="TableParagraph"/>
              <w:spacing w:line="247" w:lineRule="exact"/>
              <w:ind w:right="107"/>
              <w:jc w:val="right"/>
              <w:rPr>
                <w:sz w:val="22"/>
              </w:rPr>
            </w:pPr>
            <w:r>
              <w:rPr>
                <w:spacing w:val="-4"/>
                <w:sz w:val="22"/>
              </w:rPr>
              <w:t>Част</w:t>
            </w:r>
          </w:p>
          <w:p>
            <w:pPr>
              <w:pStyle w:val="TableParagraph"/>
              <w:tabs>
                <w:tab w:pos="501" w:val="left" w:leader="none"/>
              </w:tabs>
              <w:spacing w:before="126"/>
              <w:ind w:right="95"/>
              <w:jc w:val="right"/>
              <w:rPr>
                <w:sz w:val="22"/>
              </w:rPr>
            </w:pPr>
            <w:r>
              <w:rPr>
                <w:spacing w:val="-10"/>
                <w:sz w:val="22"/>
              </w:rPr>
              <w:t>о</w:t>
            </w:r>
            <w:r>
              <w:rPr>
                <w:sz w:val="22"/>
              </w:rPr>
              <w:tab/>
            </w:r>
            <w:r>
              <w:rPr>
                <w:spacing w:val="-2"/>
                <w:sz w:val="22"/>
              </w:rPr>
              <w:t>(более,</w:t>
            </w:r>
          </w:p>
        </w:tc>
        <w:tc>
          <w:tcPr>
            <w:tcW w:w="1087" w:type="dxa"/>
          </w:tcPr>
          <w:p>
            <w:pPr>
              <w:pStyle w:val="TableParagraph"/>
              <w:spacing w:line="247" w:lineRule="exact"/>
              <w:ind w:right="100"/>
              <w:jc w:val="right"/>
              <w:rPr>
                <w:sz w:val="22"/>
              </w:rPr>
            </w:pPr>
            <w:r>
              <w:rPr>
                <w:spacing w:val="-10"/>
                <w:sz w:val="22"/>
              </w:rPr>
              <w:t>П</w:t>
            </w:r>
          </w:p>
          <w:p>
            <w:pPr>
              <w:pStyle w:val="TableParagraph"/>
              <w:spacing w:before="126"/>
              <w:ind w:left="106"/>
              <w:rPr>
                <w:sz w:val="22"/>
              </w:rPr>
            </w:pPr>
            <w:r>
              <w:rPr>
                <w:spacing w:val="-4"/>
                <w:sz w:val="22"/>
              </w:rPr>
              <w:t>очти</w:t>
            </w:r>
          </w:p>
        </w:tc>
      </w:tr>
    </w:tbl>
    <w:p>
      <w:pPr>
        <w:spacing w:after="0"/>
        <w:rPr>
          <w:sz w:val="22"/>
        </w:rPr>
        <w:sectPr>
          <w:type w:val="continuous"/>
          <w:pgSz w:w="11910" w:h="16840"/>
          <w:pgMar w:header="0" w:footer="867" w:top="1720" w:bottom="1060" w:left="960" w:right="20"/>
        </w:sectPr>
      </w:pPr>
    </w:p>
    <w:tbl>
      <w:tblPr>
        <w:tblW w:w="0" w:type="auto"/>
        <w:jc w:val="left"/>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55"/>
        <w:gridCol w:w="2482"/>
        <w:gridCol w:w="1452"/>
        <w:gridCol w:w="1133"/>
        <w:gridCol w:w="1389"/>
        <w:gridCol w:w="1373"/>
        <w:gridCol w:w="1087"/>
      </w:tblGrid>
      <w:tr>
        <w:trPr>
          <w:trHeight w:val="1516" w:hRule="atLeast"/>
        </w:trPr>
        <w:tc>
          <w:tcPr>
            <w:tcW w:w="3137" w:type="dxa"/>
            <w:gridSpan w:val="2"/>
          </w:tcPr>
          <w:p>
            <w:pPr>
              <w:pStyle w:val="TableParagraph"/>
              <w:rPr>
                <w:sz w:val="22"/>
              </w:rPr>
            </w:pPr>
          </w:p>
        </w:tc>
        <w:tc>
          <w:tcPr>
            <w:tcW w:w="1452" w:type="dxa"/>
          </w:tcPr>
          <w:p>
            <w:pPr>
              <w:pStyle w:val="TableParagraph"/>
              <w:spacing w:line="247" w:lineRule="exact"/>
              <w:ind w:left="108"/>
              <w:rPr>
                <w:sz w:val="22"/>
              </w:rPr>
            </w:pPr>
            <w:r>
              <w:rPr>
                <w:sz w:val="22"/>
              </w:rPr>
              <w:t>или</w:t>
            </w:r>
            <w:r>
              <w:rPr>
                <w:spacing w:val="-5"/>
                <w:sz w:val="22"/>
              </w:rPr>
              <w:t> </w:t>
            </w:r>
            <w:r>
              <w:rPr>
                <w:spacing w:val="-2"/>
                <w:sz w:val="22"/>
              </w:rPr>
              <w:t>никогда</w:t>
            </w:r>
          </w:p>
        </w:tc>
        <w:tc>
          <w:tcPr>
            <w:tcW w:w="1133" w:type="dxa"/>
          </w:tcPr>
          <w:p>
            <w:pPr>
              <w:pStyle w:val="TableParagraph"/>
              <w:spacing w:line="247" w:lineRule="exact"/>
              <w:ind w:left="105"/>
              <w:rPr>
                <w:sz w:val="22"/>
              </w:rPr>
            </w:pPr>
            <w:r>
              <w:rPr>
                <w:spacing w:val="-2"/>
                <w:sz w:val="22"/>
              </w:rPr>
              <w:t>(реже,</w:t>
            </w:r>
          </w:p>
          <w:p>
            <w:pPr>
              <w:pStyle w:val="TableParagraph"/>
              <w:tabs>
                <w:tab w:pos="919" w:val="left" w:leader="none"/>
              </w:tabs>
              <w:spacing w:before="126"/>
              <w:ind w:left="105"/>
              <w:rPr>
                <w:sz w:val="22"/>
              </w:rPr>
            </w:pPr>
            <w:r>
              <w:rPr>
                <w:spacing w:val="-5"/>
                <w:sz w:val="22"/>
              </w:rPr>
              <w:t>чем</w:t>
            </w:r>
            <w:r>
              <w:rPr>
                <w:sz w:val="22"/>
              </w:rPr>
              <w:tab/>
            </w:r>
            <w:r>
              <w:rPr>
                <w:spacing w:val="-10"/>
                <w:sz w:val="22"/>
              </w:rPr>
              <w:t>в</w:t>
            </w:r>
          </w:p>
          <w:p>
            <w:pPr>
              <w:pStyle w:val="TableParagraph"/>
              <w:spacing w:line="380" w:lineRule="atLeast"/>
              <w:ind w:left="105" w:right="129"/>
              <w:rPr>
                <w:sz w:val="22"/>
              </w:rPr>
            </w:pPr>
            <w:r>
              <w:rPr>
                <w:spacing w:val="-2"/>
                <w:sz w:val="22"/>
              </w:rPr>
              <w:t>половине случаев)</w:t>
            </w:r>
          </w:p>
        </w:tc>
        <w:tc>
          <w:tcPr>
            <w:tcW w:w="1389" w:type="dxa"/>
          </w:tcPr>
          <w:p>
            <w:pPr>
              <w:pStyle w:val="TableParagraph"/>
              <w:spacing w:line="360" w:lineRule="auto"/>
              <w:ind w:left="105"/>
              <w:rPr>
                <w:sz w:val="22"/>
              </w:rPr>
            </w:pPr>
            <w:r>
              <w:rPr>
                <w:sz w:val="22"/>
              </w:rPr>
              <w:t>(примерно</w:t>
            </w:r>
            <w:r>
              <w:rPr>
                <w:spacing w:val="-6"/>
                <w:sz w:val="22"/>
              </w:rPr>
              <w:t> </w:t>
            </w:r>
            <w:r>
              <w:rPr>
                <w:sz w:val="22"/>
              </w:rPr>
              <w:t>в </w:t>
            </w:r>
            <w:r>
              <w:rPr>
                <w:spacing w:val="-2"/>
                <w:sz w:val="22"/>
              </w:rPr>
              <w:t>половине случаев)</w:t>
            </w:r>
          </w:p>
        </w:tc>
        <w:tc>
          <w:tcPr>
            <w:tcW w:w="1373" w:type="dxa"/>
          </w:tcPr>
          <w:p>
            <w:pPr>
              <w:pStyle w:val="TableParagraph"/>
              <w:tabs>
                <w:tab w:pos="1159" w:val="left" w:leader="none"/>
              </w:tabs>
              <w:spacing w:line="247" w:lineRule="exact"/>
              <w:ind w:left="106"/>
              <w:rPr>
                <w:sz w:val="22"/>
              </w:rPr>
            </w:pPr>
            <w:r>
              <w:rPr>
                <w:spacing w:val="-5"/>
                <w:sz w:val="22"/>
              </w:rPr>
              <w:t>чем</w:t>
            </w:r>
            <w:r>
              <w:rPr>
                <w:sz w:val="22"/>
              </w:rPr>
              <w:tab/>
            </w:r>
            <w:r>
              <w:rPr>
                <w:spacing w:val="-10"/>
                <w:sz w:val="22"/>
              </w:rPr>
              <w:t>в</w:t>
            </w:r>
          </w:p>
          <w:p>
            <w:pPr>
              <w:pStyle w:val="TableParagraph"/>
              <w:spacing w:line="360" w:lineRule="auto" w:before="126"/>
              <w:ind w:left="106" w:right="368"/>
              <w:rPr>
                <w:sz w:val="22"/>
              </w:rPr>
            </w:pPr>
            <w:r>
              <w:rPr>
                <w:spacing w:val="-2"/>
                <w:sz w:val="22"/>
              </w:rPr>
              <w:t>половине случаев)</w:t>
            </w:r>
          </w:p>
        </w:tc>
        <w:tc>
          <w:tcPr>
            <w:tcW w:w="1087" w:type="dxa"/>
          </w:tcPr>
          <w:p>
            <w:pPr>
              <w:pStyle w:val="TableParagraph"/>
              <w:spacing w:line="360" w:lineRule="auto"/>
              <w:ind w:left="106" w:right="364"/>
              <w:rPr>
                <w:sz w:val="22"/>
              </w:rPr>
            </w:pPr>
            <w:r>
              <w:rPr>
                <w:spacing w:val="-2"/>
                <w:sz w:val="22"/>
              </w:rPr>
              <w:t>всегда </w:t>
            </w:r>
            <w:r>
              <w:rPr>
                <w:spacing w:val="-4"/>
                <w:sz w:val="22"/>
              </w:rPr>
              <w:t>или </w:t>
            </w:r>
            <w:r>
              <w:rPr>
                <w:spacing w:val="-2"/>
                <w:sz w:val="22"/>
              </w:rPr>
              <w:t>всегда</w:t>
            </w:r>
          </w:p>
        </w:tc>
      </w:tr>
      <w:tr>
        <w:trPr>
          <w:trHeight w:val="1139" w:hRule="atLeast"/>
        </w:trPr>
        <w:tc>
          <w:tcPr>
            <w:tcW w:w="3137" w:type="dxa"/>
            <w:gridSpan w:val="2"/>
          </w:tcPr>
          <w:p>
            <w:pPr>
              <w:pStyle w:val="TableParagraph"/>
              <w:rPr>
                <w:sz w:val="22"/>
              </w:rPr>
            </w:pPr>
          </w:p>
        </w:tc>
        <w:tc>
          <w:tcPr>
            <w:tcW w:w="1452" w:type="dxa"/>
          </w:tcPr>
          <w:p>
            <w:pPr>
              <w:pStyle w:val="TableParagraph"/>
              <w:spacing w:line="247" w:lineRule="exact"/>
              <w:ind w:left="816"/>
              <w:rPr>
                <w:sz w:val="22"/>
              </w:rPr>
            </w:pPr>
            <w:r>
              <w:rPr>
                <w:spacing w:val="-2"/>
                <w:sz w:val="22"/>
              </w:rPr>
              <w:t>чрезв</w:t>
            </w:r>
          </w:p>
          <w:p>
            <w:pPr>
              <w:pStyle w:val="TableParagraph"/>
              <w:spacing w:line="382" w:lineRule="exact" w:before="26"/>
              <w:ind w:left="108" w:right="624"/>
              <w:rPr>
                <w:sz w:val="22"/>
              </w:rPr>
            </w:pPr>
            <w:r>
              <w:rPr>
                <w:spacing w:val="-2"/>
                <w:sz w:val="22"/>
              </w:rPr>
              <w:t>ычайно трудно</w:t>
            </w:r>
          </w:p>
        </w:tc>
        <w:tc>
          <w:tcPr>
            <w:tcW w:w="1133" w:type="dxa"/>
          </w:tcPr>
          <w:p>
            <w:pPr>
              <w:pStyle w:val="TableParagraph"/>
              <w:spacing w:line="247" w:lineRule="exact"/>
              <w:ind w:left="814"/>
              <w:rPr>
                <w:sz w:val="22"/>
              </w:rPr>
            </w:pPr>
            <w:r>
              <w:rPr>
                <w:spacing w:val="-10"/>
                <w:sz w:val="22"/>
              </w:rPr>
              <w:t>о</w:t>
            </w:r>
          </w:p>
          <w:p>
            <w:pPr>
              <w:pStyle w:val="TableParagraph"/>
              <w:spacing w:line="382" w:lineRule="exact" w:before="26"/>
              <w:ind w:left="105" w:right="354"/>
              <w:rPr>
                <w:sz w:val="22"/>
              </w:rPr>
            </w:pPr>
            <w:r>
              <w:rPr>
                <w:spacing w:val="-4"/>
                <w:sz w:val="22"/>
              </w:rPr>
              <w:t>чень </w:t>
            </w:r>
            <w:r>
              <w:rPr>
                <w:spacing w:val="-2"/>
                <w:sz w:val="22"/>
              </w:rPr>
              <w:t>трудно</w:t>
            </w:r>
          </w:p>
        </w:tc>
        <w:tc>
          <w:tcPr>
            <w:tcW w:w="1389" w:type="dxa"/>
          </w:tcPr>
          <w:p>
            <w:pPr>
              <w:pStyle w:val="TableParagraph"/>
              <w:spacing w:line="247" w:lineRule="exact"/>
              <w:ind w:left="813"/>
              <w:rPr>
                <w:sz w:val="22"/>
              </w:rPr>
            </w:pPr>
            <w:r>
              <w:rPr>
                <w:spacing w:val="-4"/>
                <w:sz w:val="22"/>
              </w:rPr>
              <w:t>труд</w:t>
            </w:r>
          </w:p>
          <w:p>
            <w:pPr>
              <w:pStyle w:val="TableParagraph"/>
              <w:spacing w:before="126"/>
              <w:ind w:left="105"/>
              <w:rPr>
                <w:sz w:val="22"/>
              </w:rPr>
            </w:pPr>
            <w:r>
              <w:rPr>
                <w:spacing w:val="-5"/>
                <w:sz w:val="22"/>
              </w:rPr>
              <w:t>но</w:t>
            </w:r>
          </w:p>
        </w:tc>
        <w:tc>
          <w:tcPr>
            <w:tcW w:w="1373" w:type="dxa"/>
          </w:tcPr>
          <w:p>
            <w:pPr>
              <w:pStyle w:val="TableParagraph"/>
              <w:spacing w:line="247" w:lineRule="exact"/>
              <w:ind w:left="815"/>
              <w:rPr>
                <w:sz w:val="22"/>
              </w:rPr>
            </w:pPr>
            <w:r>
              <w:rPr>
                <w:spacing w:val="-5"/>
                <w:sz w:val="22"/>
              </w:rPr>
              <w:t>не</w:t>
            </w:r>
          </w:p>
          <w:p>
            <w:pPr>
              <w:pStyle w:val="TableParagraph"/>
              <w:spacing w:line="382" w:lineRule="exact" w:before="26"/>
              <w:ind w:left="106" w:right="593"/>
              <w:rPr>
                <w:sz w:val="22"/>
              </w:rPr>
            </w:pPr>
            <w:r>
              <w:rPr>
                <w:spacing w:val="-2"/>
                <w:sz w:val="22"/>
              </w:rPr>
              <w:t>очень трудно</w:t>
            </w:r>
          </w:p>
        </w:tc>
        <w:tc>
          <w:tcPr>
            <w:tcW w:w="1087" w:type="dxa"/>
          </w:tcPr>
          <w:p>
            <w:pPr>
              <w:pStyle w:val="TableParagraph"/>
              <w:spacing w:line="360" w:lineRule="auto"/>
              <w:ind w:left="106" w:right="135" w:firstLine="708"/>
              <w:rPr>
                <w:sz w:val="22"/>
              </w:rPr>
            </w:pPr>
            <w:r>
              <w:rPr>
                <w:spacing w:val="-10"/>
                <w:sz w:val="22"/>
              </w:rPr>
              <w:t>н </w:t>
            </w:r>
            <w:r>
              <w:rPr>
                <w:spacing w:val="-2"/>
                <w:sz w:val="22"/>
              </w:rPr>
              <w:t>етрудно</w:t>
            </w:r>
          </w:p>
        </w:tc>
      </w:tr>
      <w:tr>
        <w:trPr>
          <w:trHeight w:val="1896" w:hRule="atLeast"/>
        </w:trPr>
        <w:tc>
          <w:tcPr>
            <w:tcW w:w="655" w:type="dxa"/>
          </w:tcPr>
          <w:p>
            <w:pPr>
              <w:pStyle w:val="TableParagraph"/>
              <w:spacing w:before="120"/>
              <w:rPr>
                <w:sz w:val="22"/>
              </w:rPr>
            </w:pPr>
          </w:p>
          <w:p>
            <w:pPr>
              <w:pStyle w:val="TableParagraph"/>
              <w:ind w:left="107"/>
              <w:rPr>
                <w:sz w:val="22"/>
              </w:rPr>
            </w:pPr>
            <w:r>
              <w:rPr>
                <w:spacing w:val="-10"/>
                <w:sz w:val="22"/>
              </w:rPr>
              <w:t>.</w:t>
            </w:r>
          </w:p>
        </w:tc>
        <w:tc>
          <w:tcPr>
            <w:tcW w:w="2482" w:type="dxa"/>
          </w:tcPr>
          <w:p>
            <w:pPr>
              <w:pStyle w:val="TableParagraph"/>
              <w:spacing w:line="360" w:lineRule="auto"/>
              <w:ind w:left="107" w:right="93" w:firstLine="708"/>
              <w:jc w:val="both"/>
              <w:rPr>
                <w:sz w:val="22"/>
              </w:rPr>
            </w:pPr>
            <w:r>
              <w:rPr>
                <w:sz w:val="22"/>
              </w:rPr>
              <w:t>Как часто у </w:t>
            </w:r>
            <w:r>
              <w:rPr>
                <w:sz w:val="22"/>
              </w:rPr>
              <w:t>Вас возникала эрекция при </w:t>
            </w:r>
            <w:r>
              <w:rPr>
                <w:spacing w:val="-2"/>
                <w:sz w:val="22"/>
              </w:rPr>
              <w:t>сексуальной</w:t>
            </w:r>
          </w:p>
          <w:p>
            <w:pPr>
              <w:pStyle w:val="TableParagraph"/>
              <w:tabs>
                <w:tab w:pos="2190" w:val="left" w:leader="none"/>
              </w:tabs>
              <w:spacing w:line="253" w:lineRule="exact"/>
              <w:ind w:left="107"/>
              <w:jc w:val="both"/>
              <w:rPr>
                <w:sz w:val="22"/>
              </w:rPr>
            </w:pPr>
            <w:r>
              <w:rPr>
                <w:spacing w:val="-2"/>
                <w:sz w:val="22"/>
              </w:rPr>
              <w:t>активности</w:t>
            </w:r>
            <w:r>
              <w:rPr>
                <w:sz w:val="22"/>
              </w:rPr>
              <w:tab/>
            </w:r>
            <w:r>
              <w:rPr>
                <w:spacing w:val="-5"/>
                <w:sz w:val="22"/>
              </w:rPr>
              <w:t>за</w:t>
            </w:r>
          </w:p>
          <w:p>
            <w:pPr>
              <w:pStyle w:val="TableParagraph"/>
              <w:spacing w:before="120"/>
              <w:ind w:left="107"/>
              <w:jc w:val="both"/>
              <w:rPr>
                <w:sz w:val="22"/>
              </w:rPr>
            </w:pPr>
            <w:r>
              <w:rPr>
                <w:sz w:val="22"/>
              </w:rPr>
              <w:t>последнее</w:t>
            </w:r>
            <w:r>
              <w:rPr>
                <w:spacing w:val="-3"/>
                <w:sz w:val="22"/>
              </w:rPr>
              <w:t> </w:t>
            </w:r>
            <w:r>
              <w:rPr>
                <w:spacing w:val="-2"/>
                <w:sz w:val="22"/>
              </w:rPr>
              <w:t>время?</w:t>
            </w:r>
          </w:p>
        </w:tc>
        <w:tc>
          <w:tcPr>
            <w:tcW w:w="1452" w:type="dxa"/>
          </w:tcPr>
          <w:p>
            <w:pPr>
              <w:pStyle w:val="TableParagraph"/>
              <w:spacing w:line="247" w:lineRule="exact"/>
              <w:ind w:right="304"/>
              <w:jc w:val="right"/>
              <w:rPr>
                <w:sz w:val="22"/>
              </w:rPr>
            </w:pPr>
            <w:r>
              <w:rPr>
                <w:spacing w:val="-10"/>
                <w:sz w:val="22"/>
              </w:rPr>
              <w:t>1</w:t>
            </w:r>
          </w:p>
        </w:tc>
        <w:tc>
          <w:tcPr>
            <w:tcW w:w="1133" w:type="dxa"/>
          </w:tcPr>
          <w:p>
            <w:pPr>
              <w:pStyle w:val="TableParagraph"/>
              <w:spacing w:line="247" w:lineRule="exact"/>
              <w:ind w:right="148"/>
              <w:jc w:val="right"/>
              <w:rPr>
                <w:sz w:val="22"/>
              </w:rPr>
            </w:pPr>
            <w:r>
              <w:rPr>
                <w:spacing w:val="-10"/>
                <w:sz w:val="22"/>
              </w:rPr>
              <w:t>2</w:t>
            </w:r>
          </w:p>
        </w:tc>
        <w:tc>
          <w:tcPr>
            <w:tcW w:w="1389" w:type="dxa"/>
          </w:tcPr>
          <w:p>
            <w:pPr>
              <w:pStyle w:val="TableParagraph"/>
              <w:spacing w:line="247" w:lineRule="exact"/>
              <w:ind w:right="275"/>
              <w:jc w:val="right"/>
              <w:rPr>
                <w:sz w:val="22"/>
              </w:rPr>
            </w:pPr>
            <w:r>
              <w:rPr>
                <w:spacing w:val="-10"/>
                <w:sz w:val="22"/>
              </w:rPr>
              <w:t>3</w:t>
            </w:r>
          </w:p>
        </w:tc>
        <w:tc>
          <w:tcPr>
            <w:tcW w:w="1373" w:type="dxa"/>
          </w:tcPr>
          <w:p>
            <w:pPr>
              <w:pStyle w:val="TableParagraph"/>
              <w:spacing w:line="247" w:lineRule="exact"/>
              <w:ind w:right="267"/>
              <w:jc w:val="right"/>
              <w:rPr>
                <w:sz w:val="22"/>
              </w:rPr>
            </w:pPr>
            <w:r>
              <w:rPr>
                <w:spacing w:val="-10"/>
                <w:sz w:val="22"/>
              </w:rPr>
              <w:t>4</w:t>
            </w:r>
          </w:p>
        </w:tc>
        <w:tc>
          <w:tcPr>
            <w:tcW w:w="1087" w:type="dxa"/>
          </w:tcPr>
          <w:p>
            <w:pPr>
              <w:pStyle w:val="TableParagraph"/>
              <w:spacing w:line="247" w:lineRule="exact"/>
              <w:ind w:right="123"/>
              <w:jc w:val="right"/>
              <w:rPr>
                <w:sz w:val="22"/>
              </w:rPr>
            </w:pPr>
            <w:r>
              <w:rPr>
                <w:spacing w:val="-10"/>
                <w:sz w:val="22"/>
              </w:rPr>
              <w:t>5</w:t>
            </w:r>
          </w:p>
        </w:tc>
      </w:tr>
      <w:tr>
        <w:trPr>
          <w:trHeight w:val="3036" w:hRule="atLeast"/>
        </w:trPr>
        <w:tc>
          <w:tcPr>
            <w:tcW w:w="655" w:type="dxa"/>
          </w:tcPr>
          <w:p>
            <w:pPr>
              <w:pStyle w:val="TableParagraph"/>
              <w:spacing w:before="122"/>
              <w:rPr>
                <w:sz w:val="22"/>
              </w:rPr>
            </w:pPr>
          </w:p>
          <w:p>
            <w:pPr>
              <w:pStyle w:val="TableParagraph"/>
              <w:ind w:left="107"/>
              <w:rPr>
                <w:sz w:val="22"/>
              </w:rPr>
            </w:pPr>
            <w:r>
              <w:rPr>
                <w:spacing w:val="-10"/>
                <w:sz w:val="22"/>
              </w:rPr>
              <w:t>.</w:t>
            </w:r>
          </w:p>
        </w:tc>
        <w:tc>
          <w:tcPr>
            <w:tcW w:w="2482" w:type="dxa"/>
          </w:tcPr>
          <w:p>
            <w:pPr>
              <w:pStyle w:val="TableParagraph"/>
              <w:tabs>
                <w:tab w:pos="1823" w:val="left" w:leader="none"/>
                <w:tab w:pos="1907" w:val="left" w:leader="none"/>
              </w:tabs>
              <w:spacing w:line="360" w:lineRule="auto"/>
              <w:ind w:left="107" w:right="93" w:firstLine="708"/>
              <w:jc w:val="both"/>
              <w:rPr>
                <w:sz w:val="22"/>
              </w:rPr>
            </w:pPr>
            <w:r>
              <w:rPr>
                <w:sz w:val="22"/>
              </w:rPr>
              <w:t>Как часто </w:t>
            </w:r>
            <w:r>
              <w:rPr>
                <w:sz w:val="22"/>
              </w:rPr>
              <w:t>за </w:t>
            </w:r>
            <w:r>
              <w:rPr>
                <w:spacing w:val="-2"/>
                <w:sz w:val="22"/>
              </w:rPr>
              <w:t>последнее</w:t>
            </w:r>
            <w:r>
              <w:rPr>
                <w:sz w:val="22"/>
              </w:rPr>
              <w:tab/>
            </w:r>
            <w:r>
              <w:rPr>
                <w:spacing w:val="-4"/>
                <w:sz w:val="22"/>
              </w:rPr>
              <w:t>время </w:t>
            </w:r>
            <w:r>
              <w:rPr>
                <w:sz w:val="22"/>
              </w:rPr>
              <w:t>возникающая у Вас </w:t>
            </w:r>
            <w:r>
              <w:rPr>
                <w:spacing w:val="-2"/>
                <w:sz w:val="22"/>
              </w:rPr>
              <w:t>эрекция</w:t>
            </w:r>
            <w:r>
              <w:rPr>
                <w:sz w:val="22"/>
              </w:rPr>
              <w:tab/>
              <w:tab/>
            </w:r>
            <w:r>
              <w:rPr>
                <w:spacing w:val="-4"/>
                <w:sz w:val="22"/>
              </w:rPr>
              <w:t>была</w:t>
            </w:r>
          </w:p>
          <w:p>
            <w:pPr>
              <w:pStyle w:val="TableParagraph"/>
              <w:tabs>
                <w:tab w:pos="2051" w:val="left" w:leader="none"/>
              </w:tabs>
              <w:spacing w:line="252" w:lineRule="exact"/>
              <w:ind w:left="107"/>
              <w:jc w:val="both"/>
              <w:rPr>
                <w:sz w:val="22"/>
              </w:rPr>
            </w:pPr>
            <w:r>
              <w:rPr>
                <w:spacing w:val="-2"/>
                <w:sz w:val="22"/>
              </w:rPr>
              <w:t>достаточна</w:t>
            </w:r>
            <w:r>
              <w:rPr>
                <w:sz w:val="22"/>
              </w:rPr>
              <w:tab/>
            </w:r>
            <w:r>
              <w:rPr>
                <w:spacing w:val="-5"/>
                <w:sz w:val="22"/>
              </w:rPr>
              <w:t>для</w:t>
            </w:r>
          </w:p>
          <w:p>
            <w:pPr>
              <w:pStyle w:val="TableParagraph"/>
              <w:spacing w:line="380" w:lineRule="atLeast"/>
              <w:ind w:left="107" w:right="94"/>
              <w:jc w:val="both"/>
              <w:rPr>
                <w:sz w:val="22"/>
              </w:rPr>
            </w:pPr>
            <w:r>
              <w:rPr>
                <w:sz w:val="22"/>
              </w:rPr>
              <w:t>введения полового члена (для </w:t>
            </w:r>
            <w:r>
              <w:rPr>
                <w:sz w:val="22"/>
              </w:rPr>
              <w:t>начала полового акта)?</w:t>
            </w:r>
          </w:p>
        </w:tc>
        <w:tc>
          <w:tcPr>
            <w:tcW w:w="1452" w:type="dxa"/>
          </w:tcPr>
          <w:p>
            <w:pPr>
              <w:pStyle w:val="TableParagraph"/>
              <w:spacing w:line="249" w:lineRule="exact"/>
              <w:ind w:right="304"/>
              <w:jc w:val="right"/>
              <w:rPr>
                <w:sz w:val="22"/>
              </w:rPr>
            </w:pPr>
            <w:r>
              <w:rPr>
                <w:spacing w:val="-10"/>
                <w:sz w:val="22"/>
              </w:rPr>
              <w:t>1</w:t>
            </w:r>
          </w:p>
        </w:tc>
        <w:tc>
          <w:tcPr>
            <w:tcW w:w="1133" w:type="dxa"/>
          </w:tcPr>
          <w:p>
            <w:pPr>
              <w:pStyle w:val="TableParagraph"/>
              <w:spacing w:line="249" w:lineRule="exact"/>
              <w:ind w:right="148"/>
              <w:jc w:val="right"/>
              <w:rPr>
                <w:sz w:val="22"/>
              </w:rPr>
            </w:pPr>
            <w:r>
              <w:rPr>
                <w:spacing w:val="-10"/>
                <w:sz w:val="22"/>
              </w:rPr>
              <w:t>2</w:t>
            </w:r>
          </w:p>
        </w:tc>
        <w:tc>
          <w:tcPr>
            <w:tcW w:w="1389" w:type="dxa"/>
          </w:tcPr>
          <w:p>
            <w:pPr>
              <w:pStyle w:val="TableParagraph"/>
              <w:spacing w:line="249" w:lineRule="exact"/>
              <w:ind w:right="275"/>
              <w:jc w:val="right"/>
              <w:rPr>
                <w:sz w:val="22"/>
              </w:rPr>
            </w:pPr>
            <w:r>
              <w:rPr>
                <w:spacing w:val="-10"/>
                <w:sz w:val="22"/>
              </w:rPr>
              <w:t>3</w:t>
            </w:r>
          </w:p>
        </w:tc>
        <w:tc>
          <w:tcPr>
            <w:tcW w:w="1373" w:type="dxa"/>
          </w:tcPr>
          <w:p>
            <w:pPr>
              <w:pStyle w:val="TableParagraph"/>
              <w:spacing w:line="249" w:lineRule="exact"/>
              <w:ind w:right="267"/>
              <w:jc w:val="right"/>
              <w:rPr>
                <w:sz w:val="22"/>
              </w:rPr>
            </w:pPr>
            <w:r>
              <w:rPr>
                <w:spacing w:val="-10"/>
                <w:sz w:val="22"/>
              </w:rPr>
              <w:t>4</w:t>
            </w:r>
          </w:p>
        </w:tc>
        <w:tc>
          <w:tcPr>
            <w:tcW w:w="1087" w:type="dxa"/>
          </w:tcPr>
          <w:p>
            <w:pPr>
              <w:pStyle w:val="TableParagraph"/>
              <w:spacing w:line="249" w:lineRule="exact"/>
              <w:ind w:right="123"/>
              <w:jc w:val="right"/>
              <w:rPr>
                <w:sz w:val="22"/>
              </w:rPr>
            </w:pPr>
            <w:r>
              <w:rPr>
                <w:spacing w:val="-10"/>
                <w:sz w:val="22"/>
              </w:rPr>
              <w:t>5</w:t>
            </w:r>
          </w:p>
        </w:tc>
      </w:tr>
      <w:tr>
        <w:trPr>
          <w:trHeight w:val="2277" w:hRule="atLeast"/>
        </w:trPr>
        <w:tc>
          <w:tcPr>
            <w:tcW w:w="655" w:type="dxa"/>
          </w:tcPr>
          <w:p>
            <w:pPr>
              <w:pStyle w:val="TableParagraph"/>
              <w:spacing w:before="122"/>
              <w:rPr>
                <w:sz w:val="22"/>
              </w:rPr>
            </w:pPr>
          </w:p>
          <w:p>
            <w:pPr>
              <w:pStyle w:val="TableParagraph"/>
              <w:ind w:left="107"/>
              <w:rPr>
                <w:sz w:val="22"/>
              </w:rPr>
            </w:pPr>
            <w:r>
              <w:rPr>
                <w:spacing w:val="-10"/>
                <w:sz w:val="22"/>
              </w:rPr>
              <w:t>.</w:t>
            </w:r>
          </w:p>
        </w:tc>
        <w:tc>
          <w:tcPr>
            <w:tcW w:w="2482" w:type="dxa"/>
          </w:tcPr>
          <w:p>
            <w:pPr>
              <w:pStyle w:val="TableParagraph"/>
              <w:spacing w:line="360" w:lineRule="auto"/>
              <w:ind w:left="107" w:right="95" w:firstLine="708"/>
              <w:jc w:val="both"/>
              <w:rPr>
                <w:sz w:val="22"/>
              </w:rPr>
            </w:pPr>
            <w:r>
              <w:rPr>
                <w:sz w:val="22"/>
              </w:rPr>
              <w:t>При </w:t>
            </w:r>
            <w:r>
              <w:rPr>
                <w:sz w:val="22"/>
              </w:rPr>
              <w:t>попытке полового</w:t>
            </w:r>
            <w:r>
              <w:rPr>
                <w:spacing w:val="-7"/>
                <w:sz w:val="22"/>
              </w:rPr>
              <w:t> </w:t>
            </w:r>
            <w:r>
              <w:rPr>
                <w:sz w:val="22"/>
              </w:rPr>
              <w:t>акта</w:t>
            </w:r>
            <w:r>
              <w:rPr>
                <w:spacing w:val="-6"/>
                <w:sz w:val="22"/>
              </w:rPr>
              <w:t> </w:t>
            </w:r>
            <w:r>
              <w:rPr>
                <w:sz w:val="22"/>
              </w:rPr>
              <w:t>как</w:t>
            </w:r>
            <w:r>
              <w:rPr>
                <w:spacing w:val="-6"/>
                <w:sz w:val="22"/>
              </w:rPr>
              <w:t> </w:t>
            </w:r>
            <w:r>
              <w:rPr>
                <w:sz w:val="22"/>
              </w:rPr>
              <w:t>часто у Вас получалось осуществить введение полового</w:t>
            </w:r>
            <w:r>
              <w:rPr>
                <w:spacing w:val="26"/>
                <w:sz w:val="22"/>
              </w:rPr>
              <w:t> </w:t>
            </w:r>
            <w:r>
              <w:rPr>
                <w:sz w:val="22"/>
              </w:rPr>
              <w:t>члена</w:t>
            </w:r>
            <w:r>
              <w:rPr>
                <w:spacing w:val="28"/>
                <w:sz w:val="22"/>
              </w:rPr>
              <w:t> </w:t>
            </w:r>
            <w:r>
              <w:rPr>
                <w:spacing w:val="-2"/>
                <w:sz w:val="22"/>
              </w:rPr>
              <w:t>(начать</w:t>
            </w:r>
          </w:p>
          <w:p>
            <w:pPr>
              <w:pStyle w:val="TableParagraph"/>
              <w:spacing w:line="252" w:lineRule="exact"/>
              <w:ind w:left="107"/>
              <w:jc w:val="both"/>
              <w:rPr>
                <w:sz w:val="22"/>
              </w:rPr>
            </w:pPr>
            <w:r>
              <w:rPr>
                <w:sz w:val="22"/>
              </w:rPr>
              <w:t>половой</w:t>
            </w:r>
            <w:r>
              <w:rPr>
                <w:spacing w:val="-7"/>
                <w:sz w:val="22"/>
              </w:rPr>
              <w:t> </w:t>
            </w:r>
            <w:r>
              <w:rPr>
                <w:spacing w:val="-2"/>
                <w:sz w:val="22"/>
              </w:rPr>
              <w:t>акт)?</w:t>
            </w:r>
          </w:p>
        </w:tc>
        <w:tc>
          <w:tcPr>
            <w:tcW w:w="1452" w:type="dxa"/>
          </w:tcPr>
          <w:p>
            <w:pPr>
              <w:pStyle w:val="TableParagraph"/>
              <w:spacing w:line="249" w:lineRule="exact"/>
              <w:ind w:right="304"/>
              <w:jc w:val="right"/>
              <w:rPr>
                <w:sz w:val="22"/>
              </w:rPr>
            </w:pPr>
            <w:r>
              <w:rPr>
                <w:spacing w:val="-10"/>
                <w:sz w:val="22"/>
              </w:rPr>
              <w:t>1</w:t>
            </w:r>
          </w:p>
        </w:tc>
        <w:tc>
          <w:tcPr>
            <w:tcW w:w="1133" w:type="dxa"/>
          </w:tcPr>
          <w:p>
            <w:pPr>
              <w:pStyle w:val="TableParagraph"/>
              <w:spacing w:line="249" w:lineRule="exact"/>
              <w:ind w:right="148"/>
              <w:jc w:val="right"/>
              <w:rPr>
                <w:sz w:val="22"/>
              </w:rPr>
            </w:pPr>
            <w:r>
              <w:rPr>
                <w:spacing w:val="-10"/>
                <w:sz w:val="22"/>
              </w:rPr>
              <w:t>2</w:t>
            </w:r>
          </w:p>
        </w:tc>
        <w:tc>
          <w:tcPr>
            <w:tcW w:w="1389" w:type="dxa"/>
          </w:tcPr>
          <w:p>
            <w:pPr>
              <w:pStyle w:val="TableParagraph"/>
              <w:spacing w:line="249" w:lineRule="exact"/>
              <w:ind w:right="275"/>
              <w:jc w:val="right"/>
              <w:rPr>
                <w:sz w:val="22"/>
              </w:rPr>
            </w:pPr>
            <w:r>
              <w:rPr>
                <w:spacing w:val="-10"/>
                <w:sz w:val="22"/>
              </w:rPr>
              <w:t>3</w:t>
            </w:r>
          </w:p>
        </w:tc>
        <w:tc>
          <w:tcPr>
            <w:tcW w:w="1373" w:type="dxa"/>
          </w:tcPr>
          <w:p>
            <w:pPr>
              <w:pStyle w:val="TableParagraph"/>
              <w:spacing w:line="249" w:lineRule="exact"/>
              <w:ind w:right="267"/>
              <w:jc w:val="right"/>
              <w:rPr>
                <w:sz w:val="22"/>
              </w:rPr>
            </w:pPr>
            <w:r>
              <w:rPr>
                <w:spacing w:val="-10"/>
                <w:sz w:val="22"/>
              </w:rPr>
              <w:t>4</w:t>
            </w:r>
          </w:p>
        </w:tc>
        <w:tc>
          <w:tcPr>
            <w:tcW w:w="1087" w:type="dxa"/>
          </w:tcPr>
          <w:p>
            <w:pPr>
              <w:pStyle w:val="TableParagraph"/>
              <w:spacing w:line="249" w:lineRule="exact"/>
              <w:ind w:right="123"/>
              <w:jc w:val="right"/>
              <w:rPr>
                <w:sz w:val="22"/>
              </w:rPr>
            </w:pPr>
            <w:r>
              <w:rPr>
                <w:spacing w:val="-10"/>
                <w:sz w:val="22"/>
              </w:rPr>
              <w:t>5</w:t>
            </w:r>
          </w:p>
        </w:tc>
      </w:tr>
      <w:tr>
        <w:trPr>
          <w:trHeight w:val="1898" w:hRule="atLeast"/>
        </w:trPr>
        <w:tc>
          <w:tcPr>
            <w:tcW w:w="655" w:type="dxa"/>
          </w:tcPr>
          <w:p>
            <w:pPr>
              <w:pStyle w:val="TableParagraph"/>
              <w:spacing w:before="122"/>
              <w:rPr>
                <w:sz w:val="22"/>
              </w:rPr>
            </w:pPr>
          </w:p>
          <w:p>
            <w:pPr>
              <w:pStyle w:val="TableParagraph"/>
              <w:ind w:left="107"/>
              <w:rPr>
                <w:sz w:val="22"/>
              </w:rPr>
            </w:pPr>
            <w:r>
              <w:rPr>
                <w:spacing w:val="-10"/>
                <w:sz w:val="22"/>
              </w:rPr>
              <w:t>.</w:t>
            </w:r>
          </w:p>
        </w:tc>
        <w:tc>
          <w:tcPr>
            <w:tcW w:w="2482" w:type="dxa"/>
          </w:tcPr>
          <w:p>
            <w:pPr>
              <w:pStyle w:val="TableParagraph"/>
              <w:spacing w:line="360" w:lineRule="auto"/>
              <w:ind w:left="107" w:right="94" w:firstLine="708"/>
              <w:jc w:val="both"/>
              <w:rPr>
                <w:sz w:val="22"/>
              </w:rPr>
            </w:pPr>
            <w:r>
              <w:rPr>
                <w:sz w:val="22"/>
              </w:rPr>
              <w:t>Как часто </w:t>
            </w:r>
            <w:r>
              <w:rPr>
                <w:sz w:val="22"/>
              </w:rPr>
              <w:t>за последнее время Вам удавалось сохранить эрекцию</w:t>
            </w:r>
            <w:r>
              <w:rPr>
                <w:spacing w:val="59"/>
                <w:w w:val="150"/>
                <w:sz w:val="22"/>
              </w:rPr>
              <w:t> </w:t>
            </w:r>
            <w:r>
              <w:rPr>
                <w:sz w:val="22"/>
              </w:rPr>
              <w:t>после</w:t>
            </w:r>
            <w:r>
              <w:rPr>
                <w:spacing w:val="60"/>
                <w:w w:val="150"/>
                <w:sz w:val="22"/>
              </w:rPr>
              <w:t> </w:t>
            </w:r>
            <w:r>
              <w:rPr>
                <w:spacing w:val="-2"/>
                <w:sz w:val="22"/>
              </w:rPr>
              <w:t>начала</w:t>
            </w:r>
          </w:p>
          <w:p>
            <w:pPr>
              <w:pStyle w:val="TableParagraph"/>
              <w:ind w:left="107"/>
              <w:jc w:val="both"/>
              <w:rPr>
                <w:sz w:val="22"/>
              </w:rPr>
            </w:pPr>
            <w:r>
              <w:rPr>
                <w:sz w:val="22"/>
              </w:rPr>
              <w:t>полового</w:t>
            </w:r>
            <w:r>
              <w:rPr>
                <w:spacing w:val="-7"/>
                <w:sz w:val="22"/>
              </w:rPr>
              <w:t> </w:t>
            </w:r>
            <w:r>
              <w:rPr>
                <w:spacing w:val="-2"/>
                <w:sz w:val="22"/>
              </w:rPr>
              <w:t>акта?</w:t>
            </w:r>
          </w:p>
        </w:tc>
        <w:tc>
          <w:tcPr>
            <w:tcW w:w="1452" w:type="dxa"/>
          </w:tcPr>
          <w:p>
            <w:pPr>
              <w:pStyle w:val="TableParagraph"/>
              <w:spacing w:line="247" w:lineRule="exact"/>
              <w:ind w:right="304"/>
              <w:jc w:val="right"/>
              <w:rPr>
                <w:sz w:val="22"/>
              </w:rPr>
            </w:pPr>
            <w:r>
              <w:rPr>
                <w:spacing w:val="-10"/>
                <w:sz w:val="22"/>
              </w:rPr>
              <w:t>1</w:t>
            </w:r>
          </w:p>
        </w:tc>
        <w:tc>
          <w:tcPr>
            <w:tcW w:w="1133" w:type="dxa"/>
          </w:tcPr>
          <w:p>
            <w:pPr>
              <w:pStyle w:val="TableParagraph"/>
              <w:spacing w:line="247" w:lineRule="exact"/>
              <w:ind w:right="148"/>
              <w:jc w:val="right"/>
              <w:rPr>
                <w:sz w:val="22"/>
              </w:rPr>
            </w:pPr>
            <w:r>
              <w:rPr>
                <w:spacing w:val="-10"/>
                <w:sz w:val="22"/>
              </w:rPr>
              <w:t>2</w:t>
            </w:r>
          </w:p>
        </w:tc>
        <w:tc>
          <w:tcPr>
            <w:tcW w:w="1389" w:type="dxa"/>
          </w:tcPr>
          <w:p>
            <w:pPr>
              <w:pStyle w:val="TableParagraph"/>
              <w:spacing w:line="247" w:lineRule="exact"/>
              <w:ind w:right="275"/>
              <w:jc w:val="right"/>
              <w:rPr>
                <w:sz w:val="22"/>
              </w:rPr>
            </w:pPr>
            <w:r>
              <w:rPr>
                <w:spacing w:val="-10"/>
                <w:sz w:val="22"/>
              </w:rPr>
              <w:t>3</w:t>
            </w:r>
          </w:p>
        </w:tc>
        <w:tc>
          <w:tcPr>
            <w:tcW w:w="1373" w:type="dxa"/>
          </w:tcPr>
          <w:p>
            <w:pPr>
              <w:pStyle w:val="TableParagraph"/>
              <w:spacing w:line="247" w:lineRule="exact"/>
              <w:ind w:right="267"/>
              <w:jc w:val="right"/>
              <w:rPr>
                <w:sz w:val="22"/>
              </w:rPr>
            </w:pPr>
            <w:r>
              <w:rPr>
                <w:spacing w:val="-10"/>
                <w:sz w:val="22"/>
              </w:rPr>
              <w:t>4</w:t>
            </w:r>
          </w:p>
        </w:tc>
        <w:tc>
          <w:tcPr>
            <w:tcW w:w="1087" w:type="dxa"/>
          </w:tcPr>
          <w:p>
            <w:pPr>
              <w:pStyle w:val="TableParagraph"/>
              <w:spacing w:line="247" w:lineRule="exact"/>
              <w:ind w:right="123"/>
              <w:jc w:val="right"/>
              <w:rPr>
                <w:sz w:val="22"/>
              </w:rPr>
            </w:pPr>
            <w:r>
              <w:rPr>
                <w:spacing w:val="-10"/>
                <w:sz w:val="22"/>
              </w:rPr>
              <w:t>5</w:t>
            </w:r>
          </w:p>
        </w:tc>
      </w:tr>
      <w:tr>
        <w:trPr>
          <w:trHeight w:val="1898" w:hRule="atLeast"/>
        </w:trPr>
        <w:tc>
          <w:tcPr>
            <w:tcW w:w="655" w:type="dxa"/>
          </w:tcPr>
          <w:p>
            <w:pPr>
              <w:pStyle w:val="TableParagraph"/>
              <w:spacing w:before="119"/>
              <w:rPr>
                <w:sz w:val="22"/>
              </w:rPr>
            </w:pPr>
          </w:p>
          <w:p>
            <w:pPr>
              <w:pStyle w:val="TableParagraph"/>
              <w:spacing w:before="1"/>
              <w:ind w:left="107"/>
              <w:rPr>
                <w:sz w:val="22"/>
              </w:rPr>
            </w:pPr>
            <w:r>
              <w:rPr>
                <w:spacing w:val="-10"/>
                <w:sz w:val="22"/>
              </w:rPr>
              <w:t>.</w:t>
            </w:r>
          </w:p>
        </w:tc>
        <w:tc>
          <w:tcPr>
            <w:tcW w:w="2482" w:type="dxa"/>
          </w:tcPr>
          <w:p>
            <w:pPr>
              <w:pStyle w:val="TableParagraph"/>
              <w:spacing w:line="247" w:lineRule="exact"/>
              <w:ind w:left="815"/>
              <w:rPr>
                <w:sz w:val="22"/>
              </w:rPr>
            </w:pPr>
            <w:r>
              <w:rPr>
                <w:spacing w:val="-2"/>
                <w:sz w:val="22"/>
              </w:rPr>
              <w:t>Насколько</w:t>
            </w:r>
          </w:p>
          <w:p>
            <w:pPr>
              <w:pStyle w:val="TableParagraph"/>
              <w:tabs>
                <w:tab w:pos="1893" w:val="left" w:leader="none"/>
              </w:tabs>
              <w:spacing w:line="360" w:lineRule="auto" w:before="126"/>
              <w:ind w:left="107" w:right="94"/>
              <w:jc w:val="both"/>
              <w:rPr>
                <w:sz w:val="22"/>
              </w:rPr>
            </w:pPr>
            <w:r>
              <w:rPr>
                <w:spacing w:val="-2"/>
                <w:sz w:val="22"/>
              </w:rPr>
              <w:t>трудным</w:t>
            </w:r>
            <w:r>
              <w:rPr>
                <w:sz w:val="22"/>
              </w:rPr>
              <w:tab/>
            </w:r>
            <w:r>
              <w:rPr>
                <w:spacing w:val="-4"/>
                <w:sz w:val="22"/>
              </w:rPr>
              <w:t>было </w:t>
            </w:r>
            <w:r>
              <w:rPr>
                <w:sz w:val="22"/>
              </w:rPr>
              <w:t>сохранить эрекцию в течении</w:t>
            </w:r>
            <w:r>
              <w:rPr>
                <w:spacing w:val="44"/>
                <w:sz w:val="22"/>
              </w:rPr>
              <w:t>  </w:t>
            </w:r>
            <w:r>
              <w:rPr>
                <w:sz w:val="22"/>
              </w:rPr>
              <w:t>и</w:t>
            </w:r>
            <w:r>
              <w:rPr>
                <w:spacing w:val="47"/>
                <w:sz w:val="22"/>
              </w:rPr>
              <w:t>  </w:t>
            </w:r>
            <w:r>
              <w:rPr>
                <w:sz w:val="22"/>
              </w:rPr>
              <w:t>до</w:t>
            </w:r>
            <w:r>
              <w:rPr>
                <w:spacing w:val="48"/>
                <w:sz w:val="22"/>
              </w:rPr>
              <w:t>  </w:t>
            </w:r>
            <w:r>
              <w:rPr>
                <w:spacing w:val="-4"/>
                <w:sz w:val="22"/>
              </w:rPr>
              <w:t>конца</w:t>
            </w:r>
          </w:p>
          <w:p>
            <w:pPr>
              <w:pStyle w:val="TableParagraph"/>
              <w:spacing w:before="2"/>
              <w:ind w:left="107"/>
              <w:jc w:val="both"/>
              <w:rPr>
                <w:sz w:val="22"/>
              </w:rPr>
            </w:pPr>
            <w:r>
              <w:rPr>
                <w:sz w:val="22"/>
              </w:rPr>
              <w:t>полового</w:t>
            </w:r>
            <w:r>
              <w:rPr>
                <w:spacing w:val="-7"/>
                <w:sz w:val="22"/>
              </w:rPr>
              <w:t> </w:t>
            </w:r>
            <w:r>
              <w:rPr>
                <w:spacing w:val="-2"/>
                <w:sz w:val="22"/>
              </w:rPr>
              <w:t>акта?</w:t>
            </w:r>
          </w:p>
        </w:tc>
        <w:tc>
          <w:tcPr>
            <w:tcW w:w="1452" w:type="dxa"/>
          </w:tcPr>
          <w:p>
            <w:pPr>
              <w:pStyle w:val="TableParagraph"/>
              <w:spacing w:line="247" w:lineRule="exact"/>
              <w:ind w:right="304"/>
              <w:jc w:val="right"/>
              <w:rPr>
                <w:sz w:val="22"/>
              </w:rPr>
            </w:pPr>
            <w:r>
              <w:rPr>
                <w:spacing w:val="-10"/>
                <w:sz w:val="22"/>
              </w:rPr>
              <w:t>1</w:t>
            </w:r>
          </w:p>
        </w:tc>
        <w:tc>
          <w:tcPr>
            <w:tcW w:w="1133" w:type="dxa"/>
          </w:tcPr>
          <w:p>
            <w:pPr>
              <w:pStyle w:val="TableParagraph"/>
              <w:spacing w:line="247" w:lineRule="exact"/>
              <w:ind w:right="148"/>
              <w:jc w:val="right"/>
              <w:rPr>
                <w:sz w:val="22"/>
              </w:rPr>
            </w:pPr>
            <w:r>
              <w:rPr>
                <w:spacing w:val="-10"/>
                <w:sz w:val="22"/>
              </w:rPr>
              <w:t>2</w:t>
            </w:r>
          </w:p>
        </w:tc>
        <w:tc>
          <w:tcPr>
            <w:tcW w:w="1389" w:type="dxa"/>
          </w:tcPr>
          <w:p>
            <w:pPr>
              <w:pStyle w:val="TableParagraph"/>
              <w:spacing w:line="247" w:lineRule="exact"/>
              <w:ind w:right="275"/>
              <w:jc w:val="right"/>
              <w:rPr>
                <w:sz w:val="22"/>
              </w:rPr>
            </w:pPr>
            <w:r>
              <w:rPr>
                <w:spacing w:val="-10"/>
                <w:sz w:val="22"/>
              </w:rPr>
              <w:t>3</w:t>
            </w:r>
          </w:p>
        </w:tc>
        <w:tc>
          <w:tcPr>
            <w:tcW w:w="1373" w:type="dxa"/>
          </w:tcPr>
          <w:p>
            <w:pPr>
              <w:pStyle w:val="TableParagraph"/>
              <w:spacing w:line="247" w:lineRule="exact"/>
              <w:ind w:right="267"/>
              <w:jc w:val="right"/>
              <w:rPr>
                <w:sz w:val="22"/>
              </w:rPr>
            </w:pPr>
            <w:r>
              <w:rPr>
                <w:spacing w:val="-10"/>
                <w:sz w:val="22"/>
              </w:rPr>
              <w:t>4</w:t>
            </w:r>
          </w:p>
        </w:tc>
        <w:tc>
          <w:tcPr>
            <w:tcW w:w="1087" w:type="dxa"/>
          </w:tcPr>
          <w:p>
            <w:pPr>
              <w:pStyle w:val="TableParagraph"/>
              <w:spacing w:line="247" w:lineRule="exact"/>
              <w:ind w:right="123"/>
              <w:jc w:val="right"/>
              <w:rPr>
                <w:sz w:val="22"/>
              </w:rPr>
            </w:pPr>
            <w:r>
              <w:rPr>
                <w:spacing w:val="-10"/>
                <w:sz w:val="22"/>
              </w:rPr>
              <w:t>5</w:t>
            </w:r>
          </w:p>
        </w:tc>
      </w:tr>
    </w:tbl>
    <w:p>
      <w:pPr>
        <w:spacing w:after="0" w:line="247" w:lineRule="exact"/>
        <w:jc w:val="right"/>
        <w:rPr>
          <w:sz w:val="22"/>
        </w:rPr>
        <w:sectPr>
          <w:type w:val="continuous"/>
          <w:pgSz w:w="11910" w:h="16840"/>
          <w:pgMar w:header="0" w:footer="867" w:top="1720" w:bottom="1060" w:left="960" w:right="20"/>
        </w:sectPr>
      </w:pPr>
    </w:p>
    <w:p>
      <w:pPr>
        <w:pStyle w:val="BodyText"/>
        <w:spacing w:line="20" w:lineRule="exact"/>
        <w:ind w:left="6202"/>
        <w:jc w:val="left"/>
        <w:rPr>
          <w:sz w:val="2"/>
        </w:rPr>
      </w:pPr>
      <w:r>
        <w:rPr/>
        <mc:AlternateContent>
          <mc:Choice Requires="wps">
            <w:drawing>
              <wp:anchor distT="0" distB="0" distL="0" distR="0" allowOverlap="1" layoutInCell="1" locked="0" behindDoc="1" simplePos="0" relativeHeight="486844928">
                <wp:simplePos x="0" y="0"/>
                <wp:positionH relativeFrom="page">
                  <wp:posOffset>5238558</wp:posOffset>
                </wp:positionH>
                <wp:positionV relativeFrom="page">
                  <wp:posOffset>335546</wp:posOffset>
                </wp:positionV>
                <wp:extent cx="2625725" cy="1953260"/>
                <wp:effectExtent l="0" t="0" r="0" b="0"/>
                <wp:wrapNone/>
                <wp:docPr id="13" name="Group 13"/>
                <wp:cNvGraphicFramePr>
                  <a:graphicFrameLocks/>
                </wp:cNvGraphicFramePr>
                <a:graphic>
                  <a:graphicData uri="http://schemas.microsoft.com/office/word/2010/wordprocessingGroup">
                    <wpg:wgp>
                      <wpg:cNvPr id="13" name="Group 13"/>
                      <wpg:cNvGrpSpPr/>
                      <wpg:grpSpPr>
                        <a:xfrm>
                          <a:off x="0" y="0"/>
                          <a:ext cx="2625725" cy="1953260"/>
                          <a:chExt cx="2625725" cy="1953260"/>
                        </a:xfrm>
                      </wpg:grpSpPr>
                      <pic:pic>
                        <pic:nvPicPr>
                          <pic:cNvPr id="14" name="Image 14"/>
                          <pic:cNvPicPr/>
                        </pic:nvPicPr>
                        <pic:blipFill>
                          <a:blip r:embed="rId12" cstate="print"/>
                          <a:stretch>
                            <a:fillRect/>
                          </a:stretch>
                        </pic:blipFill>
                        <pic:spPr>
                          <a:xfrm>
                            <a:off x="0" y="0"/>
                            <a:ext cx="2625384" cy="1952924"/>
                          </a:xfrm>
                          <a:prstGeom prst="rect">
                            <a:avLst/>
                          </a:prstGeom>
                        </pic:spPr>
                      </pic:pic>
                      <wps:wsp>
                        <wps:cNvPr id="15" name="Graphic 15"/>
                        <wps:cNvSpPr/>
                        <wps:spPr>
                          <a:xfrm>
                            <a:off x="190344" y="845195"/>
                            <a:ext cx="83820" cy="1270"/>
                          </a:xfrm>
                          <a:custGeom>
                            <a:avLst/>
                            <a:gdLst/>
                            <a:ahLst/>
                            <a:cxnLst/>
                            <a:rect l="l" t="t" r="r" b="b"/>
                            <a:pathLst>
                              <a:path w="83820" h="0">
                                <a:moveTo>
                                  <a:pt x="0" y="0"/>
                                </a:moveTo>
                                <a:lnTo>
                                  <a:pt x="83350" y="0"/>
                                </a:lnTo>
                              </a:path>
                            </a:pathLst>
                          </a:custGeom>
                          <a:ln w="8013">
                            <a:solidFill>
                              <a:srgbClr val="222025"/>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412.484894pt;margin-top:26.420952pt;width:206.75pt;height:153.8pt;mso-position-horizontal-relative:page;mso-position-vertical-relative:page;z-index:-16471552" id="docshapegroup8" coordorigin="8250,528" coordsize="4135,3076">
                <v:shape style="position:absolute;left:8249;top:528;width:4135;height:3076" type="#_x0000_t75" id="docshape9" stroked="false">
                  <v:imagedata r:id="rId12" o:title=""/>
                </v:shape>
                <v:line style="position:absolute" from="8549,1859" to="8681,1859" stroked="true" strokeweight=".630987pt" strokecolor="#222025">
                  <v:stroke dashstyle="solid"/>
                </v:line>
                <w10:wrap type="none"/>
              </v:group>
            </w:pict>
          </mc:Fallback>
        </mc:AlternateContent>
      </w:r>
      <w:r>
        <w:rPr/>
        <mc:AlternateContent>
          <mc:Choice Requires="wps">
            <w:drawing>
              <wp:anchor distT="0" distB="0" distL="0" distR="0" allowOverlap="1" layoutInCell="1" locked="0" behindDoc="0" simplePos="0" relativeHeight="15732224">
                <wp:simplePos x="0" y="0"/>
                <wp:positionH relativeFrom="page">
                  <wp:posOffset>277802</wp:posOffset>
                </wp:positionH>
                <wp:positionV relativeFrom="page">
                  <wp:posOffset>909217</wp:posOffset>
                </wp:positionV>
                <wp:extent cx="1270" cy="3369310"/>
                <wp:effectExtent l="0" t="0" r="0" b="0"/>
                <wp:wrapNone/>
                <wp:docPr id="16" name="Graphic 16"/>
                <wp:cNvGraphicFramePr>
                  <a:graphicFrameLocks/>
                </wp:cNvGraphicFramePr>
                <a:graphic>
                  <a:graphicData uri="http://schemas.microsoft.com/office/word/2010/wordprocessingShape">
                    <wps:wsp>
                      <wps:cNvPr id="16" name="Graphic 16"/>
                      <wps:cNvSpPr/>
                      <wps:spPr>
                        <a:xfrm>
                          <a:off x="0" y="0"/>
                          <a:ext cx="1270" cy="3369310"/>
                        </a:xfrm>
                        <a:custGeom>
                          <a:avLst/>
                          <a:gdLst/>
                          <a:ahLst/>
                          <a:cxnLst/>
                          <a:rect l="l" t="t" r="r" b="b"/>
                          <a:pathLst>
                            <a:path w="0" h="3369310">
                              <a:moveTo>
                                <a:pt x="0" y="3368794"/>
                              </a:moveTo>
                              <a:lnTo>
                                <a:pt x="0" y="0"/>
                              </a:lnTo>
                            </a:path>
                          </a:pathLst>
                        </a:custGeom>
                        <a:ln w="1526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2224" from="21.874203pt,336.851297pt" to="21.874203pt,71.591896pt" stroked="true" strokeweight="1.201879pt" strokecolor="#000000">
                <v:stroke dashstyle="solid"/>
                <w10:wrap type="none"/>
              </v:line>
            </w:pict>
          </mc:Fallback>
        </mc:AlternateContent>
      </w:r>
      <w:r>
        <w:rPr/>
        <mc:AlternateContent>
          <mc:Choice Requires="wps">
            <w:drawing>
              <wp:anchor distT="0" distB="0" distL="0" distR="0" allowOverlap="1" layoutInCell="1" locked="0" behindDoc="0" simplePos="0" relativeHeight="15732736">
                <wp:simplePos x="0" y="0"/>
                <wp:positionH relativeFrom="page">
                  <wp:posOffset>6948112</wp:posOffset>
                </wp:positionH>
                <wp:positionV relativeFrom="page">
                  <wp:posOffset>259259</wp:posOffset>
                </wp:positionV>
                <wp:extent cx="467359" cy="1270"/>
                <wp:effectExtent l="0" t="0" r="0" b="0"/>
                <wp:wrapNone/>
                <wp:docPr id="17" name="Graphic 17"/>
                <wp:cNvGraphicFramePr>
                  <a:graphicFrameLocks/>
                </wp:cNvGraphicFramePr>
                <a:graphic>
                  <a:graphicData uri="http://schemas.microsoft.com/office/word/2010/wordprocessingShape">
                    <wps:wsp>
                      <wps:cNvPr id="17" name="Graphic 17"/>
                      <wps:cNvSpPr/>
                      <wps:spPr>
                        <a:xfrm>
                          <a:off x="0" y="0"/>
                          <a:ext cx="467359" cy="1270"/>
                        </a:xfrm>
                        <a:custGeom>
                          <a:avLst/>
                          <a:gdLst/>
                          <a:ahLst/>
                          <a:cxnLst/>
                          <a:rect l="l" t="t" r="r" b="b"/>
                          <a:pathLst>
                            <a:path w="467359" h="0">
                              <a:moveTo>
                                <a:pt x="0" y="0"/>
                              </a:moveTo>
                              <a:lnTo>
                                <a:pt x="467074" y="0"/>
                              </a:lnTo>
                            </a:path>
                          </a:pathLst>
                        </a:custGeom>
                        <a:ln w="6102">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2736" from="547.095459pt,20.414129pt" to="583.872964pt,20.414129pt" stroked="true" strokeweight=".480542pt" strokecolor="#000000">
                <v:stroke dashstyle="solid"/>
                <w10:wrap type="none"/>
              </v:line>
            </w:pict>
          </mc:Fallback>
        </mc:AlternateContent>
      </w:r>
      <w:r>
        <w:rPr>
          <w:sz w:val="2"/>
        </w:rPr>
        <mc:AlternateContent>
          <mc:Choice Requires="wps">
            <w:drawing>
              <wp:inline distT="0" distB="0" distL="0" distR="0">
                <wp:extent cx="394335" cy="6350"/>
                <wp:effectExtent l="9525" t="0" r="0" b="3175"/>
                <wp:docPr id="18" name="Group 18"/>
                <wp:cNvGraphicFramePr>
                  <a:graphicFrameLocks/>
                </wp:cNvGraphicFramePr>
                <a:graphic>
                  <a:graphicData uri="http://schemas.microsoft.com/office/word/2010/wordprocessingGroup">
                    <wpg:wgp>
                      <wpg:cNvPr id="18" name="Group 18"/>
                      <wpg:cNvGrpSpPr/>
                      <wpg:grpSpPr>
                        <a:xfrm>
                          <a:off x="0" y="0"/>
                          <a:ext cx="394335" cy="6350"/>
                          <a:chExt cx="394335" cy="6350"/>
                        </a:xfrm>
                      </wpg:grpSpPr>
                      <wps:wsp>
                        <wps:cNvPr id="19" name="Graphic 19"/>
                        <wps:cNvSpPr/>
                        <wps:spPr>
                          <a:xfrm>
                            <a:off x="0" y="3051"/>
                            <a:ext cx="394335" cy="1270"/>
                          </a:xfrm>
                          <a:custGeom>
                            <a:avLst/>
                            <a:gdLst/>
                            <a:ahLst/>
                            <a:cxnLst/>
                            <a:rect l="l" t="t" r="r" b="b"/>
                            <a:pathLst>
                              <a:path w="394335" h="0">
                                <a:moveTo>
                                  <a:pt x="0" y="0"/>
                                </a:moveTo>
                                <a:lnTo>
                                  <a:pt x="393807" y="0"/>
                                </a:lnTo>
                              </a:path>
                            </a:pathLst>
                          </a:custGeom>
                          <a:ln w="610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31.05pt;height:.5pt;mso-position-horizontal-relative:char;mso-position-vertical-relative:line" id="docshapegroup10" coordorigin="0,0" coordsize="621,10">
                <v:line style="position:absolute" from="0,5" to="620,5" stroked="true" strokeweight=".480542pt" strokecolor="#000000">
                  <v:stroke dashstyle="solid"/>
                </v:line>
              </v:group>
            </w:pict>
          </mc:Fallback>
        </mc:AlternateContent>
      </w:r>
      <w:r>
        <w:rPr>
          <w:sz w:val="2"/>
        </w:rPr>
      </w:r>
    </w:p>
    <w:p>
      <w:pPr>
        <w:spacing w:line="200" w:lineRule="exact" w:before="185"/>
        <w:ind w:left="5106" w:right="0" w:firstLine="0"/>
        <w:jc w:val="left"/>
        <w:rPr>
          <w:rFonts w:ascii="Arial" w:hAnsi="Arial"/>
          <w:b/>
          <w:sz w:val="20"/>
        </w:rPr>
      </w:pPr>
      <w:r>
        <w:rPr>
          <w:rFonts w:ascii="Arial" w:hAnsi="Arial"/>
          <w:color w:val="232126"/>
          <w:spacing w:val="-6"/>
          <w:sz w:val="19"/>
        </w:rPr>
        <w:t>Все</w:t>
      </w:r>
      <w:r>
        <w:rPr>
          <w:rFonts w:ascii="Arial" w:hAnsi="Arial"/>
          <w:color w:val="564F56"/>
          <w:spacing w:val="-6"/>
          <w:sz w:val="19"/>
        </w:rPr>
        <w:t>г</w:t>
      </w:r>
      <w:r>
        <w:rPr>
          <w:rFonts w:ascii="Arial" w:hAnsi="Arial"/>
          <w:color w:val="232126"/>
          <w:spacing w:val="-6"/>
          <w:sz w:val="19"/>
        </w:rPr>
        <w:t>о</w:t>
      </w:r>
      <w:r>
        <w:rPr>
          <w:rFonts w:ascii="Arial" w:hAnsi="Arial"/>
          <w:color w:val="232126"/>
          <w:spacing w:val="12"/>
          <w:sz w:val="19"/>
        </w:rPr>
        <w:t> </w:t>
      </w:r>
      <w:r>
        <w:rPr>
          <w:rFonts w:ascii="Arial" w:hAnsi="Arial"/>
          <w:b/>
          <w:color w:val="564F56"/>
          <w:spacing w:val="-6"/>
          <w:sz w:val="20"/>
        </w:rPr>
        <w:t>п</w:t>
      </w:r>
      <w:r>
        <w:rPr>
          <w:rFonts w:ascii="Arial" w:hAnsi="Arial"/>
          <w:b/>
          <w:color w:val="3B383D"/>
          <w:spacing w:val="-6"/>
          <w:sz w:val="20"/>
        </w:rPr>
        <w:t>ро</w:t>
      </w:r>
      <w:r>
        <w:rPr>
          <w:rFonts w:ascii="Arial" w:hAnsi="Arial"/>
          <w:b/>
          <w:color w:val="564F56"/>
          <w:spacing w:val="-6"/>
          <w:sz w:val="20"/>
        </w:rPr>
        <w:t>нум</w:t>
      </w:r>
      <w:r>
        <w:rPr>
          <w:rFonts w:ascii="Arial" w:hAnsi="Arial"/>
          <w:b/>
          <w:color w:val="232126"/>
          <w:spacing w:val="-6"/>
          <w:sz w:val="20"/>
        </w:rPr>
        <w:t>еровано</w:t>
      </w:r>
      <w:r>
        <w:rPr>
          <w:rFonts w:ascii="Arial" w:hAnsi="Arial"/>
          <w:b/>
          <w:color w:val="897C82"/>
          <w:spacing w:val="-6"/>
          <w:sz w:val="20"/>
        </w:rPr>
        <w:t>,</w:t>
      </w:r>
      <w:r>
        <w:rPr>
          <w:rFonts w:ascii="Arial" w:hAnsi="Arial"/>
          <w:b/>
          <w:color w:val="897C82"/>
          <w:spacing w:val="-7"/>
          <w:sz w:val="20"/>
        </w:rPr>
        <w:t> </w:t>
      </w:r>
      <w:r>
        <w:rPr>
          <w:rFonts w:ascii="Arial" w:hAnsi="Arial"/>
          <w:b/>
          <w:color w:val="564F56"/>
          <w:spacing w:val="-6"/>
          <w:sz w:val="20"/>
        </w:rPr>
        <w:t>п</w:t>
      </w:r>
      <w:r>
        <w:rPr>
          <w:rFonts w:ascii="Arial" w:hAnsi="Arial"/>
          <w:b/>
          <w:color w:val="3B383D"/>
          <w:spacing w:val="-6"/>
          <w:sz w:val="20"/>
        </w:rPr>
        <w:t>ро</w:t>
      </w:r>
    </w:p>
    <w:p>
      <w:pPr>
        <w:tabs>
          <w:tab w:pos="5710" w:val="left" w:leader="none"/>
        </w:tabs>
        <w:spacing w:line="258" w:lineRule="exact" w:before="0"/>
        <w:ind w:left="5258" w:right="0" w:firstLine="0"/>
        <w:jc w:val="left"/>
        <w:rPr>
          <w:i/>
          <w:sz w:val="19"/>
        </w:rPr>
      </w:pPr>
      <w:r>
        <w:rPr>
          <w:b/>
          <w:i/>
          <w:color w:val="232126"/>
          <w:spacing w:val="-5"/>
          <w:w w:val="105"/>
          <w:sz w:val="25"/>
          <w:u w:val="thick" w:color="232126"/>
        </w:rPr>
        <w:t>16</w:t>
      </w:r>
      <w:r>
        <w:rPr>
          <w:b/>
          <w:i/>
          <w:color w:val="232126"/>
          <w:sz w:val="25"/>
          <w:u w:val="none"/>
        </w:rPr>
        <w:tab/>
      </w:r>
      <w:r>
        <w:rPr>
          <w:color w:val="564F56"/>
          <w:w w:val="105"/>
          <w:sz w:val="25"/>
          <w:u w:val="none"/>
        </w:rPr>
        <w:t>(</w:t>
      </w:r>
      <w:r>
        <w:rPr>
          <w:color w:val="564F56"/>
          <w:spacing w:val="48"/>
          <w:w w:val="105"/>
          <w:sz w:val="25"/>
          <w:u w:val="none"/>
        </w:rPr>
        <w:t> </w:t>
      </w:r>
      <w:r>
        <w:rPr>
          <w:i/>
          <w:color w:val="232126"/>
          <w:w w:val="120"/>
          <w:sz w:val="19"/>
          <w:u w:val="thick" w:color="232126"/>
        </w:rPr>
        <w:t>ШР</w:t>
      </w:r>
      <w:r>
        <w:rPr>
          <w:i/>
          <w:color w:val="232126"/>
          <w:spacing w:val="14"/>
          <w:w w:val="120"/>
          <w:sz w:val="19"/>
          <w:u w:val="thick" w:color="232126"/>
        </w:rPr>
        <w:t> </w:t>
      </w:r>
      <w:r>
        <w:rPr>
          <w:i/>
          <w:color w:val="232126"/>
          <w:spacing w:val="-4"/>
          <w:w w:val="120"/>
          <w:sz w:val="19"/>
          <w:u w:val="thick" w:color="232126"/>
        </w:rPr>
        <w:t>/?JН</w:t>
      </w:r>
    </w:p>
    <w:p>
      <w:pPr>
        <w:spacing w:before="119"/>
        <w:ind w:left="5101" w:right="2851" w:hanging="1"/>
        <w:jc w:val="left"/>
        <w:rPr>
          <w:rFonts w:ascii="Arial" w:hAnsi="Arial"/>
          <w:b/>
          <w:sz w:val="20"/>
        </w:rPr>
      </w:pPr>
      <w:r>
        <w:rPr>
          <w:rFonts w:ascii="Arial" w:hAnsi="Arial"/>
          <w:b/>
          <w:color w:val="232126"/>
          <w:spacing w:val="-2"/>
          <w:w w:val="90"/>
          <w:sz w:val="20"/>
        </w:rPr>
        <w:t>Исполнительнь </w:t>
      </w:r>
      <w:r>
        <w:rPr>
          <w:rFonts w:ascii="Arial" w:hAnsi="Arial"/>
          <w:b/>
          <w:color w:val="232126"/>
          <w:sz w:val="20"/>
        </w:rPr>
        <w:t>М-</w:t>
      </w:r>
      <w:r>
        <w:rPr>
          <w:rFonts w:ascii="Arial" w:hAnsi="Arial"/>
          <w:b/>
          <w:color w:val="0A080A"/>
          <w:spacing w:val="-7"/>
          <w:sz w:val="20"/>
        </w:rPr>
        <w:t>С</w:t>
      </w:r>
      <w:r>
        <w:rPr>
          <w:rFonts w:ascii="Arial" w:hAnsi="Arial"/>
          <w:b/>
          <w:color w:val="232126"/>
          <w:spacing w:val="-7"/>
          <w:sz w:val="20"/>
        </w:rPr>
        <w:t>.А.Г</w:t>
      </w:r>
      <w:r>
        <w:rPr>
          <w:rFonts w:ascii="Arial" w:hAnsi="Arial"/>
          <w:b/>
          <w:color w:val="0A080A"/>
          <w:spacing w:val="-7"/>
          <w:sz w:val="20"/>
        </w:rPr>
        <w:t>а</w:t>
      </w:r>
      <w:r>
        <w:rPr>
          <w:rFonts w:ascii="Arial" w:hAnsi="Arial"/>
          <w:b/>
          <w:color w:val="232126"/>
          <w:spacing w:val="-7"/>
          <w:sz w:val="20"/>
        </w:rPr>
        <w:t>зими</w:t>
      </w:r>
      <w:r>
        <w:rPr>
          <w:rFonts w:ascii="Arial" w:hAnsi="Arial"/>
          <w:b/>
          <w:color w:val="0A080A"/>
          <w:spacing w:val="-7"/>
          <w:sz w:val="20"/>
        </w:rPr>
        <w:t>е</w:t>
      </w:r>
    </w:p>
    <w:p>
      <w:pPr>
        <w:tabs>
          <w:tab w:pos="5606" w:val="left" w:leader="none"/>
          <w:tab w:pos="6730" w:val="left" w:leader="none"/>
          <w:tab w:pos="7202" w:val="left" w:leader="dot"/>
        </w:tabs>
        <w:spacing w:line="222" w:lineRule="exact" w:before="0"/>
        <w:ind w:left="5160" w:right="0" w:firstLine="0"/>
        <w:jc w:val="left"/>
        <w:rPr>
          <w:rFonts w:ascii="Arial" w:hAnsi="Arial"/>
          <w:sz w:val="20"/>
        </w:rPr>
      </w:pPr>
      <w:r>
        <w:rPr>
          <w:rFonts w:ascii="Arial" w:hAnsi="Arial"/>
          <w:color w:val="3B383D"/>
          <w:spacing w:val="-5"/>
          <w:w w:val="80"/>
          <w:sz w:val="20"/>
        </w:rPr>
        <w:t>((</w:t>
      </w:r>
      <w:r>
        <w:rPr>
          <w:rFonts w:ascii="Arial" w:hAnsi="Arial"/>
          <w:color w:val="3B383D"/>
          <w:sz w:val="20"/>
        </w:rPr>
        <w:tab/>
      </w:r>
      <w:r>
        <w:rPr>
          <w:rFonts w:ascii="Arial" w:hAnsi="Arial"/>
          <w:color w:val="232126"/>
          <w:spacing w:val="-10"/>
          <w:w w:val="85"/>
          <w:sz w:val="20"/>
        </w:rPr>
        <w:t>»</w:t>
      </w:r>
      <w:r>
        <w:rPr>
          <w:rFonts w:ascii="Arial" w:hAnsi="Arial"/>
          <w:color w:val="232126"/>
          <w:sz w:val="20"/>
          <w:u w:val="single" w:color="090709"/>
        </w:rPr>
        <w:tab/>
      </w:r>
      <w:r>
        <w:rPr>
          <w:rFonts w:ascii="Arial" w:hAnsi="Arial"/>
          <w:color w:val="232126"/>
          <w:spacing w:val="-12"/>
          <w:sz w:val="20"/>
          <w:u w:val="none"/>
        </w:rPr>
        <w:t> </w:t>
      </w:r>
      <w:r>
        <w:rPr>
          <w:rFonts w:ascii="Arial" w:hAnsi="Arial"/>
          <w:color w:val="232126"/>
          <w:w w:val="80"/>
          <w:sz w:val="20"/>
          <w:u w:val="none"/>
        </w:rPr>
        <w:t>,</w:t>
      </w:r>
      <w:r>
        <w:rPr>
          <w:rFonts w:ascii="Arial" w:hAnsi="Arial"/>
          <w:color w:val="232126"/>
          <w:spacing w:val="70"/>
          <w:sz w:val="20"/>
          <w:u w:val="none"/>
        </w:rPr>
        <w:t> </w:t>
      </w:r>
      <w:r>
        <w:rPr>
          <w:rFonts w:ascii="Arial" w:hAnsi="Arial"/>
          <w:color w:val="232126"/>
          <w:w w:val="80"/>
          <w:sz w:val="20"/>
          <w:u w:val="none"/>
        </w:rPr>
        <w:t>,:</w:t>
      </w:r>
      <w:r>
        <w:rPr>
          <w:rFonts w:ascii="Arial" w:hAnsi="Arial"/>
          <w:color w:val="232126"/>
          <w:sz w:val="20"/>
          <w:u w:val="none"/>
        </w:rPr>
        <w:tab/>
      </w:r>
      <w:r>
        <w:rPr>
          <w:rFonts w:ascii="Arial" w:hAnsi="Arial"/>
          <w:color w:val="232126"/>
          <w:spacing w:val="-10"/>
          <w:w w:val="80"/>
          <w:sz w:val="20"/>
          <w:u w:val="none"/>
        </w:rPr>
        <w:t>,</w:t>
      </w:r>
    </w:p>
    <w:p>
      <w:pPr>
        <w:tabs>
          <w:tab w:pos="9198" w:val="left" w:leader="dot"/>
        </w:tabs>
        <w:spacing w:before="112"/>
        <w:ind w:left="1323" w:right="0" w:firstLine="0"/>
        <w:jc w:val="left"/>
        <w:rPr>
          <w:sz w:val="20"/>
        </w:rPr>
      </w:pPr>
      <w:r>
        <w:rPr>
          <w:color w:val="232126"/>
          <w:spacing w:val="-2"/>
          <w:sz w:val="20"/>
        </w:rPr>
        <w:t>Ключ:</w:t>
      </w:r>
      <w:r>
        <w:rPr>
          <w:color w:val="232126"/>
          <w:sz w:val="20"/>
        </w:rPr>
        <w:tab/>
      </w:r>
      <w:r>
        <w:rPr>
          <w:color w:val="6E9EE6"/>
          <w:spacing w:val="-5"/>
          <w:sz w:val="20"/>
        </w:rPr>
        <w:t>'.</w:t>
      </w:r>
    </w:p>
    <w:p>
      <w:pPr>
        <w:spacing w:line="173" w:lineRule="exact" w:before="42"/>
        <w:ind w:left="8678" w:right="0" w:firstLine="0"/>
        <w:jc w:val="left"/>
        <w:rPr>
          <w:rFonts w:ascii="Arial" w:hAnsi="Arial"/>
          <w:i/>
          <w:sz w:val="19"/>
        </w:rPr>
      </w:pPr>
      <w:r>
        <w:rPr>
          <w:rFonts w:ascii="Arial" w:hAnsi="Arial"/>
          <w:i/>
          <w:color w:val="80AEDF"/>
          <w:w w:val="55"/>
          <w:sz w:val="19"/>
        </w:rPr>
        <w:t>,,,.._</w:t>
      </w:r>
      <w:r>
        <w:rPr>
          <w:rFonts w:ascii="Arial" w:hAnsi="Arial"/>
          <w:i/>
          <w:color w:val="6D8ECF"/>
          <w:w w:val="55"/>
          <w:sz w:val="19"/>
        </w:rPr>
        <w:t>-</w:t>
      </w:r>
      <w:r>
        <w:rPr>
          <w:rFonts w:ascii="Arial" w:hAnsi="Arial"/>
          <w:i/>
          <w:color w:val="6D8ECF"/>
          <w:spacing w:val="-2"/>
          <w:w w:val="60"/>
          <w:sz w:val="19"/>
        </w:rPr>
        <w:t>с:и</w:t>
      </w:r>
      <w:r>
        <w:rPr>
          <w:rFonts w:ascii="Arial" w:hAnsi="Arial"/>
          <w:i/>
          <w:color w:val="5987E4"/>
          <w:spacing w:val="-2"/>
          <w:w w:val="60"/>
          <w:sz w:val="19"/>
        </w:rPr>
        <w:t>йс</w:t>
      </w:r>
    </w:p>
    <w:p>
      <w:pPr>
        <w:tabs>
          <w:tab w:pos="8629" w:val="left" w:leader="none"/>
        </w:tabs>
        <w:spacing w:line="189" w:lineRule="exact" w:before="0"/>
        <w:ind w:left="1312" w:right="0" w:firstLine="0"/>
        <w:jc w:val="left"/>
        <w:rPr>
          <w:sz w:val="23"/>
        </w:rPr>
      </w:pPr>
      <w:r>
        <w:rPr>
          <w:color w:val="232126"/>
          <w:spacing w:val="-4"/>
          <w:sz w:val="23"/>
        </w:rPr>
        <w:t>21</w:t>
      </w:r>
      <w:r>
        <w:rPr>
          <w:color w:val="0A080A"/>
          <w:spacing w:val="-4"/>
          <w:sz w:val="23"/>
        </w:rPr>
        <w:t>-</w:t>
      </w:r>
      <w:r>
        <w:rPr>
          <w:color w:val="232126"/>
          <w:spacing w:val="-4"/>
          <w:sz w:val="23"/>
        </w:rPr>
        <w:t>25</w:t>
      </w:r>
      <w:r>
        <w:rPr>
          <w:color w:val="232126"/>
          <w:spacing w:val="-15"/>
          <w:sz w:val="23"/>
        </w:rPr>
        <w:t> </w:t>
      </w:r>
      <w:r>
        <w:rPr>
          <w:color w:val="232126"/>
          <w:spacing w:val="-4"/>
          <w:sz w:val="23"/>
        </w:rPr>
        <w:t>баллов</w:t>
      </w:r>
      <w:r>
        <w:rPr>
          <w:color w:val="232126"/>
          <w:spacing w:val="-5"/>
          <w:sz w:val="23"/>
        </w:rPr>
        <w:t> </w:t>
      </w:r>
      <w:r>
        <w:rPr>
          <w:color w:val="232126"/>
          <w:spacing w:val="-4"/>
          <w:sz w:val="23"/>
        </w:rPr>
        <w:t>-эректильная</w:t>
      </w:r>
      <w:r>
        <w:rPr>
          <w:color w:val="232126"/>
          <w:spacing w:val="27"/>
          <w:sz w:val="23"/>
        </w:rPr>
        <w:t> </w:t>
      </w:r>
      <w:r>
        <w:rPr>
          <w:color w:val="232126"/>
          <w:spacing w:val="-4"/>
          <w:sz w:val="23"/>
        </w:rPr>
        <w:t>дисфункuия</w:t>
      </w:r>
      <w:r>
        <w:rPr>
          <w:color w:val="232126"/>
          <w:spacing w:val="14"/>
          <w:sz w:val="23"/>
        </w:rPr>
        <w:t> </w:t>
      </w:r>
      <w:r>
        <w:rPr>
          <w:color w:val="232126"/>
          <w:spacing w:val="-4"/>
          <w:sz w:val="23"/>
        </w:rPr>
        <w:t>отсугствует</w:t>
      </w:r>
      <w:r>
        <w:rPr>
          <w:color w:val="232126"/>
          <w:sz w:val="23"/>
        </w:rPr>
        <w:tab/>
      </w:r>
      <w:r>
        <w:rPr>
          <w:color w:val="6E9EE6"/>
          <w:spacing w:val="-2"/>
          <w:sz w:val="23"/>
        </w:rPr>
        <w:t>JьЩёст</w:t>
      </w:r>
    </w:p>
    <w:p>
      <w:pPr>
        <w:spacing w:line="164" w:lineRule="exact" w:before="0"/>
        <w:ind w:left="8648" w:right="0" w:firstLine="0"/>
        <w:jc w:val="left"/>
        <w:rPr>
          <w:rFonts w:ascii="Arial" w:hAnsi="Arial"/>
          <w:sz w:val="20"/>
        </w:rPr>
      </w:pPr>
      <w:r>
        <w:rPr>
          <w:rFonts w:ascii="Arial" w:hAnsi="Arial"/>
          <w:color w:val="5987E4"/>
          <w:spacing w:val="-2"/>
          <w:sz w:val="20"/>
        </w:rPr>
        <w:t>УРолоr</w:t>
      </w:r>
    </w:p>
    <w:p>
      <w:pPr>
        <w:tabs>
          <w:tab w:pos="7136" w:val="left" w:leader="none"/>
        </w:tabs>
        <w:spacing w:line="227" w:lineRule="exact" w:before="0"/>
        <w:ind w:left="1324" w:right="0" w:firstLine="0"/>
        <w:jc w:val="left"/>
        <w:rPr>
          <w:sz w:val="23"/>
        </w:rPr>
      </w:pPr>
      <w:r>
        <w:rPr>
          <w:color w:val="0A080A"/>
          <w:spacing w:val="-4"/>
          <w:sz w:val="23"/>
        </w:rPr>
        <w:t>1</w:t>
      </w:r>
      <w:r>
        <w:rPr>
          <w:color w:val="232126"/>
          <w:spacing w:val="-4"/>
          <w:sz w:val="23"/>
        </w:rPr>
        <w:t>6-20</w:t>
      </w:r>
      <w:r>
        <w:rPr>
          <w:color w:val="232126"/>
          <w:spacing w:val="-11"/>
          <w:sz w:val="23"/>
        </w:rPr>
        <w:t> </w:t>
      </w:r>
      <w:r>
        <w:rPr>
          <w:color w:val="232126"/>
          <w:spacing w:val="-4"/>
          <w:sz w:val="23"/>
        </w:rPr>
        <w:t>баллов</w:t>
      </w:r>
      <w:r>
        <w:rPr>
          <w:color w:val="232126"/>
          <w:spacing w:val="2"/>
          <w:sz w:val="23"/>
        </w:rPr>
        <w:t> </w:t>
      </w:r>
      <w:r>
        <w:rPr>
          <w:color w:val="0A080A"/>
          <w:spacing w:val="-4"/>
          <w:sz w:val="23"/>
        </w:rPr>
        <w:t>-</w:t>
      </w:r>
      <w:r>
        <w:rPr>
          <w:color w:val="0A080A"/>
          <w:spacing w:val="-9"/>
          <w:sz w:val="23"/>
        </w:rPr>
        <w:t> </w:t>
      </w:r>
      <w:r>
        <w:rPr>
          <w:color w:val="3B383D"/>
          <w:spacing w:val="-4"/>
          <w:sz w:val="23"/>
        </w:rPr>
        <w:t>э</w:t>
      </w:r>
      <w:r>
        <w:rPr>
          <w:color w:val="0A080A"/>
          <w:spacing w:val="-4"/>
          <w:sz w:val="23"/>
        </w:rPr>
        <w:t>р</w:t>
      </w:r>
      <w:r>
        <w:rPr>
          <w:color w:val="232126"/>
          <w:spacing w:val="-4"/>
          <w:sz w:val="23"/>
        </w:rPr>
        <w:t>ектильная</w:t>
      </w:r>
      <w:r>
        <w:rPr>
          <w:color w:val="232126"/>
          <w:spacing w:val="-10"/>
          <w:sz w:val="23"/>
        </w:rPr>
        <w:t> </w:t>
      </w:r>
      <w:r>
        <w:rPr>
          <w:color w:val="3B383D"/>
          <w:spacing w:val="-4"/>
          <w:sz w:val="23"/>
        </w:rPr>
        <w:t>дисфункuия</w:t>
      </w:r>
      <w:r>
        <w:rPr>
          <w:color w:val="3B383D"/>
          <w:spacing w:val="30"/>
          <w:sz w:val="23"/>
        </w:rPr>
        <w:t> </w:t>
      </w:r>
      <w:r>
        <w:rPr>
          <w:color w:val="232126"/>
          <w:spacing w:val="-4"/>
          <w:sz w:val="23"/>
        </w:rPr>
        <w:t>легкой</w:t>
      </w:r>
      <w:r>
        <w:rPr>
          <w:color w:val="232126"/>
          <w:spacing w:val="13"/>
          <w:sz w:val="23"/>
        </w:rPr>
        <w:t> </w:t>
      </w:r>
      <w:r>
        <w:rPr>
          <w:color w:val="232126"/>
          <w:spacing w:val="-4"/>
          <w:sz w:val="23"/>
        </w:rPr>
        <w:t>степе</w:t>
      </w:r>
      <w:r>
        <w:rPr>
          <w:color w:val="232126"/>
          <w:sz w:val="23"/>
        </w:rPr>
        <w:tab/>
      </w:r>
      <w:r>
        <w:rPr>
          <w:color w:val="CCBFC6"/>
          <w:spacing w:val="-10"/>
          <w:sz w:val="23"/>
        </w:rPr>
        <w:t>/</w:t>
      </w:r>
    </w:p>
    <w:p>
      <w:pPr>
        <w:spacing w:line="186" w:lineRule="exact" w:before="0"/>
        <w:ind w:left="6914" w:right="0" w:firstLine="0"/>
        <w:jc w:val="left"/>
        <w:rPr>
          <w:sz w:val="22"/>
        </w:rPr>
      </w:pPr>
      <w:r>
        <w:rPr>
          <w:color w:val="CCBFC6"/>
          <w:spacing w:val="-10"/>
          <w:sz w:val="22"/>
        </w:rPr>
        <w:t>/</w:t>
      </w:r>
    </w:p>
    <w:p>
      <w:pPr>
        <w:tabs>
          <w:tab w:pos="7039" w:val="left" w:leader="none"/>
        </w:tabs>
        <w:spacing w:line="227" w:lineRule="exact" w:before="0"/>
        <w:ind w:left="1377" w:right="0" w:firstLine="0"/>
        <w:jc w:val="left"/>
        <w:rPr>
          <w:rFonts w:ascii="Arial" w:hAnsi="Arial"/>
          <w:sz w:val="20"/>
        </w:rPr>
      </w:pPr>
      <w:r>
        <w:rPr>
          <w:color w:val="232126"/>
          <w:spacing w:val="-2"/>
          <w:sz w:val="23"/>
        </w:rPr>
        <w:t>1</w:t>
      </w:r>
      <w:r>
        <w:rPr>
          <w:color w:val="0A080A"/>
          <w:spacing w:val="-2"/>
          <w:sz w:val="23"/>
        </w:rPr>
        <w:t>1-</w:t>
      </w:r>
      <w:r>
        <w:rPr>
          <w:color w:val="232126"/>
          <w:spacing w:val="-2"/>
          <w:sz w:val="23"/>
        </w:rPr>
        <w:t>15</w:t>
      </w:r>
      <w:r>
        <w:rPr>
          <w:color w:val="232126"/>
          <w:spacing w:val="-13"/>
          <w:sz w:val="23"/>
        </w:rPr>
        <w:t> </w:t>
      </w:r>
      <w:r>
        <w:rPr>
          <w:color w:val="232126"/>
          <w:spacing w:val="-2"/>
          <w:sz w:val="23"/>
        </w:rPr>
        <w:t>баллов</w:t>
      </w:r>
      <w:r>
        <w:rPr>
          <w:color w:val="232126"/>
          <w:spacing w:val="-12"/>
          <w:sz w:val="23"/>
        </w:rPr>
        <w:t> </w:t>
      </w:r>
      <w:r>
        <w:rPr>
          <w:color w:val="0A080A"/>
          <w:spacing w:val="-2"/>
          <w:sz w:val="23"/>
        </w:rPr>
        <w:t>-</w:t>
      </w:r>
      <w:r>
        <w:rPr>
          <w:color w:val="0A080A"/>
          <w:spacing w:val="-13"/>
          <w:sz w:val="23"/>
        </w:rPr>
        <w:t> </w:t>
      </w:r>
      <w:r>
        <w:rPr>
          <w:color w:val="3B383D"/>
          <w:spacing w:val="-2"/>
          <w:sz w:val="23"/>
        </w:rPr>
        <w:t>эректиль</w:t>
      </w:r>
      <w:r>
        <w:rPr>
          <w:color w:val="0A080A"/>
          <w:spacing w:val="-2"/>
          <w:sz w:val="23"/>
        </w:rPr>
        <w:t>н</w:t>
      </w:r>
      <w:r>
        <w:rPr>
          <w:color w:val="232126"/>
          <w:spacing w:val="-2"/>
          <w:sz w:val="23"/>
        </w:rPr>
        <w:t>ая</w:t>
      </w:r>
      <w:r>
        <w:rPr>
          <w:color w:val="232126"/>
          <w:spacing w:val="-12"/>
          <w:sz w:val="23"/>
        </w:rPr>
        <w:t> </w:t>
      </w:r>
      <w:r>
        <w:rPr>
          <w:color w:val="232126"/>
          <w:spacing w:val="-2"/>
          <w:sz w:val="23"/>
        </w:rPr>
        <w:t>дисфункuия</w:t>
      </w:r>
      <w:r>
        <w:rPr>
          <w:color w:val="232126"/>
          <w:spacing w:val="-1"/>
          <w:sz w:val="23"/>
        </w:rPr>
        <w:t> </w:t>
      </w:r>
      <w:r>
        <w:rPr>
          <w:color w:val="232126"/>
          <w:spacing w:val="-2"/>
          <w:sz w:val="23"/>
        </w:rPr>
        <w:t>умеренной</w:t>
      </w:r>
      <w:r>
        <w:rPr>
          <w:color w:val="232126"/>
          <w:spacing w:val="61"/>
          <w:w w:val="150"/>
          <w:sz w:val="23"/>
        </w:rPr>
        <w:t> </w:t>
      </w:r>
      <w:r>
        <w:rPr>
          <w:color w:val="232126"/>
          <w:spacing w:val="-4"/>
          <w:sz w:val="23"/>
        </w:rPr>
        <w:t>тер</w:t>
      </w:r>
      <w:r>
        <w:rPr>
          <w:color w:val="CCBFC6"/>
          <w:spacing w:val="-4"/>
          <w:sz w:val="23"/>
        </w:rPr>
        <w:t>.</w:t>
      </w:r>
      <w:r>
        <w:rPr>
          <w:color w:val="CCBFC6"/>
          <w:sz w:val="23"/>
        </w:rPr>
        <w:tab/>
      </w:r>
      <w:r>
        <w:rPr>
          <w:rFonts w:ascii="Arial" w:hAnsi="Arial"/>
          <w:color w:val="897C82"/>
          <w:spacing w:val="-10"/>
          <w:sz w:val="20"/>
        </w:rPr>
        <w:t>.</w:t>
      </w:r>
    </w:p>
    <w:p>
      <w:pPr>
        <w:spacing w:before="124"/>
        <w:ind w:left="1369" w:right="0" w:firstLine="0"/>
        <w:jc w:val="left"/>
        <w:rPr>
          <w:sz w:val="23"/>
        </w:rPr>
      </w:pPr>
      <w:r>
        <w:rPr>
          <w:color w:val="232126"/>
          <w:spacing w:val="-4"/>
          <w:sz w:val="23"/>
        </w:rPr>
        <w:t>5</w:t>
      </w:r>
      <w:r>
        <w:rPr>
          <w:color w:val="0A080A"/>
          <w:spacing w:val="-4"/>
          <w:sz w:val="23"/>
        </w:rPr>
        <w:t>-</w:t>
      </w:r>
      <w:r>
        <w:rPr>
          <w:color w:val="232126"/>
          <w:spacing w:val="-4"/>
          <w:sz w:val="23"/>
        </w:rPr>
        <w:t>1О</w:t>
      </w:r>
      <w:r>
        <w:rPr>
          <w:color w:val="232126"/>
          <w:spacing w:val="-11"/>
          <w:sz w:val="23"/>
        </w:rPr>
        <w:t> </w:t>
      </w:r>
      <w:r>
        <w:rPr>
          <w:color w:val="232126"/>
          <w:spacing w:val="-4"/>
          <w:sz w:val="23"/>
        </w:rPr>
        <w:t>баллов</w:t>
      </w:r>
      <w:r>
        <w:rPr>
          <w:color w:val="232126"/>
          <w:spacing w:val="-10"/>
          <w:sz w:val="23"/>
        </w:rPr>
        <w:t> </w:t>
      </w:r>
      <w:r>
        <w:rPr>
          <w:color w:val="0A080A"/>
          <w:spacing w:val="-4"/>
          <w:sz w:val="23"/>
        </w:rPr>
        <w:t>-</w:t>
      </w:r>
      <w:r>
        <w:rPr>
          <w:color w:val="0A080A"/>
          <w:spacing w:val="-11"/>
          <w:sz w:val="23"/>
        </w:rPr>
        <w:t> </w:t>
      </w:r>
      <w:r>
        <w:rPr>
          <w:color w:val="232126"/>
          <w:spacing w:val="-4"/>
          <w:sz w:val="23"/>
        </w:rPr>
        <w:t>выраженная</w:t>
      </w:r>
      <w:r>
        <w:rPr>
          <w:color w:val="232126"/>
          <w:sz w:val="23"/>
        </w:rPr>
        <w:t> </w:t>
      </w:r>
      <w:r>
        <w:rPr>
          <w:color w:val="3B383D"/>
          <w:spacing w:val="-4"/>
          <w:sz w:val="23"/>
        </w:rPr>
        <w:t>эректильная дисфункци</w:t>
      </w:r>
      <w:r>
        <w:rPr>
          <w:color w:val="564F56"/>
          <w:spacing w:val="-4"/>
          <w:sz w:val="23"/>
        </w:rPr>
        <w:t>,и</w:t>
      </w:r>
      <w:r>
        <w:rPr>
          <w:color w:val="CCBFC6"/>
          <w:spacing w:val="-4"/>
          <w:sz w:val="23"/>
        </w:rPr>
        <w:t>/</w:t>
      </w:r>
    </w:p>
    <w:p>
      <w:pPr>
        <w:spacing w:before="175"/>
        <w:ind w:left="5124" w:right="0" w:firstLine="0"/>
        <w:jc w:val="left"/>
        <w:rPr>
          <w:sz w:val="29"/>
        </w:rPr>
      </w:pPr>
      <w:r>
        <w:rPr>
          <w:color w:val="CCBFC6"/>
          <w:spacing w:val="-5"/>
          <w:sz w:val="29"/>
        </w:rPr>
        <w:t>//</w:t>
      </w: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ind w:left="0"/>
        <w:jc w:val="left"/>
        <w:rPr>
          <w:sz w:val="29"/>
        </w:rPr>
      </w:pPr>
    </w:p>
    <w:p>
      <w:pPr>
        <w:pStyle w:val="BodyText"/>
        <w:spacing w:before="266"/>
        <w:ind w:left="0"/>
        <w:jc w:val="left"/>
        <w:rPr>
          <w:sz w:val="29"/>
        </w:rPr>
      </w:pPr>
    </w:p>
    <w:p>
      <w:pPr>
        <w:spacing w:before="0"/>
        <w:ind w:left="5242" w:right="0" w:firstLine="0"/>
        <w:jc w:val="left"/>
        <w:rPr>
          <w:rFonts w:ascii="Arial"/>
          <w:b/>
          <w:sz w:val="21"/>
        </w:rPr>
      </w:pPr>
      <w:r>
        <w:rPr>
          <w:rFonts w:ascii="Arial"/>
          <w:b/>
          <w:color w:val="0A080A"/>
          <w:spacing w:val="-5"/>
          <w:w w:val="105"/>
          <w:sz w:val="21"/>
        </w:rPr>
        <w:t>31</w:t>
      </w:r>
    </w:p>
    <w:sectPr>
      <w:footerReference w:type="default" r:id="rId11"/>
      <w:pgSz w:w="12390" w:h="17170"/>
      <w:pgMar w:header="0" w:footer="0" w:top="400" w:bottom="280" w:left="1740" w:right="12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CC"/>
    <w:family w:val="roman"/>
    <w:pitch w:val="variable"/>
  </w:font>
  <w:font w:name="Arial">
    <w:altName w:val="Arial"/>
    <w:charset w:val="CC"/>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mc:AlternateContent>
        <mc:Choice Requires="wps">
          <w:drawing>
            <wp:anchor distT="0" distB="0" distL="0" distR="0" allowOverlap="1" layoutInCell="1" locked="0" behindDoc="1" simplePos="0" relativeHeight="486841856">
              <wp:simplePos x="0" y="0"/>
              <wp:positionH relativeFrom="page">
                <wp:posOffset>4179189</wp:posOffset>
              </wp:positionH>
              <wp:positionV relativeFrom="page">
                <wp:posOffset>9997107</wp:posOffset>
              </wp:positionV>
              <wp:extent cx="196215" cy="22987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196215" cy="229870"/>
                      </a:xfrm>
                      <a:prstGeom prst="rect">
                        <a:avLst/>
                      </a:prstGeom>
                    </wps:spPr>
                    <wps:txbx>
                      <w:txbxContent>
                        <w:p>
                          <w:pPr>
                            <w:pStyle w:val="BodyText"/>
                            <w:spacing w:before="51"/>
                            <w:ind w:left="20"/>
                            <w:jc w:val="left"/>
                            <w:rPr>
                              <w:rFonts w:ascii="Arial"/>
                            </w:rPr>
                          </w:pPr>
                          <w:r>
                            <w:rPr>
                              <w:rFonts w:ascii="Arial"/>
                              <w:spacing w:val="-5"/>
                            </w:rPr>
                            <w:fldChar w:fldCharType="begin"/>
                          </w:r>
                          <w:r>
                            <w:rPr>
                              <w:rFonts w:ascii="Arial"/>
                              <w:spacing w:val="-5"/>
                            </w:rPr>
                            <w:instrText> PAGE </w:instrText>
                          </w:r>
                          <w:r>
                            <w:rPr>
                              <w:rFonts w:ascii="Arial"/>
                              <w:spacing w:val="-5"/>
                            </w:rPr>
                            <w:fldChar w:fldCharType="separate"/>
                          </w:r>
                          <w:r>
                            <w:rPr>
                              <w:rFonts w:ascii="Arial"/>
                              <w:spacing w:val="-5"/>
                            </w:rPr>
                            <w:t>14</w:t>
                          </w:r>
                          <w:r>
                            <w:rPr>
                              <w:rFonts w:ascii="Arial"/>
                              <w:spacing w:val="-5"/>
                            </w:rPr>
                            <w:fldChar w:fldCharType="end"/>
                          </w:r>
                        </w:p>
                      </w:txbxContent>
                    </wps:txbx>
                    <wps:bodyPr wrap="square" lIns="0" tIns="0" rIns="0" bIns="0" rtlCol="0">
                      <a:noAutofit/>
                    </wps:bodyPr>
                  </wps:wsp>
                </a:graphicData>
              </a:graphic>
            </wp:anchor>
          </w:drawing>
        </mc:Choice>
        <mc:Fallback>
          <w:pict>
            <v:shape style="position:absolute;margin-left:329.070007pt;margin-top:787.173828pt;width:15.45pt;height:18.1pt;mso-position-horizontal-relative:page;mso-position-vertical-relative:page;z-index:-16474624" type="#_x0000_t202" id="docshape6" filled="false" stroked="false">
              <v:textbox inset="0,0,0,0">
                <w:txbxContent>
                  <w:p>
                    <w:pPr>
                      <w:pStyle w:val="BodyText"/>
                      <w:spacing w:before="51"/>
                      <w:ind w:left="20"/>
                      <w:jc w:val="left"/>
                      <w:rPr>
                        <w:rFonts w:ascii="Arial"/>
                      </w:rPr>
                    </w:pPr>
                    <w:r>
                      <w:rPr>
                        <w:rFonts w:ascii="Arial"/>
                        <w:spacing w:val="-5"/>
                      </w:rPr>
                      <w:fldChar w:fldCharType="begin"/>
                    </w:r>
                    <w:r>
                      <w:rPr>
                        <w:rFonts w:ascii="Arial"/>
                        <w:spacing w:val="-5"/>
                      </w:rPr>
                      <w:instrText> PAGE </w:instrText>
                    </w:r>
                    <w:r>
                      <w:rPr>
                        <w:rFonts w:ascii="Arial"/>
                        <w:spacing w:val="-5"/>
                      </w:rPr>
                      <w:fldChar w:fldCharType="separate"/>
                    </w:r>
                    <w:r>
                      <w:rPr>
                        <w:rFonts w:ascii="Arial"/>
                        <w:spacing w:val="-5"/>
                      </w:rPr>
                      <w:t>14</w:t>
                    </w:r>
                    <w:r>
                      <w:rPr>
                        <w:rFonts w:ascii="Arial"/>
                        <w:spacing w:val="-5"/>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1"/>
      <w:numFmt w:val="decimal"/>
      <w:lvlText w:val="%1."/>
      <w:lvlJc w:val="left"/>
      <w:pPr>
        <w:ind w:left="2158" w:hanging="708"/>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3036" w:hanging="708"/>
      </w:pPr>
      <w:rPr>
        <w:rFonts w:hint="default"/>
        <w:lang w:val="ru-RU" w:eastAsia="en-US" w:bidi="ar-SA"/>
      </w:rPr>
    </w:lvl>
    <w:lvl w:ilvl="2">
      <w:start w:val="0"/>
      <w:numFmt w:val="bullet"/>
      <w:lvlText w:val="•"/>
      <w:lvlJc w:val="left"/>
      <w:pPr>
        <w:ind w:left="3913" w:hanging="708"/>
      </w:pPr>
      <w:rPr>
        <w:rFonts w:hint="default"/>
        <w:lang w:val="ru-RU" w:eastAsia="en-US" w:bidi="ar-SA"/>
      </w:rPr>
    </w:lvl>
    <w:lvl w:ilvl="3">
      <w:start w:val="0"/>
      <w:numFmt w:val="bullet"/>
      <w:lvlText w:val="•"/>
      <w:lvlJc w:val="left"/>
      <w:pPr>
        <w:ind w:left="4789" w:hanging="708"/>
      </w:pPr>
      <w:rPr>
        <w:rFonts w:hint="default"/>
        <w:lang w:val="ru-RU" w:eastAsia="en-US" w:bidi="ar-SA"/>
      </w:rPr>
    </w:lvl>
    <w:lvl w:ilvl="4">
      <w:start w:val="0"/>
      <w:numFmt w:val="bullet"/>
      <w:lvlText w:val="•"/>
      <w:lvlJc w:val="left"/>
      <w:pPr>
        <w:ind w:left="5666" w:hanging="708"/>
      </w:pPr>
      <w:rPr>
        <w:rFonts w:hint="default"/>
        <w:lang w:val="ru-RU" w:eastAsia="en-US" w:bidi="ar-SA"/>
      </w:rPr>
    </w:lvl>
    <w:lvl w:ilvl="5">
      <w:start w:val="0"/>
      <w:numFmt w:val="bullet"/>
      <w:lvlText w:val="•"/>
      <w:lvlJc w:val="left"/>
      <w:pPr>
        <w:ind w:left="6543" w:hanging="708"/>
      </w:pPr>
      <w:rPr>
        <w:rFonts w:hint="default"/>
        <w:lang w:val="ru-RU" w:eastAsia="en-US" w:bidi="ar-SA"/>
      </w:rPr>
    </w:lvl>
    <w:lvl w:ilvl="6">
      <w:start w:val="0"/>
      <w:numFmt w:val="bullet"/>
      <w:lvlText w:val="•"/>
      <w:lvlJc w:val="left"/>
      <w:pPr>
        <w:ind w:left="7419" w:hanging="708"/>
      </w:pPr>
      <w:rPr>
        <w:rFonts w:hint="default"/>
        <w:lang w:val="ru-RU" w:eastAsia="en-US" w:bidi="ar-SA"/>
      </w:rPr>
    </w:lvl>
    <w:lvl w:ilvl="7">
      <w:start w:val="0"/>
      <w:numFmt w:val="bullet"/>
      <w:lvlText w:val="•"/>
      <w:lvlJc w:val="left"/>
      <w:pPr>
        <w:ind w:left="8296" w:hanging="708"/>
      </w:pPr>
      <w:rPr>
        <w:rFonts w:hint="default"/>
        <w:lang w:val="ru-RU" w:eastAsia="en-US" w:bidi="ar-SA"/>
      </w:rPr>
    </w:lvl>
    <w:lvl w:ilvl="8">
      <w:start w:val="0"/>
      <w:numFmt w:val="bullet"/>
      <w:lvlText w:val="•"/>
      <w:lvlJc w:val="left"/>
      <w:pPr>
        <w:ind w:left="9173" w:hanging="708"/>
      </w:pPr>
      <w:rPr>
        <w:rFonts w:hint="default"/>
        <w:lang w:val="ru-RU" w:eastAsia="en-US" w:bidi="ar-SA"/>
      </w:rPr>
    </w:lvl>
  </w:abstractNum>
  <w:abstractNum w:abstractNumId="4">
    <w:multiLevelType w:val="hybridMultilevel"/>
    <w:lvl w:ilvl="0">
      <w:start w:val="1"/>
      <w:numFmt w:val="decimal"/>
      <w:lvlText w:val="%1."/>
      <w:lvlJc w:val="left"/>
      <w:pPr>
        <w:ind w:left="1690" w:hanging="240"/>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0"/>
      <w:numFmt w:val="bullet"/>
      <w:lvlText w:val="•"/>
      <w:lvlJc w:val="left"/>
      <w:pPr>
        <w:ind w:left="2622" w:hanging="240"/>
      </w:pPr>
      <w:rPr>
        <w:rFonts w:hint="default"/>
        <w:lang w:val="ru-RU" w:eastAsia="en-US" w:bidi="ar-SA"/>
      </w:rPr>
    </w:lvl>
    <w:lvl w:ilvl="2">
      <w:start w:val="0"/>
      <w:numFmt w:val="bullet"/>
      <w:lvlText w:val="•"/>
      <w:lvlJc w:val="left"/>
      <w:pPr>
        <w:ind w:left="3545" w:hanging="240"/>
      </w:pPr>
      <w:rPr>
        <w:rFonts w:hint="default"/>
        <w:lang w:val="ru-RU" w:eastAsia="en-US" w:bidi="ar-SA"/>
      </w:rPr>
    </w:lvl>
    <w:lvl w:ilvl="3">
      <w:start w:val="0"/>
      <w:numFmt w:val="bullet"/>
      <w:lvlText w:val="•"/>
      <w:lvlJc w:val="left"/>
      <w:pPr>
        <w:ind w:left="4467" w:hanging="240"/>
      </w:pPr>
      <w:rPr>
        <w:rFonts w:hint="default"/>
        <w:lang w:val="ru-RU" w:eastAsia="en-US" w:bidi="ar-SA"/>
      </w:rPr>
    </w:lvl>
    <w:lvl w:ilvl="4">
      <w:start w:val="0"/>
      <w:numFmt w:val="bullet"/>
      <w:lvlText w:val="•"/>
      <w:lvlJc w:val="left"/>
      <w:pPr>
        <w:ind w:left="5390" w:hanging="240"/>
      </w:pPr>
      <w:rPr>
        <w:rFonts w:hint="default"/>
        <w:lang w:val="ru-RU" w:eastAsia="en-US" w:bidi="ar-SA"/>
      </w:rPr>
    </w:lvl>
    <w:lvl w:ilvl="5">
      <w:start w:val="0"/>
      <w:numFmt w:val="bullet"/>
      <w:lvlText w:val="•"/>
      <w:lvlJc w:val="left"/>
      <w:pPr>
        <w:ind w:left="6313" w:hanging="240"/>
      </w:pPr>
      <w:rPr>
        <w:rFonts w:hint="default"/>
        <w:lang w:val="ru-RU" w:eastAsia="en-US" w:bidi="ar-SA"/>
      </w:rPr>
    </w:lvl>
    <w:lvl w:ilvl="6">
      <w:start w:val="0"/>
      <w:numFmt w:val="bullet"/>
      <w:lvlText w:val="•"/>
      <w:lvlJc w:val="left"/>
      <w:pPr>
        <w:ind w:left="7235" w:hanging="240"/>
      </w:pPr>
      <w:rPr>
        <w:rFonts w:hint="default"/>
        <w:lang w:val="ru-RU" w:eastAsia="en-US" w:bidi="ar-SA"/>
      </w:rPr>
    </w:lvl>
    <w:lvl w:ilvl="7">
      <w:start w:val="0"/>
      <w:numFmt w:val="bullet"/>
      <w:lvlText w:val="•"/>
      <w:lvlJc w:val="left"/>
      <w:pPr>
        <w:ind w:left="8158" w:hanging="240"/>
      </w:pPr>
      <w:rPr>
        <w:rFonts w:hint="default"/>
        <w:lang w:val="ru-RU" w:eastAsia="en-US" w:bidi="ar-SA"/>
      </w:rPr>
    </w:lvl>
    <w:lvl w:ilvl="8">
      <w:start w:val="0"/>
      <w:numFmt w:val="bullet"/>
      <w:lvlText w:val="•"/>
      <w:lvlJc w:val="left"/>
      <w:pPr>
        <w:ind w:left="9081" w:hanging="240"/>
      </w:pPr>
      <w:rPr>
        <w:rFonts w:hint="default"/>
        <w:lang w:val="ru-RU" w:eastAsia="en-US" w:bidi="ar-SA"/>
      </w:rPr>
    </w:lvl>
  </w:abstractNum>
  <w:abstractNum w:abstractNumId="3">
    <w:multiLevelType w:val="hybridMultilevel"/>
    <w:lvl w:ilvl="0">
      <w:start w:val="1"/>
      <w:numFmt w:val="decimal"/>
      <w:lvlText w:val="[%1]"/>
      <w:lvlJc w:val="left"/>
      <w:pPr>
        <w:ind w:left="742" w:hanging="642"/>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1"/>
      <w:numFmt w:val="decimal"/>
      <w:lvlText w:val="%2."/>
      <w:lvlJc w:val="left"/>
      <w:pPr>
        <w:ind w:left="742" w:hanging="708"/>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2">
      <w:start w:val="0"/>
      <w:numFmt w:val="bullet"/>
      <w:lvlText w:val="•"/>
      <w:lvlJc w:val="left"/>
      <w:pPr>
        <w:ind w:left="2777" w:hanging="708"/>
      </w:pPr>
      <w:rPr>
        <w:rFonts w:hint="default"/>
        <w:lang w:val="ru-RU" w:eastAsia="en-US" w:bidi="ar-SA"/>
      </w:rPr>
    </w:lvl>
    <w:lvl w:ilvl="3">
      <w:start w:val="0"/>
      <w:numFmt w:val="bullet"/>
      <w:lvlText w:val="•"/>
      <w:lvlJc w:val="left"/>
      <w:pPr>
        <w:ind w:left="3795" w:hanging="708"/>
      </w:pPr>
      <w:rPr>
        <w:rFonts w:hint="default"/>
        <w:lang w:val="ru-RU" w:eastAsia="en-US" w:bidi="ar-SA"/>
      </w:rPr>
    </w:lvl>
    <w:lvl w:ilvl="4">
      <w:start w:val="0"/>
      <w:numFmt w:val="bullet"/>
      <w:lvlText w:val="•"/>
      <w:lvlJc w:val="left"/>
      <w:pPr>
        <w:ind w:left="4814" w:hanging="708"/>
      </w:pPr>
      <w:rPr>
        <w:rFonts w:hint="default"/>
        <w:lang w:val="ru-RU" w:eastAsia="en-US" w:bidi="ar-SA"/>
      </w:rPr>
    </w:lvl>
    <w:lvl w:ilvl="5">
      <w:start w:val="0"/>
      <w:numFmt w:val="bullet"/>
      <w:lvlText w:val="•"/>
      <w:lvlJc w:val="left"/>
      <w:pPr>
        <w:ind w:left="5833" w:hanging="708"/>
      </w:pPr>
      <w:rPr>
        <w:rFonts w:hint="default"/>
        <w:lang w:val="ru-RU" w:eastAsia="en-US" w:bidi="ar-SA"/>
      </w:rPr>
    </w:lvl>
    <w:lvl w:ilvl="6">
      <w:start w:val="0"/>
      <w:numFmt w:val="bullet"/>
      <w:lvlText w:val="•"/>
      <w:lvlJc w:val="left"/>
      <w:pPr>
        <w:ind w:left="6851" w:hanging="708"/>
      </w:pPr>
      <w:rPr>
        <w:rFonts w:hint="default"/>
        <w:lang w:val="ru-RU" w:eastAsia="en-US" w:bidi="ar-SA"/>
      </w:rPr>
    </w:lvl>
    <w:lvl w:ilvl="7">
      <w:start w:val="0"/>
      <w:numFmt w:val="bullet"/>
      <w:lvlText w:val="•"/>
      <w:lvlJc w:val="left"/>
      <w:pPr>
        <w:ind w:left="7870" w:hanging="708"/>
      </w:pPr>
      <w:rPr>
        <w:rFonts w:hint="default"/>
        <w:lang w:val="ru-RU" w:eastAsia="en-US" w:bidi="ar-SA"/>
      </w:rPr>
    </w:lvl>
    <w:lvl w:ilvl="8">
      <w:start w:val="0"/>
      <w:numFmt w:val="bullet"/>
      <w:lvlText w:val="•"/>
      <w:lvlJc w:val="left"/>
      <w:pPr>
        <w:ind w:left="8889" w:hanging="708"/>
      </w:pPr>
      <w:rPr>
        <w:rFonts w:hint="default"/>
        <w:lang w:val="ru-RU" w:eastAsia="en-US" w:bidi="ar-SA"/>
      </w:rPr>
    </w:lvl>
  </w:abstractNum>
  <w:abstractNum w:abstractNumId="2">
    <w:multiLevelType w:val="hybridMultilevel"/>
    <w:lvl w:ilvl="0">
      <w:start w:val="0"/>
      <w:numFmt w:val="bullet"/>
      <w:lvlText w:val="·"/>
      <w:lvlJc w:val="left"/>
      <w:pPr>
        <w:ind w:left="742" w:hanging="720"/>
      </w:pPr>
      <w:rPr>
        <w:rFonts w:hint="default" w:ascii="Arial" w:hAnsi="Arial" w:eastAsia="Arial" w:cs="Arial"/>
        <w:b w:val="0"/>
        <w:bCs w:val="0"/>
        <w:i w:val="0"/>
        <w:iCs w:val="0"/>
        <w:spacing w:val="0"/>
        <w:w w:val="99"/>
        <w:sz w:val="20"/>
        <w:szCs w:val="20"/>
        <w:lang w:val="ru-RU" w:eastAsia="en-US" w:bidi="ar-SA"/>
      </w:rPr>
    </w:lvl>
    <w:lvl w:ilvl="1">
      <w:start w:val="0"/>
      <w:numFmt w:val="bullet"/>
      <w:lvlText w:val="•"/>
      <w:lvlJc w:val="left"/>
      <w:pPr>
        <w:ind w:left="1758" w:hanging="720"/>
      </w:pPr>
      <w:rPr>
        <w:rFonts w:hint="default"/>
        <w:lang w:val="ru-RU" w:eastAsia="en-US" w:bidi="ar-SA"/>
      </w:rPr>
    </w:lvl>
    <w:lvl w:ilvl="2">
      <w:start w:val="0"/>
      <w:numFmt w:val="bullet"/>
      <w:lvlText w:val="•"/>
      <w:lvlJc w:val="left"/>
      <w:pPr>
        <w:ind w:left="2777" w:hanging="720"/>
      </w:pPr>
      <w:rPr>
        <w:rFonts w:hint="default"/>
        <w:lang w:val="ru-RU" w:eastAsia="en-US" w:bidi="ar-SA"/>
      </w:rPr>
    </w:lvl>
    <w:lvl w:ilvl="3">
      <w:start w:val="0"/>
      <w:numFmt w:val="bullet"/>
      <w:lvlText w:val="•"/>
      <w:lvlJc w:val="left"/>
      <w:pPr>
        <w:ind w:left="3795" w:hanging="720"/>
      </w:pPr>
      <w:rPr>
        <w:rFonts w:hint="default"/>
        <w:lang w:val="ru-RU" w:eastAsia="en-US" w:bidi="ar-SA"/>
      </w:rPr>
    </w:lvl>
    <w:lvl w:ilvl="4">
      <w:start w:val="0"/>
      <w:numFmt w:val="bullet"/>
      <w:lvlText w:val="•"/>
      <w:lvlJc w:val="left"/>
      <w:pPr>
        <w:ind w:left="4814" w:hanging="720"/>
      </w:pPr>
      <w:rPr>
        <w:rFonts w:hint="default"/>
        <w:lang w:val="ru-RU" w:eastAsia="en-US" w:bidi="ar-SA"/>
      </w:rPr>
    </w:lvl>
    <w:lvl w:ilvl="5">
      <w:start w:val="0"/>
      <w:numFmt w:val="bullet"/>
      <w:lvlText w:val="•"/>
      <w:lvlJc w:val="left"/>
      <w:pPr>
        <w:ind w:left="5833" w:hanging="720"/>
      </w:pPr>
      <w:rPr>
        <w:rFonts w:hint="default"/>
        <w:lang w:val="ru-RU" w:eastAsia="en-US" w:bidi="ar-SA"/>
      </w:rPr>
    </w:lvl>
    <w:lvl w:ilvl="6">
      <w:start w:val="0"/>
      <w:numFmt w:val="bullet"/>
      <w:lvlText w:val="•"/>
      <w:lvlJc w:val="left"/>
      <w:pPr>
        <w:ind w:left="6851" w:hanging="720"/>
      </w:pPr>
      <w:rPr>
        <w:rFonts w:hint="default"/>
        <w:lang w:val="ru-RU" w:eastAsia="en-US" w:bidi="ar-SA"/>
      </w:rPr>
    </w:lvl>
    <w:lvl w:ilvl="7">
      <w:start w:val="0"/>
      <w:numFmt w:val="bullet"/>
      <w:lvlText w:val="•"/>
      <w:lvlJc w:val="left"/>
      <w:pPr>
        <w:ind w:left="7870" w:hanging="720"/>
      </w:pPr>
      <w:rPr>
        <w:rFonts w:hint="default"/>
        <w:lang w:val="ru-RU" w:eastAsia="en-US" w:bidi="ar-SA"/>
      </w:rPr>
    </w:lvl>
    <w:lvl w:ilvl="8">
      <w:start w:val="0"/>
      <w:numFmt w:val="bullet"/>
      <w:lvlText w:val="•"/>
      <w:lvlJc w:val="left"/>
      <w:pPr>
        <w:ind w:left="8889" w:hanging="720"/>
      </w:pPr>
      <w:rPr>
        <w:rFonts w:hint="default"/>
        <w:lang w:val="ru-RU" w:eastAsia="en-US" w:bidi="ar-SA"/>
      </w:rPr>
    </w:lvl>
  </w:abstractNum>
  <w:abstractNum w:abstractNumId="1">
    <w:multiLevelType w:val="hybridMultilevel"/>
    <w:lvl w:ilvl="0">
      <w:start w:val="1"/>
      <w:numFmt w:val="decimal"/>
      <w:lvlText w:val="%1."/>
      <w:lvlJc w:val="left"/>
      <w:pPr>
        <w:ind w:left="3617" w:hanging="281"/>
        <w:jc w:val="right"/>
      </w:pPr>
      <w:rPr>
        <w:rFonts w:hint="default"/>
        <w:spacing w:val="0"/>
        <w:w w:val="100"/>
        <w:lang w:val="ru-RU" w:eastAsia="en-US" w:bidi="ar-SA"/>
      </w:rPr>
    </w:lvl>
    <w:lvl w:ilvl="1">
      <w:start w:val="1"/>
      <w:numFmt w:val="decimal"/>
      <w:lvlText w:val="%1.%2"/>
      <w:lvlJc w:val="left"/>
      <w:pPr>
        <w:ind w:left="1810" w:hanging="360"/>
        <w:jc w:val="right"/>
      </w:pPr>
      <w:rPr>
        <w:rFonts w:hint="default"/>
        <w:spacing w:val="0"/>
        <w:w w:val="93"/>
        <w:u w:val="single" w:color="000000"/>
        <w:lang w:val="ru-RU" w:eastAsia="en-US" w:bidi="ar-SA"/>
      </w:rPr>
    </w:lvl>
    <w:lvl w:ilvl="2">
      <w:start w:val="0"/>
      <w:numFmt w:val="bullet"/>
      <w:lvlText w:val="•"/>
      <w:lvlJc w:val="left"/>
      <w:pPr>
        <w:ind w:left="3620" w:hanging="360"/>
      </w:pPr>
      <w:rPr>
        <w:rFonts w:hint="default"/>
        <w:lang w:val="ru-RU" w:eastAsia="en-US" w:bidi="ar-SA"/>
      </w:rPr>
    </w:lvl>
    <w:lvl w:ilvl="3">
      <w:start w:val="0"/>
      <w:numFmt w:val="bullet"/>
      <w:lvlText w:val="•"/>
      <w:lvlJc w:val="left"/>
      <w:pPr>
        <w:ind w:left="4533" w:hanging="360"/>
      </w:pPr>
      <w:rPr>
        <w:rFonts w:hint="default"/>
        <w:lang w:val="ru-RU" w:eastAsia="en-US" w:bidi="ar-SA"/>
      </w:rPr>
    </w:lvl>
    <w:lvl w:ilvl="4">
      <w:start w:val="0"/>
      <w:numFmt w:val="bullet"/>
      <w:lvlText w:val="•"/>
      <w:lvlJc w:val="left"/>
      <w:pPr>
        <w:ind w:left="5446" w:hanging="360"/>
      </w:pPr>
      <w:rPr>
        <w:rFonts w:hint="default"/>
        <w:lang w:val="ru-RU" w:eastAsia="en-US" w:bidi="ar-SA"/>
      </w:rPr>
    </w:lvl>
    <w:lvl w:ilvl="5">
      <w:start w:val="0"/>
      <w:numFmt w:val="bullet"/>
      <w:lvlText w:val="•"/>
      <w:lvlJc w:val="left"/>
      <w:pPr>
        <w:ind w:left="6359" w:hanging="360"/>
      </w:pPr>
      <w:rPr>
        <w:rFonts w:hint="default"/>
        <w:lang w:val="ru-RU" w:eastAsia="en-US" w:bidi="ar-SA"/>
      </w:rPr>
    </w:lvl>
    <w:lvl w:ilvl="6">
      <w:start w:val="0"/>
      <w:numFmt w:val="bullet"/>
      <w:lvlText w:val="•"/>
      <w:lvlJc w:val="left"/>
      <w:pPr>
        <w:ind w:left="7273" w:hanging="360"/>
      </w:pPr>
      <w:rPr>
        <w:rFonts w:hint="default"/>
        <w:lang w:val="ru-RU" w:eastAsia="en-US" w:bidi="ar-SA"/>
      </w:rPr>
    </w:lvl>
    <w:lvl w:ilvl="7">
      <w:start w:val="0"/>
      <w:numFmt w:val="bullet"/>
      <w:lvlText w:val="•"/>
      <w:lvlJc w:val="left"/>
      <w:pPr>
        <w:ind w:left="8186" w:hanging="360"/>
      </w:pPr>
      <w:rPr>
        <w:rFonts w:hint="default"/>
        <w:lang w:val="ru-RU" w:eastAsia="en-US" w:bidi="ar-SA"/>
      </w:rPr>
    </w:lvl>
    <w:lvl w:ilvl="8">
      <w:start w:val="0"/>
      <w:numFmt w:val="bullet"/>
      <w:lvlText w:val="•"/>
      <w:lvlJc w:val="left"/>
      <w:pPr>
        <w:ind w:left="9099" w:hanging="360"/>
      </w:pPr>
      <w:rPr>
        <w:rFonts w:hint="default"/>
        <w:lang w:val="ru-RU" w:eastAsia="en-US" w:bidi="ar-SA"/>
      </w:rPr>
    </w:lvl>
  </w:abstractNum>
  <w:abstractNum w:abstractNumId="0">
    <w:multiLevelType w:val="hybridMultilevel"/>
    <w:lvl w:ilvl="0">
      <w:start w:val="1"/>
      <w:numFmt w:val="decimal"/>
      <w:lvlText w:val="%1."/>
      <w:lvlJc w:val="left"/>
      <w:pPr>
        <w:ind w:left="742" w:hanging="276"/>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start w:val="1"/>
      <w:numFmt w:val="decimal"/>
      <w:lvlText w:val="%1.%2"/>
      <w:lvlJc w:val="left"/>
      <w:pPr>
        <w:ind w:left="1385" w:hanging="360"/>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2">
      <w:start w:val="0"/>
      <w:numFmt w:val="bullet"/>
      <w:lvlText w:val="•"/>
      <w:lvlJc w:val="left"/>
      <w:pPr>
        <w:ind w:left="2440" w:hanging="360"/>
      </w:pPr>
      <w:rPr>
        <w:rFonts w:hint="default"/>
        <w:lang w:val="ru-RU" w:eastAsia="en-US" w:bidi="ar-SA"/>
      </w:rPr>
    </w:lvl>
    <w:lvl w:ilvl="3">
      <w:start w:val="0"/>
      <w:numFmt w:val="bullet"/>
      <w:lvlText w:val="•"/>
      <w:lvlJc w:val="left"/>
      <w:pPr>
        <w:ind w:left="3501" w:hanging="360"/>
      </w:pPr>
      <w:rPr>
        <w:rFonts w:hint="default"/>
        <w:lang w:val="ru-RU" w:eastAsia="en-US" w:bidi="ar-SA"/>
      </w:rPr>
    </w:lvl>
    <w:lvl w:ilvl="4">
      <w:start w:val="0"/>
      <w:numFmt w:val="bullet"/>
      <w:lvlText w:val="•"/>
      <w:lvlJc w:val="left"/>
      <w:pPr>
        <w:ind w:left="4562" w:hanging="360"/>
      </w:pPr>
      <w:rPr>
        <w:rFonts w:hint="default"/>
        <w:lang w:val="ru-RU" w:eastAsia="en-US" w:bidi="ar-SA"/>
      </w:rPr>
    </w:lvl>
    <w:lvl w:ilvl="5">
      <w:start w:val="0"/>
      <w:numFmt w:val="bullet"/>
      <w:lvlText w:val="•"/>
      <w:lvlJc w:val="left"/>
      <w:pPr>
        <w:ind w:left="5622" w:hanging="360"/>
      </w:pPr>
      <w:rPr>
        <w:rFonts w:hint="default"/>
        <w:lang w:val="ru-RU" w:eastAsia="en-US" w:bidi="ar-SA"/>
      </w:rPr>
    </w:lvl>
    <w:lvl w:ilvl="6">
      <w:start w:val="0"/>
      <w:numFmt w:val="bullet"/>
      <w:lvlText w:val="•"/>
      <w:lvlJc w:val="left"/>
      <w:pPr>
        <w:ind w:left="6683" w:hanging="360"/>
      </w:pPr>
      <w:rPr>
        <w:rFonts w:hint="default"/>
        <w:lang w:val="ru-RU" w:eastAsia="en-US" w:bidi="ar-SA"/>
      </w:rPr>
    </w:lvl>
    <w:lvl w:ilvl="7">
      <w:start w:val="0"/>
      <w:numFmt w:val="bullet"/>
      <w:lvlText w:val="•"/>
      <w:lvlJc w:val="left"/>
      <w:pPr>
        <w:ind w:left="7744" w:hanging="360"/>
      </w:pPr>
      <w:rPr>
        <w:rFonts w:hint="default"/>
        <w:lang w:val="ru-RU" w:eastAsia="en-US" w:bidi="ar-SA"/>
      </w:rPr>
    </w:lvl>
    <w:lvl w:ilvl="8">
      <w:start w:val="0"/>
      <w:numFmt w:val="bullet"/>
      <w:lvlText w:val="•"/>
      <w:lvlJc w:val="left"/>
      <w:pPr>
        <w:ind w:left="8804" w:hanging="360"/>
      </w:pPr>
      <w:rPr>
        <w:rFonts w:hint="default"/>
        <w:lang w:val="ru-RU" w:eastAsia="en-US" w:bidi="ar-SA"/>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TOC1" w:type="paragraph">
    <w:name w:val="TOC 1"/>
    <w:basedOn w:val="Normal"/>
    <w:uiPriority w:val="1"/>
    <w:qFormat/>
    <w:pPr>
      <w:spacing w:before="137"/>
      <w:ind w:left="1385" w:hanging="360"/>
      <w:jc w:val="both"/>
    </w:pPr>
    <w:rPr>
      <w:rFonts w:ascii="Times New Roman" w:hAnsi="Times New Roman" w:eastAsia="Times New Roman" w:cs="Times New Roman"/>
      <w:sz w:val="24"/>
      <w:szCs w:val="24"/>
      <w:lang w:val="ru-RU" w:eastAsia="en-US" w:bidi="ar-SA"/>
    </w:rPr>
  </w:style>
  <w:style w:styleId="TOC2" w:type="paragraph">
    <w:name w:val="TOC 2"/>
    <w:basedOn w:val="Normal"/>
    <w:uiPriority w:val="1"/>
    <w:qFormat/>
    <w:pPr>
      <w:spacing w:before="1"/>
      <w:ind w:left="742" w:firstLine="707"/>
      <w:jc w:val="both"/>
    </w:pPr>
    <w:rPr>
      <w:rFonts w:ascii="Times New Roman" w:hAnsi="Times New Roman" w:eastAsia="Times New Roman" w:cs="Times New Roman"/>
      <w:sz w:val="24"/>
      <w:szCs w:val="24"/>
      <w:lang w:val="ru-RU" w:eastAsia="en-US" w:bidi="ar-SA"/>
    </w:rPr>
  </w:style>
  <w:style w:styleId="BodyText" w:type="paragraph">
    <w:name w:val="Body Text"/>
    <w:basedOn w:val="Normal"/>
    <w:uiPriority w:val="1"/>
    <w:qFormat/>
    <w:pPr>
      <w:ind w:left="742"/>
      <w:jc w:val="both"/>
    </w:pPr>
    <w:rPr>
      <w:rFonts w:ascii="Times New Roman" w:hAnsi="Times New Roman" w:eastAsia="Times New Roman" w:cs="Times New Roman"/>
      <w:sz w:val="24"/>
      <w:szCs w:val="24"/>
      <w:lang w:val="ru-RU" w:eastAsia="en-US" w:bidi="ar-SA"/>
    </w:rPr>
  </w:style>
  <w:style w:styleId="Heading1" w:type="paragraph">
    <w:name w:val="Heading 1"/>
    <w:basedOn w:val="Normal"/>
    <w:uiPriority w:val="1"/>
    <w:qFormat/>
    <w:pPr>
      <w:ind w:left="742"/>
      <w:outlineLvl w:val="1"/>
    </w:pPr>
    <w:rPr>
      <w:rFonts w:ascii="Times New Roman" w:hAnsi="Times New Roman" w:eastAsia="Times New Roman" w:cs="Times New Roman"/>
      <w:b/>
      <w:bCs/>
      <w:sz w:val="28"/>
      <w:szCs w:val="28"/>
      <w:lang w:val="ru-RU" w:eastAsia="en-US" w:bidi="ar-SA"/>
    </w:rPr>
  </w:style>
  <w:style w:styleId="Heading2" w:type="paragraph">
    <w:name w:val="Heading 2"/>
    <w:basedOn w:val="Normal"/>
    <w:uiPriority w:val="1"/>
    <w:qFormat/>
    <w:pPr>
      <w:ind w:left="742"/>
      <w:jc w:val="both"/>
      <w:outlineLvl w:val="2"/>
    </w:pPr>
    <w:rPr>
      <w:rFonts w:ascii="Times New Roman" w:hAnsi="Times New Roman" w:eastAsia="Times New Roman" w:cs="Times New Roman"/>
      <w:b/>
      <w:bCs/>
      <w:sz w:val="24"/>
      <w:szCs w:val="24"/>
      <w:lang w:val="ru-RU" w:eastAsia="en-US" w:bidi="ar-SA"/>
    </w:rPr>
  </w:style>
  <w:style w:styleId="Title" w:type="paragraph">
    <w:name w:val="Title"/>
    <w:basedOn w:val="Normal"/>
    <w:uiPriority w:val="1"/>
    <w:qFormat/>
    <w:pPr>
      <w:spacing w:before="165"/>
      <w:ind w:left="2747"/>
    </w:pPr>
    <w:rPr>
      <w:rFonts w:ascii="Times New Roman" w:hAnsi="Times New Roman" w:eastAsia="Times New Roman" w:cs="Times New Roman"/>
      <w:b/>
      <w:bCs/>
      <w:sz w:val="40"/>
      <w:szCs w:val="40"/>
      <w:lang w:val="ru-RU" w:eastAsia="en-US" w:bidi="ar-SA"/>
    </w:rPr>
  </w:style>
  <w:style w:styleId="ListParagraph" w:type="paragraph">
    <w:name w:val="List Paragraph"/>
    <w:basedOn w:val="Normal"/>
    <w:uiPriority w:val="1"/>
    <w:qFormat/>
    <w:pPr>
      <w:ind w:left="742" w:hanging="642"/>
      <w:jc w:val="both"/>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image" Target="media/image3.jpeg"/><Relationship Id="rId8" Type="http://schemas.openxmlformats.org/officeDocument/2006/relationships/footer" Target="footer1.xml"/><Relationship Id="rId9" Type="http://schemas.openxmlformats.org/officeDocument/2006/relationships/hyperlink" Target="https://doi.org/10.1016/S0090-4295(97)00238-0" TargetMode="External"/><Relationship Id="rId10" Type="http://schemas.openxmlformats.org/officeDocument/2006/relationships/image" Target="media/image4.jpeg"/><Relationship Id="rId11" Type="http://schemas.openxmlformats.org/officeDocument/2006/relationships/footer" Target="footer2.xml"/><Relationship Id="rId12" Type="http://schemas.openxmlformats.org/officeDocument/2006/relationships/image" Target="media/image5.jpeg"/><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ФГБУ "ЦЭККМП" Минздрава России</dc:creator>
  <dcterms:created xsi:type="dcterms:W3CDTF">2026-08-30T11:56:27Z</dcterms:created>
  <dcterms:modified xsi:type="dcterms:W3CDTF">2026-08-30T11:56:27Z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2026-07-31T00:00:00Z</vt:filetime>
  </property>
  <property fmtid="{D5CDD505-2E9C-101B-9397-08002B2CF9AE}" pid="3" name="Creator">
    <vt:lpwstr>ABBYY FineReader 14</vt:lpwstr>
  </property>
  <property fmtid="{D5CDD505-2E9C-101B-9397-08002B2CF9AE}" pid="4" name="LastSaved">
    <vt:filetime>2026-08-30T00:00:00Z</vt:filetime>
  </property>
  <property fmtid="{D5CDD505-2E9C-101B-9397-08002B2CF9AE}" pid="5" name="Producer">
    <vt:lpwstr>ABBYY FineReader 14</vt:lpwstr>
  </property>
</Properties>
</file>